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Това е машинен превод</w:t>
      </w:r>
    </w:p>
    <w:p w14:paraId="48A46481" w14:textId="77777777">
      <w:pPr>
        <w:pStyle w:val="P68B1DB1-Title1"/>
        <w:spacing w:before="0"/>
        <w:ind w:left="0"/>
      </w:pPr>
    </w:p>
    <w:p w14:paraId="5DDBFD33" w14:textId="3AD4A40E">
      <w:pPr>
        <w:pStyle w:val="P68B1DB1-Title1"/>
        <w:spacing w:before="0"/>
        <w:ind w:left="0"/>
      </w:pPr>
      <w:r>
        <w:t xml:space="preserve">Съдебна практика във връзка с Директива (ЕС) 2015/1535</w:t>
      </w:r>
    </w:p>
    <w:p w14:paraId="5AFCD03C" w14:textId="77777777">
      <w:pPr>
        <w:pStyle w:val="BodyText"/>
      </w:pPr>
    </w:p>
    <w:p w14:paraId="55805DA1" w14:textId="3A3D4AA9">
      <w:pPr>
        <w:pStyle w:val="BodyText"/>
      </w:pPr>
      <w:r>
        <w:t xml:space="preserve">Настоящият документ определя основните решения и определения на Съда на Европейския съюз относно обхвата и прилагането на Директива (ЕС) 2015/1535, с която се установява процедура за предоставяне на информация в областта на техническите регламенти и правила относно услугите на информационното общество. Неговата цел е да служи като ръководство за администрациите, промишлеността и гражданите на държавите членки.</w:t>
      </w:r>
    </w:p>
    <w:p w14:paraId="4F3E66AE" w14:textId="77777777">
      <w:pPr>
        <w:pStyle w:val="BodyText"/>
        <w:rPr>
          <w:sz w:val="22"/>
          <w:szCs w:val="18"/>
        </w:rPr>
      </w:pPr>
    </w:p>
    <w:p w14:paraId="53D6EBA0" w14:textId="77777777">
      <w:pPr>
        <w:pStyle w:val="BodyText"/>
      </w:pPr>
      <w:r>
        <w:t xml:space="preserve">Тъй като настоящият документ не е изчерпателен, някои съответни решения може да не бъдат включени.</w:t>
      </w:r>
    </w:p>
    <w:p w14:paraId="771A43E5" w14:textId="77777777">
      <w:pPr>
        <w:pStyle w:val="BodyText"/>
      </w:pPr>
    </w:p>
    <w:p w14:paraId="45186CE0" w14:textId="45ABA22D">
      <w:pPr>
        <w:pStyle w:val="BodyText"/>
      </w:pPr>
      <w:r>
        <w:t xml:space="preserve">Съдебните решения са представени в хронологичен ред и документът е структуриран в четири части:</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Решенията, от които са направени извадки в настоящия документ, се позовават на последователни директиви, установяващи процедура за предоставяне на информация в областта на техническите регламенти. Следната таблица на еквивалентността илюстрира приемствеността на техните основни разпоредби</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Таблица на еквивалентността на основните разпоредби </w:t>
      </w:r>
    </w:p>
    <w:p w14:paraId="74F41B86" w14:textId="7258661E">
      <w:pPr>
        <w:pStyle w:val="P68B1DB1-Normal5"/>
        <w:spacing w:after="0" w:line="240" w:lineRule="auto"/>
        <w:jc w:val="center"/>
        <w:rPr>
          <w:bCs/>
        </w:rPr>
      </w:pPr>
      <w:r>
        <w:t xml:space="preserve">Директиви (ЕС) 2015/1535, 98/34/ЕО и 83/189/ЕИО</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Съдържание на разпоредбите</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Директива (ЕС)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Директива 98/34/ЕО</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Директива 83/189/ЕИО</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Определение за „продукти“</w:t>
            </w:r>
          </w:p>
        </w:tc>
        <w:tc>
          <w:tcPr>
            <w:tcW w:w="2457" w:type="dxa"/>
          </w:tcPr>
          <w:p w14:paraId="4A418F3D" w14:textId="11CADE6C">
            <w:pPr>
              <w:pStyle w:val="P68B1DB1-Normal7"/>
              <w:spacing w:line="240" w:lineRule="auto"/>
            </w:pPr>
            <w:r>
              <w:t xml:space="preserve">Член 1, параграф 1, буква а)</w:t>
            </w:r>
          </w:p>
        </w:tc>
        <w:tc>
          <w:tcPr>
            <w:tcW w:w="2315" w:type="dxa"/>
          </w:tcPr>
          <w:p w14:paraId="5020F0EC" w14:textId="29FBC8B8">
            <w:pPr>
              <w:pStyle w:val="P68B1DB1-Normal7"/>
              <w:spacing w:line="240" w:lineRule="auto"/>
            </w:pPr>
            <w:r>
              <w:t xml:space="preserve">Член 1, параграф 1</w:t>
            </w:r>
          </w:p>
        </w:tc>
        <w:tc>
          <w:tcPr>
            <w:tcW w:w="2315" w:type="dxa"/>
          </w:tcPr>
          <w:p w14:paraId="1AC77ECE" w14:textId="6BC392C6">
            <w:pPr>
              <w:pStyle w:val="P68B1DB1-Normal7"/>
              <w:spacing w:line="240" w:lineRule="auto"/>
            </w:pPr>
            <w:r>
              <w:t xml:space="preserve">Член 1, параграф 7</w:t>
            </w:r>
          </w:p>
        </w:tc>
      </w:tr>
      <w:tr w14:paraId="4F3F95AF" w14:textId="77777777">
        <w:trPr>
          <w:trHeight w:val="599"/>
        </w:trPr>
        <w:tc>
          <w:tcPr>
            <w:tcW w:w="3119" w:type="dxa"/>
          </w:tcPr>
          <w:p w14:paraId="42CDA066" w14:textId="77777777">
            <w:pPr>
              <w:pStyle w:val="P68B1DB1-Normal7"/>
              <w:spacing w:line="240" w:lineRule="auto"/>
            </w:pPr>
            <w:r>
              <w:t xml:space="preserve">Определение за „услуги“</w:t>
            </w:r>
          </w:p>
        </w:tc>
        <w:tc>
          <w:tcPr>
            <w:tcW w:w="2457" w:type="dxa"/>
          </w:tcPr>
          <w:p w14:paraId="658F3867" w14:textId="6E2F4A98">
            <w:pPr>
              <w:pStyle w:val="P68B1DB1-Normal7"/>
              <w:spacing w:line="240" w:lineRule="auto"/>
            </w:pPr>
            <w:r>
              <w:t xml:space="preserve">Член 1, параграф 1, буква б)</w:t>
            </w:r>
          </w:p>
        </w:tc>
        <w:tc>
          <w:tcPr>
            <w:tcW w:w="2315" w:type="dxa"/>
          </w:tcPr>
          <w:p w14:paraId="4273AEF8" w14:textId="51C8B937">
            <w:pPr>
              <w:pStyle w:val="P68B1DB1-Normal7"/>
              <w:spacing w:line="240" w:lineRule="auto"/>
            </w:pPr>
            <w:r>
              <w:t xml:space="preserve">Член 1, параграф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Определение на „техническа спецификация“</w:t>
            </w:r>
          </w:p>
        </w:tc>
        <w:tc>
          <w:tcPr>
            <w:tcW w:w="2457" w:type="dxa"/>
          </w:tcPr>
          <w:p w14:paraId="1CD6781C" w14:textId="4816FB95">
            <w:pPr>
              <w:pStyle w:val="P68B1DB1-Normal7"/>
              <w:spacing w:line="240" w:lineRule="auto"/>
            </w:pPr>
            <w:r>
              <w:t xml:space="preserve">Член 1, параграф 1, буква в)</w:t>
            </w:r>
          </w:p>
        </w:tc>
        <w:tc>
          <w:tcPr>
            <w:tcW w:w="2315" w:type="dxa"/>
          </w:tcPr>
          <w:p w14:paraId="6ACA8AFC" w14:textId="5CBBFC47">
            <w:pPr>
              <w:pStyle w:val="P68B1DB1-Normal7"/>
              <w:spacing w:line="240" w:lineRule="auto"/>
            </w:pPr>
            <w:r>
              <w:t xml:space="preserve">Член 1, параграф 3</w:t>
            </w:r>
          </w:p>
        </w:tc>
        <w:tc>
          <w:tcPr>
            <w:tcW w:w="2315" w:type="dxa"/>
          </w:tcPr>
          <w:p w14:paraId="7742C3F4" w14:textId="668574B6">
            <w:pPr>
              <w:pStyle w:val="P68B1DB1-Normal7"/>
              <w:spacing w:line="240" w:lineRule="auto"/>
            </w:pPr>
            <w:r>
              <w:t xml:space="preserve">Член 1, параграф 1</w:t>
            </w:r>
          </w:p>
        </w:tc>
      </w:tr>
      <w:tr w14:paraId="39DCA993" w14:textId="77777777">
        <w:trPr>
          <w:trHeight w:val="599"/>
        </w:trPr>
        <w:tc>
          <w:tcPr>
            <w:tcW w:w="3119" w:type="dxa"/>
          </w:tcPr>
          <w:p w14:paraId="412D2403" w14:textId="77777777">
            <w:pPr>
              <w:pStyle w:val="P68B1DB1-Normal7"/>
              <w:spacing w:line="240" w:lineRule="auto"/>
            </w:pPr>
            <w:r>
              <w:t xml:space="preserve">Определение на „други изисквания“</w:t>
            </w:r>
          </w:p>
        </w:tc>
        <w:tc>
          <w:tcPr>
            <w:tcW w:w="2457" w:type="dxa"/>
          </w:tcPr>
          <w:p w14:paraId="7BCB4CC5" w14:textId="4C804DFA">
            <w:pPr>
              <w:pStyle w:val="P68B1DB1-Normal7"/>
              <w:spacing w:line="240" w:lineRule="auto"/>
            </w:pPr>
            <w:r>
              <w:t xml:space="preserve">Член 1, параграф 1, буква г)</w:t>
            </w:r>
          </w:p>
        </w:tc>
        <w:tc>
          <w:tcPr>
            <w:tcW w:w="2315" w:type="dxa"/>
          </w:tcPr>
          <w:p w14:paraId="414D1EEC" w14:textId="18CAA0FE">
            <w:pPr>
              <w:pStyle w:val="P68B1DB1-Normal7"/>
              <w:spacing w:line="240" w:lineRule="auto"/>
            </w:pPr>
            <w:r>
              <w:t xml:space="preserve">Член 1, параграф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Определение за „правило за услуги“</w:t>
            </w:r>
          </w:p>
        </w:tc>
        <w:tc>
          <w:tcPr>
            <w:tcW w:w="2457" w:type="dxa"/>
          </w:tcPr>
          <w:p w14:paraId="136F7BB7" w14:textId="4AA67A90">
            <w:pPr>
              <w:pStyle w:val="P68B1DB1-Normal7"/>
              <w:spacing w:line="240" w:lineRule="auto"/>
            </w:pPr>
            <w:r>
              <w:t xml:space="preserve">Член 1, параграф 1, буква д)</w:t>
            </w:r>
          </w:p>
        </w:tc>
        <w:tc>
          <w:tcPr>
            <w:tcW w:w="2315" w:type="dxa"/>
          </w:tcPr>
          <w:p w14:paraId="36E9CD4F" w14:textId="1B75247A">
            <w:pPr>
              <w:pStyle w:val="P68B1DB1-Normal7"/>
              <w:spacing w:line="240" w:lineRule="auto"/>
            </w:pPr>
            <w:r>
              <w:t xml:space="preserve">Член 1, параграф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Понятие за технически регламент</w:t>
            </w:r>
          </w:p>
        </w:tc>
        <w:tc>
          <w:tcPr>
            <w:tcW w:w="2457" w:type="dxa"/>
          </w:tcPr>
          <w:p w14:paraId="46C85599" w14:textId="1342B29E">
            <w:pPr>
              <w:pStyle w:val="P68B1DB1-Normal7"/>
              <w:spacing w:line="240" w:lineRule="auto"/>
            </w:pPr>
            <w:r>
              <w:t xml:space="preserve">Член 1, параграф 1, буква е)</w:t>
            </w:r>
          </w:p>
        </w:tc>
        <w:tc>
          <w:tcPr>
            <w:tcW w:w="2315" w:type="dxa"/>
          </w:tcPr>
          <w:p w14:paraId="0E88B9E2" w14:textId="31F951B8">
            <w:pPr>
              <w:pStyle w:val="P68B1DB1-Normal7"/>
              <w:spacing w:line="240" w:lineRule="auto"/>
            </w:pPr>
            <w:r>
              <w:t xml:space="preserve">Член 1, параграф 11</w:t>
            </w:r>
          </w:p>
        </w:tc>
        <w:tc>
          <w:tcPr>
            <w:tcW w:w="2315" w:type="dxa"/>
          </w:tcPr>
          <w:p w14:paraId="2E4FCAC6" w14:textId="1930FF48">
            <w:pPr>
              <w:pStyle w:val="P68B1DB1-Normal7"/>
              <w:spacing w:line="240" w:lineRule="auto"/>
            </w:pPr>
            <w:r>
              <w:t xml:space="preserve">Член 1, параграф 5</w:t>
            </w:r>
          </w:p>
        </w:tc>
      </w:tr>
      <w:tr w14:paraId="0C829266" w14:textId="77777777">
        <w:trPr>
          <w:trHeight w:val="599"/>
        </w:trPr>
        <w:tc>
          <w:tcPr>
            <w:tcW w:w="3119" w:type="dxa"/>
          </w:tcPr>
          <w:p w14:paraId="2E36B6FC" w14:textId="77777777">
            <w:pPr>
              <w:pStyle w:val="P68B1DB1-Normal7"/>
              <w:spacing w:line="240" w:lineRule="auto"/>
            </w:pPr>
            <w:r>
              <w:t xml:space="preserve">Задължение за уведомяване</w:t>
            </w:r>
          </w:p>
        </w:tc>
        <w:tc>
          <w:tcPr>
            <w:tcW w:w="2457" w:type="dxa"/>
          </w:tcPr>
          <w:p w14:paraId="04169FF7" w14:textId="77777777">
            <w:pPr>
              <w:pStyle w:val="P68B1DB1-Normal7"/>
              <w:spacing w:line="240" w:lineRule="auto"/>
            </w:pPr>
            <w:r>
              <w:t xml:space="preserve">Член 5, параграф 1, първо изречение</w:t>
            </w:r>
          </w:p>
        </w:tc>
        <w:tc>
          <w:tcPr>
            <w:tcW w:w="2315" w:type="dxa"/>
          </w:tcPr>
          <w:p w14:paraId="730385F8" w14:textId="77777777">
            <w:pPr>
              <w:pStyle w:val="P68B1DB1-Normal7"/>
              <w:spacing w:line="240" w:lineRule="auto"/>
            </w:pPr>
            <w:r>
              <w:t xml:space="preserve">Член 8, параграф 1, първо изречение</w:t>
            </w:r>
          </w:p>
        </w:tc>
        <w:tc>
          <w:tcPr>
            <w:tcW w:w="2315" w:type="dxa"/>
          </w:tcPr>
          <w:p w14:paraId="6937609F" w14:textId="5A2377E0">
            <w:pPr>
              <w:pStyle w:val="P68B1DB1-Normal8"/>
              <w:spacing w:line="240" w:lineRule="auto"/>
            </w:pPr>
            <w:r>
              <w:t xml:space="preserve">Член 8, параграф 1</w:t>
            </w:r>
          </w:p>
        </w:tc>
      </w:tr>
      <w:tr w14:paraId="4472DE96" w14:textId="77777777">
        <w:trPr>
          <w:trHeight w:val="599"/>
        </w:trPr>
        <w:tc>
          <w:tcPr>
            <w:tcW w:w="3119" w:type="dxa"/>
          </w:tcPr>
          <w:p w14:paraId="08371658" w14:textId="2AE2569B">
            <w:pPr>
              <w:pStyle w:val="P68B1DB1-Normal7"/>
              <w:spacing w:line="240" w:lineRule="auto"/>
            </w:pPr>
            <w:r>
              <w:t xml:space="preserve">Уведомяване за основни или засегнати разпоредби</w:t>
            </w:r>
          </w:p>
        </w:tc>
        <w:tc>
          <w:tcPr>
            <w:tcW w:w="2457" w:type="dxa"/>
          </w:tcPr>
          <w:p w14:paraId="4460E5CA" w14:textId="77777777">
            <w:pPr>
              <w:pStyle w:val="P68B1DB1-Normal7"/>
              <w:spacing w:line="240" w:lineRule="auto"/>
            </w:pPr>
            <w:r>
              <w:t xml:space="preserve">Член 5, параграф 1, второ изречение</w:t>
            </w:r>
          </w:p>
        </w:tc>
        <w:tc>
          <w:tcPr>
            <w:tcW w:w="2315" w:type="dxa"/>
          </w:tcPr>
          <w:p w14:paraId="545C5C96" w14:textId="77777777">
            <w:pPr>
              <w:pStyle w:val="P68B1DB1-Normal7"/>
              <w:spacing w:line="240" w:lineRule="auto"/>
            </w:pPr>
            <w:r>
              <w:t xml:space="preserve">Член 8, параграф 1, второ изречение</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Повторно уведомяване по време на периода на изчакване</w:t>
            </w:r>
          </w:p>
        </w:tc>
        <w:tc>
          <w:tcPr>
            <w:tcW w:w="2457" w:type="dxa"/>
          </w:tcPr>
          <w:p w14:paraId="65494BDB" w14:textId="77777777">
            <w:pPr>
              <w:pStyle w:val="P68B1DB1-Normal7"/>
              <w:spacing w:line="240" w:lineRule="auto"/>
            </w:pPr>
            <w:r>
              <w:t xml:space="preserve">Член 5, параграф 1, трето изречение</w:t>
            </w:r>
          </w:p>
        </w:tc>
        <w:tc>
          <w:tcPr>
            <w:tcW w:w="2315" w:type="dxa"/>
          </w:tcPr>
          <w:p w14:paraId="47F0091E" w14:textId="77777777">
            <w:pPr>
              <w:pStyle w:val="P68B1DB1-Normal7"/>
              <w:spacing w:line="240" w:lineRule="auto"/>
            </w:pPr>
            <w:r>
              <w:t xml:space="preserve">Член 8, параграф 1, трето изречение</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Период на изчакване</w:t>
            </w:r>
          </w:p>
        </w:tc>
        <w:tc>
          <w:tcPr>
            <w:tcW w:w="2457" w:type="dxa"/>
          </w:tcPr>
          <w:p w14:paraId="0FDAA36A" w14:textId="77777777">
            <w:pPr>
              <w:pStyle w:val="P68B1DB1-Normal7"/>
              <w:spacing w:line="240" w:lineRule="auto"/>
            </w:pPr>
            <w:r>
              <w:t xml:space="preserve">Член 6</w:t>
            </w:r>
          </w:p>
        </w:tc>
        <w:tc>
          <w:tcPr>
            <w:tcW w:w="2315" w:type="dxa"/>
          </w:tcPr>
          <w:p w14:paraId="51BBC4E4" w14:textId="77777777">
            <w:pPr>
              <w:pStyle w:val="P68B1DB1-Normal7"/>
              <w:spacing w:line="240" w:lineRule="auto"/>
            </w:pPr>
            <w:r>
              <w:t xml:space="preserve">Член 9</w:t>
            </w:r>
          </w:p>
        </w:tc>
        <w:tc>
          <w:tcPr>
            <w:tcW w:w="2315" w:type="dxa"/>
          </w:tcPr>
          <w:p w14:paraId="2B7D3F30" w14:textId="77777777">
            <w:pPr>
              <w:pStyle w:val="P68B1DB1-Normal8"/>
              <w:spacing w:line="240" w:lineRule="auto"/>
            </w:pPr>
            <w:r>
              <w:t xml:space="preserve">Член 9</w:t>
            </w:r>
          </w:p>
        </w:tc>
      </w:tr>
      <w:tr w14:paraId="31FCCE62" w14:textId="77777777">
        <w:trPr>
          <w:trHeight w:val="599"/>
        </w:trPr>
        <w:tc>
          <w:tcPr>
            <w:tcW w:w="3119" w:type="dxa"/>
          </w:tcPr>
          <w:p w14:paraId="067F46A1" w14:textId="77777777">
            <w:pPr>
              <w:pStyle w:val="P68B1DB1-Normal7"/>
              <w:spacing w:line="240" w:lineRule="auto"/>
            </w:pPr>
            <w:r>
              <w:t xml:space="preserve">Изключения от задълженията за уведомяване и отлагане</w:t>
            </w:r>
          </w:p>
        </w:tc>
        <w:tc>
          <w:tcPr>
            <w:tcW w:w="2457" w:type="dxa"/>
          </w:tcPr>
          <w:p w14:paraId="5BC53094" w14:textId="77777777">
            <w:pPr>
              <w:pStyle w:val="P68B1DB1-Normal7"/>
              <w:spacing w:line="240" w:lineRule="auto"/>
            </w:pPr>
            <w:r>
              <w:t xml:space="preserve">Член 7</w:t>
            </w:r>
          </w:p>
        </w:tc>
        <w:tc>
          <w:tcPr>
            <w:tcW w:w="2315" w:type="dxa"/>
          </w:tcPr>
          <w:p w14:paraId="36E59068" w14:textId="77777777">
            <w:pPr>
              <w:pStyle w:val="P68B1DB1-Normal7"/>
              <w:spacing w:line="240" w:lineRule="auto"/>
            </w:pPr>
            <w:r>
              <w:t xml:space="preserve">Член 10</w:t>
            </w:r>
          </w:p>
        </w:tc>
        <w:tc>
          <w:tcPr>
            <w:tcW w:w="2315" w:type="dxa"/>
          </w:tcPr>
          <w:p w14:paraId="1FE1BC2D" w14:textId="77777777">
            <w:pPr>
              <w:pStyle w:val="P68B1DB1-Normal8"/>
              <w:spacing w:line="240" w:lineRule="auto"/>
            </w:pPr>
            <w:r>
              <w:t xml:space="preserve">Член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 xml:space="preserve">Отказ от отговорност</w:t>
      </w:r>
    </w:p>
    <w:p w14:paraId="0CB71D4E" w14:textId="7BF1CD8D">
      <w:pPr>
        <w:jc w:val="both"/>
        <w:rPr>
          <w:rFonts w:ascii="Times New Roman" w:hAnsi="Times New Roman" w:cs="Times New Roman"/>
          <w:sz w:val="24"/>
          <w:szCs w:val="24"/>
        </w:rPr>
        <w:pStyle w:val="P68B1DB1-Normal7"/>
      </w:pPr>
      <w:r>
        <w:t xml:space="preserve">Информацията и насоките в настоящия документ имат за цел да допринесат за по-доброто разбиране на правилата за нотифициране по Директива (ЕС) 2015/1535.</w:t>
      </w:r>
    </w:p>
    <w:p w14:paraId="67EC004B" w14:textId="434F8650">
      <w:pPr>
        <w:jc w:val="both"/>
        <w:rPr>
          <w:rFonts w:ascii="Times New Roman" w:hAnsi="Times New Roman" w:cs="Times New Roman"/>
          <w:sz w:val="24"/>
          <w:szCs w:val="24"/>
        </w:rPr>
        <w:pStyle w:val="P68B1DB1-Normal7"/>
      </w:pPr>
      <w:r>
        <w:t xml:space="preserve">Това е предвидено единствено като инструмент за насоки. Само текстът на директивата има правна сила и може да създаде права и задължения за физическите лица и държавите членки. Настоящият документ не създава никакви приложими права или очаквания.</w:t>
      </w:r>
    </w:p>
    <w:p w14:paraId="63D425FC" w14:textId="2836B58B">
      <w:pPr>
        <w:jc w:val="both"/>
        <w:rPr>
          <w:rFonts w:ascii="Times New Roman" w:hAnsi="Times New Roman" w:cs="Times New Roman"/>
          <w:sz w:val="24"/>
          <w:szCs w:val="24"/>
        </w:rPr>
        <w:pStyle w:val="P68B1DB1-Normal7"/>
      </w:pPr>
      <w:r>
        <w:t xml:space="preserve">Обвързващото тълкуване на законодателството на Европейския съюз е от изключителната компетентност на Съда на Европейския съюз. Изразените в настоящия документ становища не засягат позицията, която Комисията би могла да заеме пред Съда.</w:t>
      </w:r>
    </w:p>
    <w:p w14:paraId="5CC222EA" w14:textId="4A13BEE2">
      <w:pPr>
        <w:jc w:val="both"/>
        <w:rPr>
          <w:rFonts w:ascii="Times New Roman" w:hAnsi="Times New Roman" w:cs="Times New Roman"/>
          <w:sz w:val="24"/>
          <w:szCs w:val="24"/>
        </w:rPr>
        <w:pStyle w:val="P68B1DB1-Normal7"/>
      </w:pPr>
      <w:r>
        <w:t xml:space="preserve">Тъй като този документ отразява състоянието на съдебната практика към момента на изготвянето му, той следва да се разглежда като „жив инструмент“, който може да бъде подобрен, и съдържанието му може да подлежи на изменения без предизвестие.</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Класификация като технически регламент</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понятието „технически регламент „обхваща четири категории мерки, а именно: i) „технически спецификации„по смисъла на член 1, параграф 3 от Директива 98/34, ii) „други изисквания „, както са определени в член 1, параграф 4 от тази директива, iii) „правила относно услугите“, посочени в член 1, параграф 5 от тази директива, и iv) „законови, подзаконови или административни разпоредби на държавите членки [...], забраняващи производството, вноса, маркетинга или използването на продукт или забраняващи предоставянето или използването на услуга или установяването като доставчик на услуги“.</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Решение от 2 февруари 2016 г.</w:t>
        </w:r>
      </w:hyperlink>
      <w:r>
        <w:t xml:space="preserve">, </w:t>
      </w:r>
      <w:r>
        <w:rPr>
          <w:i/>
        </w:rPr>
        <w:t>Ince</w:t>
      </w:r>
      <w:r>
        <w:t xml:space="preserve">, C-336/14, т.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Общи критерии за техническите </w:t>
      </w:r>
      <w:bookmarkEnd w:id="6"/>
      <w:r>
        <w:t>правила</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„Технически регламент „означава технически спецификации и други изисквания или правила за услуги, включително съответните административни разпоредби, спазването на които е задължително, юридически или фактически, в случай на маркетинг, предоставяне на услуги, установяване на оператор на услуги или използване в държава членка или в голяма част от нея, както и законови, подзаконови или административни разпоредби на държавите членки, с изключение на тези, предвидени в член 7, забраняващи производството, вноса, маркетинга или използването на продукт или забраняващи предоставянето или използването на услуга, или установяването на доставчик на услуги.“</w:t>
      </w:r>
    </w:p>
    <w:p w14:paraId="56CBE257" w14:textId="77777777">
      <w:pPr>
        <w:pStyle w:val="BodyText"/>
      </w:pPr>
    </w:p>
    <w:p w14:paraId="66B70B28" w14:textId="1278CE54">
      <w:pPr>
        <w:pStyle w:val="P68B1DB1-Normal7"/>
        <w:spacing w:after="0" w:line="240" w:lineRule="auto"/>
        <w:jc w:val="right"/>
      </w:pPr>
      <w:r>
        <w:t xml:space="preserve">(член 1, параграф 1, буква е), първо изречение от Директива (ЕС)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Решение от 30 април 1996 г.</w:t>
        </w:r>
      </w:hyperlink>
      <w:r>
        <w:rPr>
          <w:rFonts w:ascii="Times New Roman" w:hAnsi="Times New Roman" w:cs="Times New Roman" w:eastAsia="Times New Roman"/>
          <w:b/>
          <w:i/>
          <w:szCs w:val="20"/>
        </w:rPr>
        <w:t xml:space="preserve">, CIA Security International SA, C-194/94, точка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Дадена норма може да се квалифицира като „технически регламент“ само ако сама по себе си поражда правни последици. Това не е така при рамков закон без правно действие за физическите лица.</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Дадена норма се квалифицира като технически регламент по смисъла на Директива 83/189, ако сама по себе си поражда правни последици. Ако съгласно вътрешното право нормата служи само като основание за приемането на административни регламенти, съдържащи задължителни за заинтересованите страни правила, така че сама по себе си тя не поражда правни последици за частноправните субекти, тя не представлява технически регламент по смисъла на директивата (вж. Решение от 1994 юли 1 г. по дело Комисия/Германия, C-317/92, Recueil, стр. 2039—26, точка). В това отношение следва да се припомни, че съгласно член 8, параграф 1, първа алинея от Директива 83/189 държавите членки трябва да съобщят едновременно с проекта на технически регламент оправомощаващия инструмент, въз основа на който той е приет, ако познаването на този текст е необходимо, за да се оценят последиците от проекта за технически регламент.“</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Решение от 20 март 1997 г.</w:t>
        </w:r>
      </w:hyperlink>
      <w:r>
        <w:rPr>
          <w:rFonts w:ascii="Times New Roman" w:hAnsi="Times New Roman" w:cs="Times New Roman" w:eastAsia="Times New Roman"/>
          <w:b/>
          <w:i/>
          <w:szCs w:val="20"/>
        </w:rPr>
        <w:t xml:space="preserve">, Bic Benelux, C-13/96, точки 19 и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Мотивите за приемането на национална мярка са ирелевантни за квалифицирането на тази мярка като „технически регламент“. Целта на директивата е чрез превантивен контрол да се защити свободното движение на стоки, което е един от основите на Общността.</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В Директива 83/189 няма основание за тълкуване, ограничаващо прилагането ѝ до национални мерки, които могат да се хармонизират само въз основа на член 100а от Договора. Целта на тази директива е чрез превантивен контрол да се защити свободното движение на стоки, което е един от основите на Общността. Такъв контрол е необходим, тъй като техническите регламенти, обхванати от директивата, могат да възпрепятстват пряко или косвено, действително или потенциално вътреобщностната търговия със стоки. Такива пречки могат да възникнат от приемането на национални технически регламенти, дори ако тези регламенти не дублират маркировките, поставени в държавата членка по произход, и независимо от основанията за приемането им.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Следователно фактът, че дадена национална мярка е приета с цел опазване на околната среда или че не прилага технически стандарт, който сам по себе си може да представлява пречка за свободното движение, не означава, че въпросната мярка не може да бъде технически регламент по смисъла на Директива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Решение от 16 ноември 2000 г.</w:t>
        </w:r>
      </w:hyperlink>
      <w:r>
        <w:rPr>
          <w:rFonts w:ascii="Times New Roman" w:hAnsi="Times New Roman" w:cs="Times New Roman" w:eastAsia="Times New Roman"/>
          <w:b/>
          <w:i/>
          <w:szCs w:val="20"/>
        </w:rPr>
        <w:t xml:space="preserve">, Donkersteeg, C-37/99, т. 30—34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Подробните правила относно ваксинацията на животните са „техническа спецификация“. Той обаче ще бъде „технически регламент“, изискващ нотифициране само ако спазването му е задължително de jure или de facto. Това не е така, когато в случай на нарушение на правилото не са наложени никакви ограничения върху пускането на пазара или употребата на съответните продукти.</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в съответствие с член 1, параграф 1 от директивата, що се отнася до селскостопанските продукти, „техническа спецификация“ е тази, която се съдържа в документ, който определя характеристиките, изисквани за даден продукт, или производствените му методи и процедури.</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Правило като съдържащото се в член 2, параграф 1 от VBZA представлява техническа спецификация по смисъла на член 1, параграф 1 от Директивата. Както правилно изтъква Комисията, тъй като точните и подробни правила относно ваксинацията срещу болестта на Ауески са свързани с производството в тесен смисъл на съответния селскостопански продукт и трябва да се спазват през целия производствен цикъл, това правило следователно определя „процедура“ при производството на този продукт.</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Въпреки това, за да бъде квалифицирана като техническо правило по смисъла на Директивата, съгласно член 1, параграф 5 от нея разглежданата в главното производство норма трябва да съдържа технически спецификации, „спазването на които е задължително de jure или de facto в случай на пускане на пазара или използване в държава членка или в голяма част от нея, с изключение на определените от местните органи.</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Следва да се отбележи, подобно на нидерландското правителство, че правилото по член 2, параграф 1 от VBZA не налага никакви ограничения нито за пускането на пазара, нито за употребата на съответните продукти, ако в нарушение на това правило свинете не са ваксинирани срещу болестта на Ауески.</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Следователно на втория въпрос следва да се отговори, че разпоредба като разглежданата в главното производство, която задължава всеки земеделски производител да подложи свинете в стопанството си на ваксиниране срещу болестта на Ауески, не представлява технически регламент по смисъла на директивата, който е трябвало да бъде нотифициран на Комисията, преди да бъде приет.“</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Решение от 3 декември 2020 г.</w:t>
        </w:r>
      </w:hyperlink>
      <w:r>
        <w:rPr>
          <w:rFonts w:ascii="Times New Roman" w:hAnsi="Times New Roman" w:cs="Times New Roman" w:eastAsia="Times New Roman"/>
          <w:b/>
          <w:i/>
          <w:szCs w:val="20"/>
        </w:rPr>
        <w:t xml:space="preserve">, Star Taxi App, C-62/19, т. 60 и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За да се квалифицира дадена национална мярка като „технически регламент“, тя трябва де юре или де факто да обвързва предоставянето или използването на съответната услуга в държава членка или в голяма част от нея.</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от член 1, параграф 1, буква е), първа алинея от Директива 2015/1535 следва, че „технически регламент „означава „технически спецификации и други изисквания или правила за услуги, включително съответните административни разпоредби, спазването на които е задължително, юридически или фактически, в случай на маркетинг, предоставяне на услуги, установяване на оператор на услуги или използване в държава членка или в голяма част от нея, както и законови, подзаконови или административни разпоредби на държавите членки, с изключение на тези, предвидени в член 7, забраняващи производството, вноса, маркетинга или използването на продукт или забраняващи предоставянето или използването на услуга или установяването на доставчик на услуги“.</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От това следва, че за да може национална правна уредба, засягаща услуга на информационното общество, да бъде квалифицирана като „технически регламент „, тя трябва не само да бъде квалифицирана като „правило за услуги„по смисъла на член 1, параграф 1, буква д) от Директива 2015/1535, но и да бъде задължителна de jure или de facto, по-специално в случай на предоставяне на въпросната услуга или нейното използване в държава членка или в голяма част от нея.“</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Технически</w:t>
      </w:r>
      <w:bookmarkEnd w:id="15"/>
      <w:r>
        <w:t xml:space="preserve"> спецификации</w:t>
      </w:r>
      <w:bookmarkEnd w:id="16"/>
      <w:bookmarkEnd w:id="17"/>
    </w:p>
    <w:p w14:paraId="241DC1E1" w14:textId="77777777">
      <w:pPr>
        <w:pStyle w:val="BodyText"/>
      </w:pPr>
    </w:p>
    <w:p w14:paraId="24A39E18" w14:textId="77777777">
      <w:pPr>
        <w:pStyle w:val="P68B1DB1-BodyText11"/>
        <w:ind w:left="567"/>
      </w:pPr>
      <w:r>
        <w:t xml:space="preserve">„техническа спецификация“ означава спецификация, съдържаща се в документ, който определя характеристиките, изисквани за даден продукт, като нива на качество, експлоатационни характеристики, безопасност или размери, включително изискванията, приложими към продукта по отношение на наименованието, под което продуктът се продава, терминология, символи, изпитване и методи за изпитване, опаковане, маркиране или етикетиране и процедури за оценяване на съответствието.</w:t>
      </w:r>
    </w:p>
    <w:p w14:paraId="33F4D1E4" w14:textId="77777777">
      <w:pPr>
        <w:pStyle w:val="P68B1DB1-BodyText11"/>
        <w:ind w:left="567"/>
      </w:pPr>
    </w:p>
    <w:p w14:paraId="5224E321" w14:textId="77777777">
      <w:pPr>
        <w:pStyle w:val="P68B1DB1-BodyText11"/>
        <w:ind w:left="567"/>
        <w:rPr>
          <w:iCs/>
        </w:rPr>
      </w:pPr>
      <w:r>
        <w:t xml:space="preserve">Терминът „техническа спецификация „обхваща също така производствените методи и процеси, използвани по отношение на селскостопанските продукти, посочени в член 38, параграф 1, втора алинея от Договора за функционирането на Европейския съюз (ДФЕС), продуктите, предназначени за консумация от човека и животните, и лекарствените продукти, определени в член 1 от Директива № 2001/83/ЕО на Европейския парламент и на Съвета (1), както и производствените методи и процеси, свързани с други продукти, когато те оказват влияние върху техните характеристики;“</w:t>
      </w:r>
    </w:p>
    <w:p w14:paraId="6C2A57E1" w14:textId="77777777">
      <w:pPr>
        <w:pStyle w:val="BodyText"/>
        <w:ind w:left="567"/>
        <w:rPr>
          <w:i/>
          <w:iCs/>
        </w:rPr>
      </w:pPr>
    </w:p>
    <w:p w14:paraId="2F7A4C59" w14:textId="62E0EC95">
      <w:pPr>
        <w:pStyle w:val="BodyText"/>
        <w:ind w:left="1440"/>
        <w:jc w:val="right"/>
      </w:pPr>
      <w:r>
        <w:t xml:space="preserve">(Член 1, параграф 1, буква в) от Директива (ЕС) 2015/1535 на Съвета)</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Решение от 11 януари 1996 г.</w:t>
        </w:r>
      </w:hyperlink>
      <w:r>
        <w:rPr>
          <w:rFonts w:ascii="Times New Roman" w:hAnsi="Times New Roman" w:cs="Times New Roman" w:eastAsia="Times New Roman"/>
          <w:b/>
          <w:i/>
          <w:szCs w:val="20"/>
        </w:rPr>
        <w:t xml:space="preserve">, Комисия/Нидерландия, C-273/94, точка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Национално правило, въвеждащо дерогация от съществуващ технически регламент за конкретен продукт, представлява „технически регламент „, ако налага алтернативни „технически спецификации“, на които трябва да отговаря всяко лице, което желае да се възползва от дерогацията.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Прилагането към конкретен продукт като маргарин на регламент, дерогиращ друг технически регламент, който вече съществува по отношение на същия продукт, представлява технически регламент по смисъла на член 1, параграф 5 от Директивата, тъй като установява технически спецификации по смисъла на член 1, параграф 1, спазването на които е задължително de jure или de facto при пускането на пазара или употребата на този продукт. Ако маргаринът не се произвежда в съответствие с разпоредбите на Наредбата за маргарина, той може да се произвежда само чрез заместващи продукти, разрешени със спорната наредба. Използването на тези заместващи продукти не само е ограничено от условията, предвидени в спорното постановление, но и те са единствените алтернативи на продуктите, които могат да се използват по силата на Постановлението „Margarine“. Следователно оспорваната заповед е трябвало да бъде нотифицирана в съответствие с директивата.“</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Решение от 30 април 1996</w:t>
      </w:r>
      <w:r>
        <w:rPr>
          <w:b/>
          <w:bCs/>
          <w:i/>
          <w:iCs/>
          <w:color w:val="0000FF"/>
          <w:sz w:val="22"/>
          <w:szCs w:val="18"/>
          <w:u w:val="single"/>
        </w:rPr>
        <w:fldChar w:fldCharType="end"/>
        <w:t>г.</w:t>
      </w:r>
      <w:r>
        <w:t xml:space="preserve">, CIA Security International SA, C-194/94, точка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Дадено правило трябва да се квалифицира като „технически регламент“, когато изисква от съответните предприятия да поискат предварително одобрение на тяхното оборудване, дори ако предвидените административни правила не са били приети.</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правило трябва да се квалифицира като технически регламент по смисъла на Директива 83/189, ако, както твърди белгийското правителство в съдебното заседание, изисква от съответните предприятия да поискат предварително одобрение на тяхното оборудване, дори ако предвидените административни правила не са били приети.“</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Решение от 16 септември 1996</w:t>
      </w:r>
      <w:r>
        <w:rPr>
          <w:b/>
          <w:bCs/>
          <w:i/>
          <w:iCs/>
          <w:color w:val="0000FF"/>
          <w:sz w:val="24"/>
          <w:szCs w:val="20"/>
          <w:u w:val="single"/>
        </w:rPr>
        <w:fldChar w:fldCharType="end"/>
        <w:t xml:space="preserve">г., Комисия/Италия, C-279/94, точка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Разпоредба, с която се определят ограничения за концентрацията на респирабилните азбестови влакна на работните места, не е „техническа спецификация“, тъй като не определя характеристиките, които се изискват за даден продукт.</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Съгласно член 1, точка 5 от Директивата обаче „технически регламент „следва да се разбира като „технически спецификации, включително съответните административни разпоредби, спазването на които е задължително de jure или de facto в случай на пускане на пазара или използване в държава членка“. Съгласно член 1, точка 1 от Директивата „техническа спецификация“ е спецификация, съдържаща се в документ, който определя характеристиките, изисквани за даден продукт, като нива на качество, експлоатационни характеристики и безопасност. Член 3, параграф 1 от Закон № 257/92 предвижда ограничения за концентрацията на азбестови влакна, които могат да бъдат вдишвани на работното място. Тъй като тази разпоредба не определя характеристика, която се изисква за даден продукт, тя по принцип не попада в обхвата на определението за техническа спецификация и следователно не може да се счита за технически регламент, който трябва да бъде нотифициран на Комисията съгласно член 8, параграф 1, първа алинея от Директивата. Въпреки че спазването на граничните стойности за концентрациите на азбестови влакна, които могат да бъдат вдишвани, предвидени в член 3 от Закон № 257/92, може да има последици по отношение на характеристиките на въпросния продукт, както е предвидено в член 1, точка 1 от директивата, Комисията не е доказала как това би могло да се случи.“</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Решение от 17 септември 1996 г.</w:t>
        </w:r>
      </w:hyperlink>
      <w:r>
        <w:t xml:space="preserve">, Комисия/Италия, C-289/94, точка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Постановление, уреждащо качеството на водите, предназначени за отглеждане на мекотели, представлява „технически регламент“, подлежащ на нотифициране, поради прякото му въздействие върху търговията със съответните продукти.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Макар Декрет № 256 да се отнася до някои аспекти на качеството на водите, предназначени за годните за консумация черупчести мекотели, той все пак установява, както правилно отбелязва Комисията, много тясна връзка между качеството на водите, използвани за такова отглеждане, и предлагането на пазара на мекотели от типа „lamellibranch“ за консумация от човека. Следователно само мекотели, отглеждани във води, които отговарят на техническите спецификации, определени в Постановление № 256, могат да бъдат пускани на пазара. Следователно спазването на тези задължителни спецификации оказва пряко въздействие върху търговията с мекотели, така че Декрет № 256 трябва да се счита за технически регламент, за който се прилага задължението за уведомяване по член 8 от Директива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Решение от 11 май 1999 г.</w:t>
        </w:r>
      </w:hyperlink>
      <w:r>
        <w:t xml:space="preserve">, Albers и др., C-425/97—427/97, точки 16 и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Правилата, забраняващи предписването на определени лекарствени продукти на едър рогат добитък, представляват „технически спецификации“, тъй като определят методите на производство на селскостопански продукти.</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правила, които, както в настоящия случай, имат за цел да предотвратят прилагането на симпатомиметични вещества при угояването на говеда на възраст над 14 седмици, представляват технически спецификации по смисъла на член 1, параграф 1 от Директива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Тези правила определят методите и процедурите за производство на селскостопански продукти, както са определени в член 38, параграф 1 от Договора за ЕО (понастоящем след изменението член 32, параграф 1 от Договора за ЕО), предназначени за консумация от човека.“</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Решение от 22 януари 2000 г.</w:t>
        </w:r>
      </w:hyperlink>
      <w:r>
        <w:t xml:space="preserve">, Canal Satélite Digital, C-390/99, точки 45—47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Национална правна уредба, която изисква предварителна регистрация и сертифициране на оборудване за цифрово предаване и приемане на сателитни телевизионни сигнали преди пускането им на пазара, представлява „технически регламент“, тъй като определя характеристиките на съответните продукти.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Съдът вече е постановил, че национални разпоредби, които само предвиждат условия за установяването на предприятия, като например разпоредбите, които изискват предварително разрешение за упражняването на дадена дейност, не представляват технически регламенти по смисъла на член 1, точка 9 от Директива 83/189. Технически регламенти по смисъла на тази разпоредба са спецификации, определящи характеристиките на продуктите, а не спецификации относно икономическите оператори (дело C-194/94 CIA Security [1996] ECR I-2201, параграф 25; Дело C-278/99 Van der Burg [2001] ECR I-2015, параграф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Национална разпоредба обаче трябва да се квалифицира като технически регламент по смисъла на член 1, точка 9 от Директива 83/189, ако изисква от съответните предприятия да поискат предварително одобрение на тяхното оборудване (Решение по дело CIA Security, посочено по-горе, точка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От това следва, че национална правна уредба, която задължава операторите на услуги за условен достъп да влизат в оборудването, декодерите или системите за цифрово предаване и приемане на телевизионни сигнали чрез спътник, които те предлагат на пазара в регистър, и да получат предварително сертифициране за тези продукти, преди да могат да ги пуснат на пазара, представлява „технически регламент „по смисъла на член 1, точка 9 от Директива 83/189.“</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Решение от 26 септември 2000 г.</w:t>
        </w:r>
      </w:hyperlink>
      <w:r>
        <w:t xml:space="preserve">, Unilever Italia, C-443/98, точки 25 и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Разпоредба относно етикетирането на произхода на маслиновото масло е „техническа спецификация“, тъй като това е изискване, уреждащо етикетирането на даден продукт.</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В това отношение е достатъчно да се отбележи, че съгласно член 1, параграф 1 от Директива 83/189 тя третира като „продукти „както промишлените, така и селскостопанските продукти, и че съгласно параграф 2 от същия член Директива 83/189 третира като „техническа спецификация“ всяка спецификация, съдържаща се в документ, който определя характеристиките, изисквани за даден продукт, включително изискванията, приложими за продукта по отношение на етикетирането. Национална правна уредба, съдържаща такива спецификации, представлява техническа спецификация по смисъла на Директива 83/189, независимо от мотивите за приемането им (вж. в този смисъл Решение от 1997 октомври 1753 г. по дело Bic Benelux/État belge, C-13/96, все още непубликувано в Сборника, точка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Така оспорваният закон, който урежда етикетирането, указващо произхода на маслиновото масло, съдържа правила, които трябва да се квалифицират като „технически спецификации „по смисъла на Директива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Решение от 12 октомври 2000 г.</w:t>
        </w:r>
      </w:hyperlink>
      <w:r>
        <w:t xml:space="preserve">, Snellers, C-314/98, точки 37—39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„Техническата спецификация“ трябва да се отнася до самия продукт. Регламент, който установява критериите за определяне на датата, на която се счита, че дадено превозно средство за първи път е получило разрешение за движение по обществените пътища за целите на издаването на свидетелство за регистрация, не определя никаква характеристика, която се изисква за самия продукт, и следователно не може да се квалифицира като „технически регламент“.</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правила, които като разглежданите в главното производство имат за цел да определят датата, на която дадено превозно средство за първи път е разрешено за движение по обществените пътища, не са технически спецификации по смисъла на Директива 83/189 и следователно не могат да бъдат квалифицирани като технически регламенти, попадащи в приложното поле на тази директива.</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Член 1, параграф 1 от Директива 83/189 предвижда, че по отношение на продукти като разглежданите в главното производство техническата спецификация за целите на тази директива е „спецификация, съдържаща се в документ, който определя характеристиките, които се изискват за даден продукт. Следователно техническите спецификации по смисъла на Директива 83/189 трябва да се отнасят до самия продукт; това впрочем се потвърждава от неизчерпателния списък на съответните спецификации, предоставен примерно в член 1, параграф 1 от тази директива.</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Регламентът установява редица критерии за определяне на датата, на която за целите на Wegenverkeerswet дадено превозно средство се счита за получило разрешение за използване на обществен път за целите на издаването на свидетелство за регистрация. Следователно регламентът не определя нито една характеристика, която се изисква за продукта като такъв.“</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Решение от 16 ноември 2000 г.</w:t>
        </w:r>
      </w:hyperlink>
      <w:r>
        <w:rPr>
          <w:rFonts w:ascii="Times New Roman" w:hAnsi="Times New Roman" w:cs="Times New Roman" w:eastAsia="Times New Roman"/>
          <w:b/>
          <w:i/>
          <w:szCs w:val="20"/>
        </w:rPr>
        <w:t xml:space="preserve">, Donkersteeg, C-37/99, точки 30 и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За селскостопанските продукти „техническа спецификация“ е текст, определящ техните изисквани характеристики или методи на производство. Правило, което определя условията за ваксиниране на добитъка, е правило за производство и следователно като „техническа спецификация“.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Както бе припомнено в точка 20 от настоящото решение, съгласно член 1, параграф 1 от Директивата, що се отнася до селскостопанските продукти, „техническа спецификация“ е тази, която се съдържа в документ, който определя характеристиките, изисквани за даден продукт, или производствените му методи и процедури.</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Правило като съдържащото се в член 2, параграф 1 от VBZA представлява техническа спецификация по смисъла на член 1, параграф 1 от Директивата. Както правилно поддържа Комисията, тъй като точните и подробни правила относно ваксинацията срещу болестта на Ауески са свързани с производството в тесен смисъл на съответния селскостопански продукт и трябва да се спазват през целия производствен цикъл, това правило следователно определя „процедура „при производството на този продукт.“</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Решение от 8 март 2001 г.</w:t>
        </w:r>
      </w:hyperlink>
      <w:r>
        <w:t xml:space="preserve">, Van der Burg, C-278/99, точка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Регламент, който забранява само търговската реклама, но не определя изискваните характеристики на даден продукт, не представлява „техническа спецификация „и следователно не може да се счита за „технически регламент“.</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Съгласно член 1, параграф 1 от Директива 83/189 за целите на тази директива „техническа спецификация „е „спецификация, съдържаща се в документ, който определя характеристиките, които се изискват за даден продукт“. Следователно техническите спецификации по смисъла на Директива 83/189 трябва да се отнасят до самия продукт (вж. Решение от 2000 декември 0000 г. по дело Snellers Auto’s/Algemeen Directeur van de Dienst Wegverkeer, C-314/98, все още непубликувано в Сборника, точка 38). Въпреки това правна уредба като член В.11.1 (1) от Декрета, която само забранява метод на предлагане на пазара, не определя характеристиките, които се изискват за даден продукт.“</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Решение от 6 юни 2002 г.</w:t>
        </w:r>
      </w:hyperlink>
      <w:r>
        <w:t xml:space="preserve">, Sapod Audic, C-159/00, точки 30—33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Национална разпоредба, която предвижда задължение за идентифициране на дадена опаковка, представлява „технически регламент“, който подлежи на нотифициране, доколкото съдържа задължение за маркиране или етикетиране на тази опаковка.</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Следователно, тъй като задължението за идентифициране на опаковката, предвидено в член 4, втора алинея от Декрет № 92—377, изглежда не предполага задължение за маркиране или етикетиране на тази опаковка, това задължение не изглежда непременно да се отнася до продукта или неговата опаковка като такава. Тълкувана в този смисъл, не може да се приеме, че тази разпоредба определя изискваните характеристики на даден продукт по смисъла на член 1, параграф 1 от Директива 83/189 и следователно не може да се счита за техническа спецификация (вж. по-специално Решение от 2001 юли 2015 г. по дело Van der Burg, C-278/99, все още непубликувано в Сборника, точка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31.Независимо от това следва да се отбележи, че в рамките на предвиденото в член 234 ЕО разпределение на правомощията националната юрисдикция следва да тълкува националното право, в случая член 4, втора алинея от Декрет №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Следователно Съдът трябва да разгледа и възможността с оглед на всички фактически и правни обстоятелства, с които разполага националният съд, последният да стигне до извода, че член 4, втора алинея от Декрет № 92—377 трябва да се тълкува в смисъл, че задължава производителите да маркират или етикетират опаковката, без обаче да уточнява кой знак трябва да бъде поставен.</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В такъв случай следва да се приеме, че тази разпоредба всъщност представлява техническа спецификация по смисъла на Директива 83/189 и следователно, тъй като задължението е наложено с декрет в случай на пускане на пазара на опаковани продукти на цялата национална територия, тази разпоредба представлява технически регламент.“</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Решение от 8 септември 2005 г.</w:t>
        </w:r>
      </w:hyperlink>
      <w:r>
        <w:t xml:space="preserve">, C-500/03, Комисия/Португалия, точка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Правило, установяващо максимална дължина и височина на плавателните съдове за отдих и ограничаващо задвижващата му мощност, е „техническа спецификация“.</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(Тъй като решението е достъпно само на френски и португалски език, следният текст е превод.)</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От текста на член 2, параграф 1 от този регламент следва, че той съдържа технически спецификации по смисъла на член 1, точка 3 от Директива 98/34, които представляват технически регламенти по смисъла на тази директива. Съдържащите се в този регламент изисквания се отнасят до максималната дължина и височина, както и до ограничаването на мощността на задвижване на плавателните съдове за развлечение, използвани за целите на корабоплаването. Тези технически ограничения се прилагат за всички обществени лагуни в рамките на обществената услуга в Португалия, с изключение на тези на река Дуеро.“</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Решение от 8 ноември 2007 г.</w:t>
        </w:r>
      </w:hyperlink>
      <w:r>
        <w:t xml:space="preserve">, Schwibbert, C-20/05, точки 35—37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Националните разпоредби, въвеждащи задължението за поставяне на отличителен знак върху продуктите за целите на пускането им на пазара в държава членка, представляват „техническа спецификация“, тъй като представляват изисквания, свързани с маркирането и етикетирането на продуктите.</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Както Съдът е постановил, понятието за техническа спецификация предполага националната мярка да се отнася до продукта или неговата опаковка като такава и по този начин да установява една от изискваните характеристики на продукта (вж. в този смисъл Решение от 2001 март 2015 г. по дело Van der Burg, C-278/99, все още непубликувано в Сборника, точка 20; Дело C-390/99 Canal Satélite Digital [2002] ECR I-607, параграф 45; както и Решение по дело Sapod Audic, посочено по-горе, точка 30 и Решение по дело Lindberg, посочено по-горе, точка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В случая следва да се констатира, както посочва генералният адвокат в точки 46 и 48 от заключението си, че отличителният знак „SIAE“, който има за цел да информира потребителите и националните органи за законосъобразността на възпроизвеждането, се поставя върху самия носител, съдържащ интелектуалното произведение, а следователно и върху самия продукт. Следователно не е правилно да се твърди, както изтъкват Società Italiana degli Autori ed Editori и италианското правителство, че този знак се отнасял само за произведението на интелектуалния труд.</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Такъв отличителен знак представлява „техническа спецификация“ по смисъла на член 1, параграф 3 от Директива 98/34, тъй като попада в обхвата на приложимите за съответните продукти изисквания по отношение на маркировката или етикетирането. Следователно, тъй като спазването на тази спецификация е задължително de jure за пускането на пазара на тези продукти, спецификацията представлява „технически регламент „по смисъла на член 1, параграф 11 от тази директива (вж. в този смисъл Решение от 1997 юли 1753 г. по дело Bic Benelux, C-13/96, все още непубликувано в Сборника, точка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Решение от 14 април 2011 г.</w:t>
        </w:r>
      </w:hyperlink>
      <w:r>
        <w:t xml:space="preserve">, Vlaamse Dierenartsenvereniging и Janssens, C-42/10, C-45/10 и C-57/10, точки 68—70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Директивата не се прилага за паспортите за домашни любимци, които не могат да бъдат класифицирани като „продукти“, тъй като не могат да бъдат предмет на търговски сделки. Следователно националните разпоредби относно паспортите за домашни любимци не представляват „техническа спецификация“, която трябва да бъде съобщена на Комисията.</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Съдът е имал повод да подчертае, че в обхвата на свободното движение на стоки попадат само стоките, които могат да бъдат оценени в пари и като такива могат да бъдат предмет на търговски сделки (вж. в този смисъл по-специално Решение от 1968 декември 617 г. по дело Комисия/Италия, 7/68, Recueil, стр. 626, 2006 и Решение от 10341 септември 23 г. по дело Комисия/Гърция, C-65/05, все още непубликувано в Сборника, точки 25 —).</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Безспорно е обаче, че след като имат уникален номер и идентифицират конкретно животно, паспортите за домашни любимци не могат като такива да представляват предмет на търговски сделки.</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Следователно тези паспорти не могат да бъдат квалифицирани като „продукти“ по смисъла на практиката на Съда, директива 98/34 също не може да се прилага за тях. Следователно спецификации като съдържащите се в разглежданата в главното производство белгийска правна уредба не могат да се квалифицират като технически спецификации, които съгласно член 8 от тази директива трябва да бъдат предварително съобщени на Комисията, а ако това не е така, не трябва да се прилагат от националната юрисдикция (вж. в този смисъл Решение от 2007 юли 9447 г. по дело Schwibbert, C-20/05, все още непубликувано в Сборника, точки 33 и 44 и цитираната съдебна практика).“</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Решение от 9 юни 2011 г.</w:t>
        </w:r>
      </w:hyperlink>
      <w:r>
        <w:t xml:space="preserve">, Intercommunale Intermosane и Fédération de l’industrie et du gaz, C-361/10, точки 14—18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Националните разпоредби, определящи минимални изисквания за изграждането на електрически инсталации и безопасността на работниците, не представляват „технически спецификации“, тъй като определят общи цели за безопасност и защита, без да се позовават пряко на даден продукт или неговата опаковка и без да определят характеристиките му.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следва да се определи дали разглежданите в главното производство национални разпоредби попадат в първата категория технически регламенти, предвидена в член 1, параграф 11 от Директива 98/34, а именно понятието „техническа спецификация“.</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От съдебната практика следва, че това понятие, определено в член 1, параграф 3 от Директивата, предполага националната мярка задължително да се отнася до продукта или неговата опаковка като такава и по този начин да установява една от изискваните характеристики на даден продукт (вж. Решение по дело Schwibbert, посочено по-горе, точка 35 и цитираната съдебна практика).</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Що се отнася до разглежданите в главното производство национални разпоредби, следва да се посочи, че предвидените в тях минимални изисквания за изпълнението на някои електрически инсталации са предназначени да осигурят безопасността на тези инсталации, за да предпазят използващите ги работници.</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Налага се обаче изводът, че тези минимални изисквания всъщност са общи изисквания и цели за безопасност и защита, които не се отнасят непременно до конкретен продукт или опаковката му като такива и съответно не определят характеристиките на този продукт.</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Следователно разглежданите в главното производство национални разпоредби не съдържат технически спецификации по смисъла на Директива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Решение от 19 юли 2012 г.</w:t>
        </w:r>
      </w:hyperlink>
      <w:r>
        <w:t xml:space="preserve">, Fortuna и др., C-213/11, C-214/11 и C-217/11, точки 28—30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Националните разпоредби, ограничаващи експлоатацията на евтини игрални автомати извън казината, не са „технически регламенти“, тъй като не се отнасят до характеристиките на игралните автомати или тяхната опаковка.</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за да може национална мярка да попадне в първата категория технически регламенти, посочена в член 1, параграф 11 от Директива 98/34, тоест в рамките на понятието „техническа спецификация“, тази мярка задължително трябва да се отнася до продукта или неговата опаковка като такива и по този начин да определя една от изискваните характеристики на продукта (вж. Решение по дело Intercommunale Intermosane и Fédération de l’industrie et du gaz, посочено по-горе, точка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Достатъчно е да се отбележи обаче, че преходните разпоредби на Закона за хазартните игри се отнасят до разрешенията за организиране на игри с автомати с ниски печалби. Те не се отнасят до устройствата за игри с ниски печалби или до техните опаковки като такива и поради това не определят техните характеристики.</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Следователно разглежданите в главното производство национални разпоредби не съдържат технически спецификации по смисъла на Директива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Решение от 10 юли 2014 г.</w:t>
        </w:r>
      </w:hyperlink>
      <w:r>
        <w:rPr>
          <w:b/>
          <w:i/>
        </w:rPr>
        <w:t xml:space="preserve">, Ivansson и др.</w:t>
      </w:r>
      <w:r>
        <w:rPr>
          <w:b/>
          <w:i/>
        </w:rPr>
        <w:t xml:space="preserve">, C-307/13, точки 19—23</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Правило, установяващо обща цел за удобство на птиците и качество на съоръженията за отглеждане, не е „техническа спецификация“, тъй като не установява характеристиките на продукта и не е достатъчно точно, за да определи метода на производство.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Следва да се уточни, че съгласно съдебната практика това понятие [за техническа спецификация] предполага националната мярка задължително да се отнася до продукта или неговата опаковка като такива и по този начин да съдържа една от изискваните характеристики на продукта (вж. в този смисъл решение Fortuna и др., т.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Освен това, що се отнася до селскостопанските продукти, Съдът е уточнил, че техническата спецификация се съдържа в документ, който определя изискваните характеристики на даден продукт или неговите производствени методи и процедури (вж. в този смисъл решение Donkersteeg, C-37/99, т.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Следва да се отбележи, от една страна, че макар член 9 от DSF да се отнася до комфорта и качеството на съоръженията, в които се отглеждат кокошките за отглеждане на яйца, а именно уголемени клетки, тази разпоредба все пак не определя, както подчертава полското правителство, характеристиките, които разглежданите в главното производство предмети трябва да притежават.</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От друга страна, дори да се предположи, че тази разпоредба се отнася до производствен метод, доколкото, както се посочва в предходната точка, се отнася до отглеждането на кокошки носачки в оборудвани клетки, все пак трябва да се отбележи, че в посочената разпоредба само се споменава по общ начин изискването в помещенията да има гнезда, кацалки и места за къпане в прах, без обаче да се определят конкретно различните аспекти на системата за отглеждане. Точка 9 от DSF не съдържа никакво указание например за размера, броя, температурата, поддръжката или функционирането на тези инсталации, що се отнася до излагането на кокошките за производство на яйца на светлина или дори до храненето и поенето. При липсата на уточнение в член 9 от DSF не може да се приеме, че тя определя методите и процедурите на производство.</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Освен това следва да се отбележи, че като уточнява, че „системата на отглеждане трябва да бъде такава, че процентът на смъртност и нарушенията на поведението при кокошките да бъдат поддържани на ниско равнище „, без да се посочват други признаци, член 9, първа алинея от DSF само посочва общи цели във връзка с хуманното отношение към кокошките за производство на яйца, без непременно да посочва съответния продукт и следователно без да определя характеристиките на този продукт (вж. по аналогия решение Intercommunale Intermosane и Fédération de l„Industrie et du gaz, C-361/10, т.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Решение от 27 октомври 2016 г.</w:t>
        </w:r>
      </w:hyperlink>
      <w:r>
        <w:t xml:space="preserve">, James Elliott Construction, C-613/14, т.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Националните разпоредби, установяващи имплицитни договорни условия относно качеството на продаваните продукти, не представляват „технически спецификации“, тъй като не определят характеристиките на разглеждания продукт.</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В случая е видно, от една страна, че разпоредби като разглежданите в главното производство сами по себе си или съгласно тълкуването им от ирландските съдилища не попадат в обхвата на понятието „техническа спецификация“ по смисъла на член 1, параграф 3 от Директива 98/34. Това понятие обхваща само национални мерки, които препращат към даден продукт или неговата опаковка като такава и по този начин установяват една от изискваните характеристики на даден продукт (решение от 10 юли 2014 г., Ivansson и др.</w:t>
        <w:noBreakHyphen/>
        <w:t xml:space="preserve">, C 307/13, т. 19 и цитираната съдебна практика). Очевидно не е такъв случаят с изискване, което се прилага, освен ако страните не са договорили друго, по принцип за продажбата на всички продукти.“</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Решение от 1 февруари 2017 г.</w:t>
        </w:r>
      </w:hyperlink>
      <w:r>
        <w:t xml:space="preserve">, Município de Palmela, C-144/16, т.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Регламент, който изисква в зона за отдих да се излага информация за максималния капацитет на тази зона, не представлява „техническа спецификация“, тъй като не определя характеристиките на даден продукт.</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такава разпоредба не попада в категорията на техническите спецификации по смисъла на член 1, параграф 3 от Директива 98/34, доколкото е безспорно, че разпоредбите, които определят изискванията и общите цели в областта на безопасността и защитата, без непременно да посочват съответния продукт или неговата опаковка като такава и следователно без да определят характеристиките на този продукт, не представляват технически спецификации (вж. в този смисъл решение от 9 юни 2011 г., Intercommunale Intermosane и Fédération de l’industrie et du gaz, C-361/10, т. 17 и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Решение от 26 септември 2018 г.</w:t>
        </w:r>
      </w:hyperlink>
      <w:r>
        <w:t xml:space="preserve">, Van Gennip и др., C-137/17, точка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Национални разпоредби, които поставят пускането на пазара на продукти в зависимост от притежаване на разрешение от купувача, не попадат в обхвата на понятието „техническа спецификация“, тъй като не определят характеристиките на самия продукт или на неговата опаковка.</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Що се отнася, на първо място, до понятието „техническа спецификация“, следва да се припомни, че това понятие предполага националната мярка задължително да се отнася до продукта или неговата опаковка като такава и следователно да предвижда една от характеристиките, които се изискват за даден продукт, като размери, търговско описание, етикетиране или маркиране (решение от 10 юли 2014 г., Ivansson и др.</w:t>
        <w:noBreakHyphen/>
        <w:t xml:space="preserve">, C 307/13, т. 19 и цитираната съдебна практика). Както обаче посочва генералният адвокат в точка 74 от заключението си, белгийската правна уредба не се отнася до пиротехническите изделия или тяхната опаковка като такива, поради което тази правна уредба не определя някоя от основните характеристики на тези продукти. Следователно тази правна уредба не представлява „техническа спецификация „по смисъла на член 1, точка 3 от Директива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Решение от 28 май 2020 г.</w:t>
        </w:r>
      </w:hyperlink>
      <w:r>
        <w:t xml:space="preserve">, ECO-WIND Construction, C-727/17, точки 36 и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Регламент, който налага минимално разстояние за инсталиране на вятърни турбини, не представлява „техническа спецификация“, тъй като не определя характеристиките на продукта.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що се отнася до евентуалното квалифициране на същото изискване като технически регламент въз основа на това, че попада в категорията „технически спецификации“, следва да се отбележи, че техническата спецификация предполага националната мярка, която го предписва, да се отнася до продукта или неговата опаковка като такива и следователно да предвижда една от изискваните характеристики на този продукт (решения от 21 април 2005 г., Lindberg, C-267/03, т. 57 и от 19 юли 2012 г., Fortuna и др., C-213/11, C-214/11 и C-217/11, т.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В случая разглежданата в главното производство правна уредба се ограничава да предвиди във връзка с разполагането на съоръжения за вятърна енергия спазването на задължително минимално отстояние при инсталирането им. Следователно тази правна уредба не се отнася до продукт като такъв, в случая вятърния генератор, и следователно не предвижда една от изискваните характеристики на този продукт по смисъла на член 1, параграф 1, буква е) от Директива 2015/1535 във връзка с член 1, параграф 1, буква в) от тази директива.“</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Решение от 22 октомври 2020 г.</w:t>
        </w:r>
      </w:hyperlink>
      <w:r>
        <w:t xml:space="preserve">, Sportingbet и Internet Opportunity Entertainment, C-275/19, т. 42 и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Национална правна уредба, която запазва провеждането на хазартни игри за държавата и изисква лицензиите да се предоставят само на публични дружества, не е „техническа спецификация“, тъй като не определя характеристиките, които се изискват за даден продукт.</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Съгласно член 1, параграф 1 от Директива 83/189 „техническа спецификация“ по смисъла на тази директива е спецификацията, съдържаща се в документ, който определя характеристиките, изисквани за даден продукт, като нива на качество, работни характеристики, безопасност или размери, включително изискванията, приложими към продукта по отношение на терминология, символи, изпитване и методи за изпитване, опаковане, маркиране или етикетиране (вж. в този смисъл решение от 8 март 2001 г., Van der Burg, C-278/99, т.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Тъй като членове 3 и 9 от Декрет-закон № 422/89 предвиждат концесионни правила за провеждане на хазартни игри или игри на късмета, както и условията и зоните за упражняване на тази дейност, не изглежда тези разпоредби да се отнасят до характеристиките, изисквани за даден продукт по смисъла на член 1, параграф 1 от Директива 83/189, така че те да не могат да бъдат квалифицирани като „технически регламенти „по смисъла на член 1, параграф 5 от тази директива“.</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Други изисквания</w:t>
      </w:r>
      <w:bookmarkEnd w:id="46"/>
      <w:bookmarkEnd w:id="47"/>
    </w:p>
    <w:p w14:paraId="48370E42" w14:textId="77777777">
      <w:pPr>
        <w:pStyle w:val="BodyText"/>
      </w:pPr>
    </w:p>
    <w:p w14:paraId="032AC50F" w14:textId="77777777">
      <w:pPr>
        <w:pStyle w:val="P68B1DB1-BodyText11"/>
        <w:ind w:left="567"/>
        <w:rPr>
          <w:i/>
        </w:rPr>
      </w:pPr>
      <w:r>
        <w:t xml:space="preserve">„други изисквания „означава изискване, различно от техническа спецификация, наложено на продукт с цел защита по-специално на потребителите или околната среда, и което засяга неговия жизнен цикъл след пускането му на пазара, като например условия на употреба, рециклиране, повторна употреба или обезвреждане, когато тези условия могат значително да повлияят на състава или естеството на продукта или на неговото предлагане на пазара;“</w:t>
      </w:r>
    </w:p>
    <w:p w14:paraId="1AD68414" w14:textId="77777777">
      <w:pPr>
        <w:pStyle w:val="BodyText"/>
        <w:ind w:left="567"/>
        <w:rPr>
          <w:i/>
          <w:iCs/>
        </w:rPr>
      </w:pPr>
    </w:p>
    <w:p w14:paraId="3295AC84" w14:textId="258D2B2D">
      <w:pPr>
        <w:pStyle w:val="BodyText"/>
        <w:ind w:left="1440"/>
        <w:jc w:val="right"/>
      </w:pPr>
      <w:r>
        <w:t xml:space="preserve">(Член 1, параграф 1, буква г) от Директива (ЕС) 2015/1535 на Съвета)</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Решение от 21 април 2005 г.</w:t>
        </w:r>
      </w:hyperlink>
      <w:r>
        <w:t xml:space="preserve">, Lindberg, C-267/03, точки 68—78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Национална забрана за някои хазартни игри може да се квалифицира като „друго изискване“, ако може да повлияе на състава, естеството или продажбата на продукта. Ако обаче забраната не оставя място за използване на продукта, тя ще бъде описана като забранителна разпоредба (вж. част I, подчаст д. „Разпоредби за забрана“ от настоящия документ).</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следва да се приеме, че национална мярка като разглежданата в главното производство, изглежда, попада конкретно в обхвата на понятието „други изисквания“, въведено с Директива 94/10 в Директива 83/189, за да се разшири приложното ѝ поле, и следователно не попада в категорията на техническите спецификации.</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Такава мярка е изискване, наложено във връзка с продукт, а именно игрални автомати, главно с цел защита на потребителите, в случая съответните играчи.</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Следователно забрана като предвидената в релевантните разпоредби на изменения Закон за лотариите се отнася до използването на продукт по смисъла на член 1, параграф 9 от Директива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Освен това разглежданото в главното производство изискване не е наложено на игралните автомати за целите на пускането им на пазара, а се отнася до жизнения им цикъл след пускането им на пазара по смисъла на определението за „други изисквания“, съдържащо се в член 1, параграф 3 от Директива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За да попадне в обхвата на „други изисквания „по смисъла на член 1, параграф 3 от Директива 83/189, изискване като забраната за използване на разглежданите в главното производство игрални автомати трябва да представлява в случая „условие“ за използване, което може значително да повлияе на състава или естеството на продукта или на търговията с него.</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След това обаче се поставя въпросът дали тази забрана трябва да се счита за „условие „за използването на съответния продукт, или по-скоро представлява национална мярка, попадаща в третата категория технически регламенти, посочена в член 1, параграф 9 от Директива 83/189, която също е включена в нея с Директива 94/10, а именно „законите [...] на държавите членки, забраняващи производството, вноса, пускането на пазара или употребата на даден продукт“.</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Дали национална мярка като разглежданата в главното производство попада в едната или другата от тези две категории технически регламенти, зависи от обхвата на предвидената в тази мярка забрана.</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В това отношение е от значение, че за разлика от втората категория, състояща се от други изисквания по смисъла на член 1, параграф 3, тази трета категория технически регламент, определена в член 1, параграф 9 от Директива 83/189, не включва условието въпросната забрана да може значително да повлияе върху състава или естеството на продукта или върху търговията с него.</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За да попаднат в тази трета категория технически регламент, отнасяща се по-специално до забраната за използване, мерките трябва да имат обхват, който далеч надхвърля ограничението за някои възможни употреби на разглеждания продукт, и следователно не трябва да се ограничават само до ограничаване на използването му.</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Всъщност, както отбелязва генералният адвокат в точка 70 от заключението си, тази категория технически регламенти е предназначена по-специално да обхване национални мерки, които не оставят никаква възможност за разумно използване на съответния продукт, освен чисто странична. Запитващата юрисдикция следва да провери дали забраната, съдържаща се в разглежданата в главното производство национална разпоредба, представлява такава мярка.</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Ако след тази проверка от запитващата юрисдикция се докаже, че случаят в главното производство не е такъв, тази национална разпоредба би могла да се счита за „друго изискване“, тъй като е безспорно, че спазването на това изискване е задължително de jure за употребата на продукта в съответната държава членка по смисъла на член 1, параграф 9 от Директива 83/189. В този случай обаче запитващата юрисдикция следва също така да провери дали разглежданата забрана може значително да повлияе върху състава или естеството на продукта или върху търговията с него по смисъла на член 1, параграф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Решение от 9 юни 2011 г.</w:t>
        </w:r>
      </w:hyperlink>
      <w:r>
        <w:t xml:space="preserve">, Intercommunale Intermosane и Fédération de l’industrie et du gaz, C-361/10, точки 20 и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Националните разпоредби, които предвиждат минимални изисквания за изграждането на електрически инсталации и за безопасността на работниците, не могат да се квалифицират като „други изисквания“, тъй като общият им характер не позволява да се повлияе значително върху състава, естеството или търговията на съответните продукти.</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Съгласно съдебната практика, за да бъдат квалифицирани като „други изисквания „по смисъла на член 1, параграф 4 от Директива 98/34, минималните изисквания, предвидени в разглежданите разпоредби, трябва да представляват „условия“, които могат значително да повлияят на състава или естеството на съответния продукт или на търговията с него (вж. в този смисъл Решение по дело Lindberg, посочено по-горе, точка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Като се има предвид общият характер на посочените изисквания, те не могат да представляват такива условия и следователно да се квалифицират като „други изисквания „по смисъла на член 1, параграф 4 от директивата.“</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Решение от 19 юли 2012 г.</w:t>
        </w:r>
      </w:hyperlink>
      <w:r>
        <w:t xml:space="preserve">, Fortuna и др., C-213/11, C-214/11 и C-217/11, точки 35, 36 и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Националните разпоредби, ограничаващи експлоатацията на игрални автомати извън казината, могат да бъдат квалифицирани като „други изисквания „и следователно като „технически правила“, ако оказват значително влияние върху естеството или предлагането на пазара на съответните продукти.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Съдът е постановил, че за да бъдат квалифицирани като „други изисквания „по смисъла на член 1, параграф 4 от Директива 98/34, разглежданите национални мерки трябва да представляват „условия“, които могат значително да повлияят върху състава, естеството или търговията на съответния продукт (вж. в този смисъл Решение по дело Lindberg, посочено по-горе, точка 72 и Решение по дело Intercommunale Intermosane и Fédération de l’industrie et du gaz, посочено по-горе, точка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В това отношение трябва да се посочи, че преходните разпоредби на Закона за хазартните игри налагат условия, които могат да засегнат търговията с автоматизирани устройства за игри с ниски печалби. Забраната за издаване, удължаване или изменение на разрешения за дейност, свързана с игри с автомати с ниски печалби извън казината, може да засегне пряко търговията с игрални автомати с ниски печалби.“</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на поставените въпроси следва да се отговори, че член 1, параграф 11 от Директива 98/34 трябва да се тълкува в смисъл, че национални разпоредби като тези на Закона за хазартните игри, които биха могли да доведат до ограничаване или дори постепенно да направят невъзможно провеждането на хазартни игри с автомати с ниски печалби навсякъде, различни от казината и игралните зали, могат да представляват „технически регламенти „по смисъла на тази разпоредба, чиито проекти трябва да бъдат предмет на съобщаване по смисъла на член 8, параграф 1, първа алинея от Директивата, доколкото е установено, че тези разпоредби представляват условия, които могат значително да повлияят на естеството или предлагането на пазара на съответния продукт, което запитващата юрисдикция следва да провери“.</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Решение от 10 юли 2014 г.</w:t>
        </w:r>
      </w:hyperlink>
      <w:r>
        <w:rPr>
          <w:b/>
          <w:i/>
        </w:rPr>
        <w:t xml:space="preserve">, Ivansson и др.</w:t>
      </w:r>
      <w:r>
        <w:rPr>
          <w:b/>
          <w:i/>
        </w:rPr>
        <w:t xml:space="preserve">, C-307/13, точки 26—28</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Правило, установяващо обща цел за удобство на домашните птици и качество на съоръженията за отглеждане, не е „друго изискване“, тъй като е малко вероятно общият му характер да засегне състава, естеството или предлагането на пазара на крайния продукт.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Съдът вече е постановил, че за да бъдат квалифицирани като „други изисквания „по смисъла на член 1, параграф 4 от Директива 98/34, разглежданите национални мерки трябва да представляват „условия“, които могат значително да повлияят на състава или естеството на съответния продукт или на търговията с него (вж. решение Fortuna и др., т. 35 и цитираната съдебна практика).</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Съдът е постановил също, че когато националните разпоредби имат общ характер, те не могат да представляват такива условия и следователно да се квалифицират като „други изисквания“ по смисъла на член 1, параграф 4 от Директивата (вж. в този смисъл Решение по дело Intercommunale Intermosane и Fédération de l’Industrie et du gaz, посочено по-горе, точка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Следователно твърде общата формулировка на член 9 от DSF, припомнена в точки 22 и 23 от настоящото решение, не допуска да се счита, че тази разпоредба поставя условия за състава или естеството на съответните продукти или за търговията с тях.“</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Решение от 11 юни 2015 г.</w:t>
        </w:r>
      </w:hyperlink>
      <w:r>
        <w:t xml:space="preserve">, Berlington Hungary и др., C-98/14, точки 98 и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Националните разпоредби, забраняващи експлоатацията на монетни игрални автомати извън казината, представляват „други изисквания“, тъй като те могат значително да повлияят на естеството или предлагането на пазара на такива машини.</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Съдът вече е постановил, че национална мярка, която ограничава организирането на някои хазартни игри само до казината, представлява „технически регламент“ по смисъла на член 1, параграф 11 от Директивата, доколкото може значително да повлияе върху естеството или търговията с използваните в този контекст продукти (вж. в този смисъл решения Комисия/Гърция, C-65/05, т. 61 и Fortuna и др., съединени дела C-213/11, C-214/11 и C-217/11, т. 24 и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Въпреки това забраната за използване на монетни игрални автомати извън казината, като въведената със Закона за изменение от 2012 г., може значително да повлияе върху естеството или търговията с тези машини, които представляват стоки, които могат да попаднат в обхвата на член 34 ДФЕС (вж. решение Läärä и др., C-124/97, т. 20 и 24), като намали местата за продажба, в които те могат да бъдат използвани.“</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Решение от 13 октомври 2016 г.</w:t>
        </w:r>
      </w:hyperlink>
      <w:r>
        <w:t xml:space="preserve">, Naczelnik Urzędu Celnego I w., C-303/15, точки 25—30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Разпоредба, която обвързва упражняването на хазартни дейности с притежаването на оперативен лиценз за казино, не представлява „друго изискване“. Всъщност, макар разпоредбите, които ограничават организирането на хазартни игри до казината, да могат значително да засегнат предлагането на пазара на свързани продукти, като намалят каналите им за разпространение, правилата, уреждащи условията за установяване на предприятията, не могат да окажат значително въздействие върху естеството или предлагането на пазара на използваните продукти.</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Накрая, за да се определи дали член 6, параграф 1 от Закона за хазартните игри попада в приложното поле на член 1, параграф 4 от Директива 98/34 или на член 1, параграф 11 от тази директива, следва да се провери дали такава разпоредба може значително да повлияе върху състава, естеството или предлагането на пазара на съответния продукт, в случая игралните автомати, като „условие“, свързано с употребата на съответния продукт, или е национална мярка, принадлежаща към категорията забрани, посочена в член 1, параграф 11 от тази директива.</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В това отношение следва да се припомни, че всъщност член 14, параграф 1 от Закона за хазартните игри въвежда ограничението, съгласно което игри на рулетка, карти и зарове и игри с игрални автомати може да се организират само в игрални казина. Тази разпоредба е нотифицирана на Комисията като „технически регламент „, като се има предвид, че Съдът вече е постановил, от една страна, че национална мярка, която запазва организирането на някои хазартни игри само за казината, представлява „технически регламент“ по смисъла на член 1, параграф 11 от Директива 98/34, доколкото може значително да повлияе върху естеството или предлагането на пазара на продуктите, използвани в този контекст, и от друга страна, че забраната за използване на определени продукти извън казината може значително да повлияе на търговията с тези продукти, като намали възможностите за тяхното използване (вж. в този смисъл решение от 11 юни 2015 г., Berlington Hungary и др., C-98/14, т. 98 и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За сметка на това член 6, параграф 1 от този закон, който предвижда, че за организирането на игри на рулетка, карти и зарове и игри с игрални автомати е необходимо разрешение за експлоатация на игрално казино, не е нотифициран.</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28.Този довод на Комисията, че тясната връзка между двете разглеждани разпоредби на националното право води до невъзможност член 14, параграф 1 от Закона за хазартните игри да се отдели от член 6, параграф 1 от този закон, не може да бъде приет. Всъщност, както посочва генералният адвокат в точки 38—44 от заключението си, член 6, параграф 1 от посочения закон и член 14, параграф 1 от него имат различна функция и различно приложно поле. Описателният елемент от фактическия състав на член 6, параграф 1 от този закон, който служи за обозначаване на изискваното разрешение като разрешение „за експлоатация на игрално казино“, не се отразява на този извод.</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Ето защо следва да се приеме, че член 6, параграф 1 от Закона за хазартните игри не може да се счита за попадащ в категорията „други изисквания“ по смисъла на член 1, параграф 4 от Директива 98/34, тъй като изискваното от тази разпоредба от националното право разрешение за организирането на хазартни игри представлява условие, наложено по отношение на дейността по организиране на такива игри, различно от предвиденото в член 14, параграф 1 от този закон, който налага условия по отношение на съответните продукти, като забранява използването им извън казината.</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Освен това съгласно постоянната съдебна практика разпоредбите на националното право, които само предвиждат условия, уреждащи установяването или предоставянето на услуги от предприятия, като разпоредбите, които изискват предварително разрешение за упражняването на стопанска дейност, не представляват технически регламенти по смисъла на член 1, параграф 11 от Директива 98/34 (вж. в този смисъл решение от 4 февруари 2016 г., Ince, C-336/14, т. 76 и цитираната съдебна практика).“</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Решение от 27 октомври 2016 г.</w:t>
        </w:r>
      </w:hyperlink>
      <w:r>
        <w:t xml:space="preserve">, James Elliott Construction, C-613/14, точки 67—69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Националните разпоредби, предвиждащи имплицитни договорни условия относно качеството, годността за употреба или качеството на продаваните продукти, не представляват „други изисквания“, тъй като поради общия си характер е малко вероятно те да окажат значително влияние върху състава, естеството или предлагането на пазара на съответните продукти.</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В случая е видно, от една страна, че разпоредби като разглежданите в главното производство сами по себе си или съгласно тълкуването им от ирландските съдилища не попадат в обхвата на понятието „техническа спецификация“ по смисъла на член 1, параграф 3 от Директива 98/34. Това понятие обхваща само национални мерки, които препращат към даден продукт или неговата опаковка като такава и по този начин установяват една от изискваните характеристики на даден продукт (решение от 10 юли 2014 г., Ivansson и др., C-307/13, т. 19 и цитираната съдебна практика). Очевидно обаче случаят не е такъв що се отнася до изискване, което се прилага общо, освен при наличието на противна воля на страните, към продажбата на всякакви продукти.</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От друга страна, по същата причина тези разпоредби не могат да се квалифицират като „други изисквания“ по смисъла на член 1, параграф 4 от Директива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В това отношение Съдът е уточнил, че за да бъдат квалифицирани като „други изисквания „по смисъла на тази разпоредба, разглежданите национални мерки трябва да представляват условия, които могат значително да повлияят на състава или естеството на съответния продукт или на търговията с него, тъй като изискванията от общ характер не могат да представляват такива условия и следователно да се квалифицират като „други изисквания„(вж. решение от 10 юли 2014 г., Ivansson и др., C-307/13, т. 26 и 27 и цитираната съдебна практика)“.</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Решение от 1 февруари 2017 г.</w:t>
        </w:r>
      </w:hyperlink>
      <w:r>
        <w:t xml:space="preserve">, Município de Palmela, C-144/16, точки 23 и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Разпоредба, която определя изискванията за опаковане, наложени на даден продукт от съображения за защита на потребителите, е „друго изискване“, тъй като се отнася до жизнения цикъл на продуктите след пускането им на пазара и оказва значително влияние върху техния състав и предлагане на пазара.</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От друга страна, регламент, който изисква информацията за максималния капацитет на дадена зона за отдих да се излага на няколко места в тази зона, не е „друго изискване“ поради общия си характер.</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Що се отнася до член 16, параграф 1 и (2) от Правилника за PRA, изменен с Декрет-закон № 119/2009, следва да се отбележи, както отбелязва запитващата юрисдикция, че той представлява технически регламент по смисъла на Директиви 83/189 и 98/34, доколкото тази разпоредба предвижда изисквания, наложени на даден продукт с цел защита на потребителите, които засягат неговия жизнен цикъл след пускането му на пазара и оказват значително влияние върху състава и предлагането на пазара на такъв продукт. Следователно тази разпоредба попада в категорията „други изисквания „по смисъла както на член 1, параграф 3 от Директива 83/189, така и на член 1, параграф 4 от Директива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разпоредба като разглежданата в главното производство не представлява „друго изискване“ по смисъла на член 1, параграф 4 от Директива 98/34 предвид общия характер на предвидените в нея изисквания (вж. в този смисъл решение от 9 юни 2011 г., Intercommunale Intermosane и Fédération de l’industrie et du gaz</w:t>
        <w:noBreakHyphen/>
        <w:t xml:space="preserve">, C 361/10, т. 21). От друга страна, то не съдържа никакви забрани, които биха могли да го включат в категорията на забраните, посочени в член 1, параграф 11 от тази директива.“</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Решение от 26 септември 2018 г.</w:t>
      </w:r>
      <w:r>
        <w:rPr>
          <w:b/>
          <w:bCs/>
          <w:i/>
          <w:iCs/>
          <w:color w:val="0000FF"/>
          <w:sz w:val="22"/>
          <w:szCs w:val="22"/>
          <w:u w:val="single"/>
        </w:rPr>
        <w:fldChar w:fldCharType="end"/>
        <w:t xml:space="preserve">, Van Gennip и др., C-137/17, точки 39 и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Национални разпоредби, които поставят пускането на пазара на продукти в зависимост от притежаването на разрешение от купувача, не попадат в обхвата на понятието „други изисквания“, тъй като става въпрос за условие, наложено не на продуктите, а на купувачите.</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що се отнася до категорията „други изисквания „, следва да се отбележи, че за да бъде квалифицирана като „други изисквания„по смисъла на член 1, точка 4 от Директива 98/34, национална мярка трябва да представлява „условие“, което може значително да повлияе на състава, естеството или предлагането на пазара на съответния продукт (решение от 13 октомври 2016 г., M. и S., C-303/15, т. 20 и цитираната съдебна практика).</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В това отношение следва да се отбележи, както прави генералният адвокат в точка 76 от заключението си, че белгийското законодателство поставя продажбата на пиротехнически изделия, чийто пиротехнически състав надвишава 1 kg, в зависимост от получаването на разрешение от купувача. Следователно изискваното разрешение не представлява изискване за съответния продукт, а за потенциалните купувачи и косвено за икономическите оператори, които продават пиротехнически изделия (вж. в този смисъл решения от 21 април 2005 г., Lindberg, C-267/03, т. 87 и от 13 октомври 2016 г., M. и S., C-303/15, т.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Решение от 28 май 2020 г.</w:t>
        </w:r>
      </w:hyperlink>
      <w:r>
        <w:t xml:space="preserve">, ECO-WIND Construction, C-727/17, точки 40 и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Регламент, с който се налага минимално разстояние за инсталиране на вятърни турбини, не попада в категорията „други изисквания“, тъй като въздействието му върху пускането на пазара на съответните продукти не е достатъчно пряко.</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от постоянната съдебна практика следва, че тази категория включва правна уредба, която предвижда условие, което може значително да повлияе на състава, естеството или предлагането на пазара на даден продукт (решения от 21 април 2005 г., Lindberg, C-267/03, т. 69—72 и от 19 юли 2012 г., Fortuna и др., C-213/11, C-214/11 и C-217/11, т. 35), като тези „други изисквания“ обхващат изискванията, произтичащи от отчитането на жизнения цикъл на съответния продукт след пускането му на пазара и свързани по-специално с неговата употреба.</w:t>
      </w:r>
    </w:p>
    <w:p w14:paraId="15144425" w14:textId="77777777">
      <w:pPr>
        <w:pStyle w:val="P68B1DB1-BodyText19"/>
        <w:ind w:left="567"/>
        <w:rPr>
          <w:iCs/>
        </w:rPr>
      </w:pPr>
    </w:p>
    <w:p w14:paraId="45870460" w14:textId="6B88BEBE">
      <w:pPr>
        <w:pStyle w:val="P68B1DB1-BodyText19"/>
        <w:ind w:left="567"/>
        <w:rPr>
          <w:iCs/>
        </w:rPr>
      </w:pPr>
      <w:r>
        <w:t xml:space="preserve">41. В случая, подобно на съображенията, изложени в точка 37 от настоящото решение, следва да се отбележи, че изискването при разполагане на съоръжение за вятърна енергия да се спазва минимално отстояние между него и сградите с жилищно предназначение, няма пряка връзка със състава, естеството или търговията с продукт, например вятърен генератор. В тази връзка, ако се допусне, че това изискване води до ограничаване на отговарящите на В това отношение, дори да се предположи, че това изискване води до ограничаване на местата, подходящи за инсталиране на вятърни турбини, и следователно има отражение върху търговията с вятърни генератори, това въздействие не би било достатъчно пряко, за да може посоченото изискване да попадне в категорията „други изисквания „, посочена в член 1, параграф 1, буква е) от Директива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Решение от 4 ноември 2022 г.</w:t>
        </w:r>
      </w:hyperlink>
      <w:r>
        <w:rPr>
          <w:rFonts w:ascii="Times New Roman" w:hAnsi="Times New Roman" w:cs="Times New Roman" w:eastAsia="Times New Roman"/>
          <w:b/>
          <w:i/>
          <w:szCs w:val="20"/>
        </w:rPr>
        <w:t xml:space="preserve">, Phytofar, C</w:t>
        <w:noBreakHyphen/>
        <w:t xml:space="preserve">658/21, точки 36—42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Правна уредба, която забранява на лицата, които не притежават разрешение за професионалисти, да използват пестициди, съдържащи глифосат, може да представлява „друго изискване“, тъй като може значително да повлияе на пускането на пазара на глифосат. Значението на това влияние се преценява с оглед на обема на покупките на съответните продукти и промените в търговските навици.</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В случая, най-напред, от преамбюла на постановлението от 14 юли 2017 г. е видно, че установената с него забрана е наложена с цел опазване на човешкото здраве и на околната среда.</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По-нататък, тази забрана се отнася до жизнения цикъл на пестицидите, съдържащи глифосат след пускането им на пазара, като предвижда условие, свързано с употребата на тези продукти, тъй като в земите за лична употреба само професионалистите, притежаващи фитосанитарен лиценз, имат право да ги използват.</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Накрая, следва да се констатира, че подобна забранителна мярка може значително да повлияе върху продажбата на съответните продукти.</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Тази мярка води до изчезването на категория потенциални купувачи на пестициди, съдържащи глифосат, а именно лица, които желаят сами да използват такива пестициди, без да използват услугите на професионалисти, притежаващи изискваното фитосанитарно разрешение. Следователно подобно ограничение на възможността за използване на пестициди, съдържащи глифосат, засяга търговията с тях (вж. по аналогия решение от 13 октомври 2016 г., M. и S., C-303/15, т. 26 и цитираната съдебна практика).</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Както обаче посочва Комисията в писменото си становище, за да може въведената с Решението от 14 юли 2017 г. мярка да се квалифицира като „технически регламент „, попадащ в категорията „други изисквания„по смисъла на член 1, параграф 1, буква г) и буква е) от Директива 2015/1535, търговията с пестициди, съдържащи глифосат, трябва да бъде „значително“ повлияна от тази мярка.</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Запитващата юрисдикция следва да провери дали настоящият случай е именно такъв.</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При тази преценка запитващата юрисдикция може да вземе предвид по-специално общия обем на продажбите на съдържащи глифосат пестициди на територията на Фламандския регион и промяната в покупателните навици на всяка категория купувачи в зависимост от честотата на покупките и количеството на закупувания продукт, както и от промяната в местата на закупуване и дистрибуторските канали. В този контекст посочената юрисдикция може да вземе предвид степента, в която, от една страна, търсенето от страна на професионалните потребители замества това на лицата, които използват услугите на професионални потребители, и от друга страна, индивидуалните потребители вече получават пестициди, които не съдържат глифосат, вместо тези, които съдържат това вещество.“</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Решение от 9 март 2023 г.</w:t>
        </w:r>
      </w:hyperlink>
      <w:r>
        <w:rPr>
          <w:rFonts w:ascii="Times New Roman" w:hAnsi="Times New Roman" w:cs="Times New Roman" w:eastAsia="Times New Roman"/>
          <w:b/>
          <w:i/>
          <w:szCs w:val="20"/>
        </w:rPr>
        <w:t xml:space="preserve">, Vapo Atlantic, C-604/21, точки 40 и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Националното законодателство, което изисква от операторите, които пускат моторни горива за потребление, да допринасят за постигането на целите за включване на биогорива в моторни горива и чието нарушаване може да доведе до финансови санкции, може значително да повлияе върху предлагането на пазара на горива. Следователно то представлява „друго изискване“.</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В случая въпросите на запитващата юрисдикция се отнасят до национална правна уредба, която задължава икономическите оператори, които освобождават за потребление моторни горива, с изключение на втечнения нефтен газ и природния газ, да допринесат за постигането на целите за включване на биогоривата в годишните количества моторно гориво, които освобождават за потребление, а именно цел от 10 % за 2020 г. Макар този закон да не уточнява вида на въпросното моторно гориво, нито да определя процент биогориво, което физически да бъде вложено в моторни горива, нито да уточнява вида биогориво, което трябва да бъде вложено, предвиденото в него изискване, прието за целите на опазването на околната среда, е насочено към жизнения цикъл на моторните горива след пускането им на пазара и би могло значително да повлияе на търговията с тези продукти, тъй като неспазването на задължението за влагане на биогорива, предвидено в този закон, може да доведе до налагане на задължение за плащане на финансова компенсация.</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От това следва, че национален закон, който определя цел за влагане на 10 % биогорива в моторни горива, освободени за потребление от икономически оператор за 2020 г., попада в обхвата на понятието „други изисквания „по смисъла на член 1, параграф 4 от Директива 98/34 и следователно представлява „технически регламент„по смисъла на член 1, параграф 11 от тази директива.“</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Правила относно услугите</w:t>
      </w:r>
      <w:bookmarkEnd w:id="5"/>
      <w:bookmarkEnd w:id="68"/>
      <w:bookmarkEnd w:id="69"/>
    </w:p>
    <w:p w14:paraId="19E12A03" w14:textId="77777777">
      <w:pPr>
        <w:pStyle w:val="BodyText"/>
      </w:pPr>
    </w:p>
    <w:p w14:paraId="6D8B2150" w14:textId="77777777">
      <w:pPr>
        <w:pStyle w:val="P68B1DB1-BodyText11"/>
        <w:ind w:left="567"/>
        <w:rPr>
          <w:iCs/>
        </w:rPr>
      </w:pPr>
      <w:r>
        <w:t xml:space="preserve">„правило за услуги“ означава изискване от общ характер, свързано с предприемането и упражняването на дейности по предоставяне на услуги по смисъла на буква б), по-специално разпоредби относно доставчика на услуги, услугите и получателя на услугите, с изключение на правилата, които не са специално насочени към услугите, определени в тази буква. </w:t>
      </w:r>
    </w:p>
    <w:p w14:paraId="7C9B8AC3" w14:textId="77777777">
      <w:pPr>
        <w:pStyle w:val="P68B1DB1-BodyText11"/>
        <w:ind w:left="567"/>
        <w:rPr>
          <w:iCs/>
        </w:rPr>
      </w:pPr>
    </w:p>
    <w:p w14:paraId="46FCE36C" w14:textId="0D89DACC">
      <w:pPr>
        <w:pStyle w:val="P68B1DB1-BodyText11"/>
        <w:ind w:left="567"/>
        <w:rPr>
          <w:iCs/>
        </w:rPr>
      </w:pPr>
      <w:r>
        <w:t xml:space="preserve">За целите на настоящото определение: </w:t>
      </w:r>
    </w:p>
    <w:p w14:paraId="0FA17B64" w14:textId="77777777">
      <w:pPr>
        <w:pStyle w:val="P68B1DB1-BodyText11"/>
        <w:ind w:left="567"/>
        <w:rPr>
          <w:iCs/>
        </w:rPr>
      </w:pPr>
    </w:p>
    <w:p w14:paraId="5287D99C" w14:textId="40B4253E">
      <w:pPr>
        <w:pStyle w:val="P68B1DB1-BodyText11"/>
        <w:numPr>
          <w:ilvl w:val="0"/>
          <w:numId w:val="30"/>
        </w:numPr>
        <w:rPr>
          <w:iCs/>
        </w:rPr>
      </w:pPr>
      <w:r>
        <w:t xml:space="preserve">едно правило се счита за специално насочено към услугите на информационното общество, когато, взимайки предвид причините за него и оперативната му част, конкретната цел и предмет на всички или някои от отделните му разпоредби е да регулира такива услуги по ясен и целенасочен начин, </w:t>
      </w:r>
    </w:p>
    <w:p w14:paraId="112BC54B" w14:textId="13ACB17B">
      <w:pPr>
        <w:pStyle w:val="P68B1DB1-BodyText11"/>
        <w:numPr>
          <w:ilvl w:val="0"/>
          <w:numId w:val="30"/>
        </w:numPr>
        <w:rPr>
          <w:iCs/>
        </w:rPr>
      </w:pPr>
      <w:r>
        <w:t xml:space="preserve">дадено правило не се счита за специално насочено към услугите на информационното общество, ако засяга тези услуги само имплицитно или инцидентно;“</w:t>
      </w:r>
    </w:p>
    <w:p w14:paraId="573C811F" w14:textId="77777777">
      <w:pPr>
        <w:pStyle w:val="BodyText"/>
        <w:ind w:left="567"/>
        <w:rPr>
          <w:i/>
          <w:iCs/>
        </w:rPr>
      </w:pPr>
    </w:p>
    <w:p w14:paraId="2735376A" w14:textId="709F0465">
      <w:pPr>
        <w:pStyle w:val="BodyText"/>
        <w:ind w:left="1440"/>
        <w:jc w:val="right"/>
      </w:pPr>
      <w:r>
        <w:t xml:space="preserve">(Член 1, параграф 1, буква д) от Директива (ЕС) 2015/1535 на Съвета)</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„услуга“ означава всяка услуга на информационното общество, т.е. всяка услуга, нормално предоставяна срещу възнаграждение, от разстояние, чрез електронно средство и по индивидуална молба на получателя на услугите.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За целите на настоящото определение: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„от разстояние“ означава, че услугата се предоставя без страните да присъстват едновременно;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„по електронен път“ означава, че услугата се изпраща първоначално и се получава по местоназначение чрез електронно оборудване за обработка (включително цифрово компресиране) и съхранение на данни и изцяло се предава, предава и получава изцяло чрез кабел, радио, оптични средства или други електромагнитни средства;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„по индивидуална молба на получател на услуги“ означава, че услугата се предоставя чрез предаване на данни по индивидуална молба.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Примерен списък на услугите, които не са обхванати от това определение, се съдържа в приложение I;“</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(Член 1, параграф 1, буква б) от Директива (ЕС) 2015/1535 на Съвета)</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„Примерен списък на услугите, които не са обхванати от член 1, параграф 1, буква б), втора алинея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Услуги, които не са предоставени „от разстояние“</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Услуги, предоставяни във физическото присъствие на доставчика и получателя, дори ако предполагат използването на електронни средства: </w:t>
      </w:r>
    </w:p>
    <w:p w14:paraId="3362CCDE" w14:textId="74A453DA">
      <w:pPr>
        <w:spacing w:after="0" w:line="240" w:lineRule="auto"/>
        <w:ind w:left="1287"/>
        <w:rPr>
          <w:rFonts w:ascii="Times New Roman" w:hAnsi="Times New Roman" w:cs="Times New Roman"/>
          <w:i/>
          <w:sz w:val="24"/>
          <w:szCs w:val="24"/>
        </w:rPr>
        <w:pStyle w:val="P68B1DB1-Normal12"/>
      </w:pPr>
      <w:r>
        <w:t xml:space="preserve">а) медицински прегледи или лечение при лекарска хирургия с помощта на електронно оборудване, когато пациентът присъства физически;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б) справка в електронен каталог в магазин с клиента на място; </w:t>
      </w:r>
    </w:p>
    <w:p w14:paraId="7DA6C469" w14:textId="5F31D5B1">
      <w:pPr>
        <w:spacing w:after="0" w:line="240" w:lineRule="auto"/>
        <w:ind w:left="1287"/>
        <w:rPr>
          <w:rFonts w:ascii="Times New Roman" w:hAnsi="Times New Roman" w:cs="Times New Roman"/>
          <w:i/>
          <w:sz w:val="24"/>
          <w:szCs w:val="24"/>
        </w:rPr>
        <w:pStyle w:val="P68B1DB1-Normal12"/>
      </w:pPr>
      <w:r>
        <w:t xml:space="preserve">в) резервация на самолетен билет в пътническа агенция при физическото присъствие на клиента чрез компютърна мрежа; </w:t>
      </w:r>
    </w:p>
    <w:p w14:paraId="01C9EFAD" w14:textId="77777777">
      <w:pPr>
        <w:spacing w:after="0" w:line="240" w:lineRule="auto"/>
        <w:ind w:left="1287"/>
        <w:rPr>
          <w:rFonts w:ascii="Times New Roman" w:hAnsi="Times New Roman" w:cs="Times New Roman"/>
          <w:i/>
          <w:sz w:val="24"/>
          <w:szCs w:val="24"/>
        </w:rPr>
        <w:pStyle w:val="P68B1DB1-Normal12"/>
      </w:pPr>
      <w:r>
        <w:t xml:space="preserve">г) електронни игри, предоставени във видео център, където клиентът присъства физически.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Услуги, които не са предоставени „чрез електронни средства“</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услуги с материално съдържание, въпреки че се предоставят чрез електронни устройства: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а) автомати за автоматично предоставяне на пари в брой или билети (банкноти, билети за влак); </w:t>
      </w:r>
    </w:p>
    <w:p w14:paraId="07693B6B" w14:textId="1A59726A">
      <w:pPr>
        <w:spacing w:after="0" w:line="240" w:lineRule="auto"/>
        <w:ind w:left="1287"/>
        <w:rPr>
          <w:rFonts w:ascii="Times New Roman" w:hAnsi="Times New Roman" w:cs="Times New Roman"/>
          <w:i/>
          <w:sz w:val="24"/>
          <w:szCs w:val="24"/>
        </w:rPr>
        <w:pStyle w:val="P68B1DB1-Normal12"/>
      </w:pPr>
      <w:r>
        <w:t xml:space="preserve">б) достъп до пътни мрежи, паркинги и др., такси за ползване, дори ако на входа/изхода има електронни устройства за контрол на достъпа и/или за гарантиране на правилното плащане, </w:t>
      </w:r>
    </w:p>
    <w:p w14:paraId="6B193BE7" w14:textId="77777777">
      <w:pPr>
        <w:spacing w:after="0" w:line="240" w:lineRule="auto"/>
        <w:ind w:left="567"/>
        <w:rPr>
          <w:rFonts w:ascii="Times New Roman" w:hAnsi="Times New Roman" w:cs="Times New Roman"/>
          <w:i/>
          <w:sz w:val="24"/>
          <w:szCs w:val="24"/>
        </w:rPr>
        <w:pStyle w:val="P68B1DB1-Normal12"/>
      </w:pPr>
      <w:r>
        <w:t xml:space="preserve">— офлайн услуги: разпространение на CD-ROM или софтуер на дискети, </w:t>
      </w:r>
    </w:p>
    <w:p w14:paraId="421C0A6C" w14:textId="77777777">
      <w:pPr>
        <w:spacing w:after="0" w:line="240" w:lineRule="auto"/>
        <w:ind w:left="567"/>
        <w:rPr>
          <w:rFonts w:ascii="Times New Roman" w:hAnsi="Times New Roman" w:cs="Times New Roman"/>
          <w:i/>
          <w:sz w:val="24"/>
          <w:szCs w:val="24"/>
        </w:rPr>
        <w:pStyle w:val="P68B1DB1-Normal12"/>
      </w:pPr>
      <w:r>
        <w:t xml:space="preserve">услуги, които не се предоставят чрез системи за електронна обработка/инвентаризация: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а) гласови телефонни услуги;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б) факс/телекс услуги;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в) услуги, предоставяни чрез гласова телефония или факс;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г) консултация по телефон/факс от лекар;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д) консултация по телефон/факс от адвокат;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е) директен маркетинг по телефон/факс.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Услуги, които не се предоставят „по индивидуално искане на получателя на услугите“</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Услуги, предоставяни чрез предаване на данни без да е налице индивидуална молба за едновременно приемане от неограничен брой отделни получатели (предаване от една до много точки): </w:t>
      </w:r>
    </w:p>
    <w:p w14:paraId="7348FF90" w14:textId="622E29E3">
      <w:pPr>
        <w:spacing w:after="0" w:line="240" w:lineRule="auto"/>
        <w:ind w:left="1287"/>
        <w:rPr>
          <w:rFonts w:ascii="Times New Roman" w:hAnsi="Times New Roman" w:cs="Times New Roman"/>
          <w:i/>
          <w:sz w:val="24"/>
          <w:szCs w:val="24"/>
        </w:rPr>
        <w:pStyle w:val="P68B1DB1-Normal12"/>
      </w:pPr>
      <w:r>
        <w:t xml:space="preserve">а) услуги за телевизионно излъчване (включително услуги, близки до видео по заявка), обхванати от член 1, параграф 1, буква д) от Директива 2010/13/ЕС;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б) услуги по радиоразпръскване; </w:t>
      </w:r>
    </w:p>
    <w:p w14:paraId="50FD6B17" w14:textId="6C6940F1">
      <w:pPr>
        <w:spacing w:after="0" w:line="240" w:lineRule="auto"/>
        <w:ind w:left="567" w:firstLine="720"/>
        <w:pStyle w:val="P68B1DB1-Normal12"/>
      </w:pPr>
      <w:r>
        <w:t xml:space="preserve">в) (телетекст).“</w:t>
      </w:r>
    </w:p>
    <w:p w14:paraId="4CB8A09D" w14:textId="49490E91">
      <w:pPr>
        <w:pStyle w:val="BodyText"/>
        <w:ind w:left="1440"/>
        <w:jc w:val="right"/>
      </w:pPr>
      <w:r>
        <w:t xml:space="preserve">(Приложение I към Директива (ЕС)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Решение от 2 юни 2005 г.</w:t>
        </w:r>
      </w:hyperlink>
      <w:r>
        <w:rPr>
          <w:rFonts w:ascii="Times New Roman" w:hAnsi="Times New Roman" w:cs="Times New Roman" w:eastAsia="Times New Roman"/>
          <w:b/>
          <w:i/>
          <w:szCs w:val="20"/>
        </w:rPr>
        <w:t xml:space="preserve">, Mediakabel BV, C-89/04, точки 38 и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Телевизионна услуга, която се предоставя по искане на абоната, но за която честотата и времето на филмите се определят от доставчика, не представлява „услуга на информационното общество“, тъй като съдържанието се избира и планира от доставчика и следователно не се предоставя по индивидуална молба на получателя.</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Макар такава услуга да отговаря на първите два критерия, за да представлява „услуга на информационното общество „по смисъла на член 1, параграф 2 от Директива 98/34, а именно да се предоставя от разстояние и отчасти да се предава чрез електронно оборудване, тя не отговаря на третия критерий от това понятие, съгласно който въпросната услуга трябва да се предоставя „по индивидуална молба на получателя на услугите“. Списъкът на филмите, предлагани като част от услуга като Filmtime, се определя от доставчика на услугата. Подборът на филми се предлага на всички абонати при едни и същи условия, било то чрез писмени медии или чрез информация, предадена на телевизионния екран, и тези филми са достъпни в определеното от доставчика време за излъчване. Индивидуалният ключ, позволяващ достъп до филмите, е само средство за декодиране на изображения, чиито сигнали се изпращат едновременно на всички абонати.</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Следователно такава услуга не се командва индивидуално от изолиран получател, който има свободен избор на предавания в интерактивна среда. Тя трябва да се счита за услуга, близка до видео по заявка, предоставяна на принципа „от точка до много точки „, а не „по индивидуална молба на получателя на услугите“.</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Решение от 2 февруари 2016 г.</w:t>
        </w:r>
      </w:hyperlink>
      <w:r>
        <w:t xml:space="preserve">, Ince, C-336/14, точки 75 и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Националните разпоредби, които ограничават предлагането на онлайн хазартни игри или забраняват онлайн рекламата на такива игри, могат да се считат за „правила относно услугите „, тъй като се отнасят до „услуга на информационното общество„. За сметка на това разпоредбите, които изискват предварително разрешение за операторите, организиращи хазартни игри, или забраняват предоставянето на такова разрешение на частни оператори, се отнасят до условията за установяване на предприятия и следователно не представляват „правила относно услугите“.</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някои от разпоредбите на Договора относно игрите могат да бъдат квалифицирани като „правила относно услугите „, доколкото се отнасят до „услуга на информационното общество“ по смисъла на член 1, точка 2 от Директива 98/34. Сред тези разпоредби са забраната за предлагане на хазартни игри по интернет, предвидена в член 4 (4) от Договора за хазартните игри, изключенията от тази забрана, изброени в член 25 (6) от този договор, ограниченията за предлагане на спортни залагания чрез телемедийни услуги съгласно член 21 (2) от този договор и забраната за излъчване на реклами за хазартни игри по интернет или чрез телекомуникационно оборудване съгласно член 5 (3) от този договор.</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От друга страна, що се отнася до разпоредбите на Договора за хазартните игри, извън тези за „услуга [та] на информационното общество „по смисъла на член 1, точка 2 от Директива 98/34, каквито са разпоредбите, въвеждащи задължение за получаване на разрешение за организирането или събирането на спортни залагания, както и невъзможността за издаване на разрешение на частни оператори, те не представляват „технически регламенти“ по смисъла на член 1, точка 11 от тази директива. Национални разпоредби, които само предвиждат условия, уреждащи установяването или предоставянето на услуги от предприятия, като разпоредбите, които поставят упражняването на дадена дейност в зависимост от предварително разрешение, не представляват технически регламенти по смисъла на тази разпоредба (вж. в този смисъл решение Lindberg, C-267/03, т.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Решение на Съда от 13 октомври 2016 г.</w:t>
        </w:r>
      </w:hyperlink>
      <w:r>
        <w:t xml:space="preserve">, Naczelnik Urzędu Celnego I w.</w:t>
        <w:noBreakHyphen/>
        <w:t xml:space="preserve">, C 303/15, т.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Разпоредба, която обвързва упражняването на хазартни дейности с притежаването на оперативен лиценз за казино, не представлява „правило за услуги „, тъй като не се отнася до „услуга на информационното общество“.</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тази разпоредба не може да бъде включена в категорията „правила относно услугите [на информационното общество] „по смисъла на член 1, параграф 5 от Директива 98/34, тъй като не се отнася до „услуга на информационното общество“ по смисъла на член 1, параграф 2 от тази директива.</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Решение от 20 декември 2017 г.</w:t>
      </w:r>
      <w:r>
        <w:rPr>
          <w:color w:val="0000FF"/>
          <w:u w:val="single"/>
        </w:rPr>
        <w:fldChar w:fldCharType="end"/>
        <w:t xml:space="preserve">, Falbert и др.</w:t>
        <w:noBreakHyphen/>
        <w:t xml:space="preserve">, C 255/16, т. 27—29, 32 и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Националните разпоредби относно хазартните или рекламните услуги могат да представляват „правила за услуги“, ако се отнасят пряко до услуги, предоставяни от разстояние, по електронен път и по индивидуална молба на получателя. Дори в текста на тези разпоредби да не се прави разлика между онлайн и офлайн услуги, тяхната цел по отношение на „услугите на информационното общество“ може да се изведе от техните съображения или от </w:t>
      </w:r>
      <w:r>
        <w:rPr>
          <w:i/>
        </w:rPr>
        <w:t xml:space="preserve">подготвителните работи</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Следва да се припомни, че съгласно член 1, параграф 2 от тази директива понятието „технически регламент“ обхваща единствено регламентите относно услугите на информационното общество, т.е. всяка услуга, предоставяна от разстояние по електронен път и по индивидуална молба на получателя на услугите (вж. решения от 13 октомври 2016 г., M. и S., C-303/15, т. 21 и от 1 февруари 2017 г., Município de Palmela, C-144/16, т.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В това отношение следва да се отбележи, че по принцип член 10 (3) (3) от Закона за игрите се отнася до два вида услуги, а именно, от една страна, рекламните услуги, които се санкционират незабавно по силата на тази разпоредба, и от друга страна, игралните услуги, обхванати от забраната за реклама и които са основен предмет на Закона за хазартните игри, разглеждан в неговата цялост.</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Както рекламните, така и игралните услуги, доколкото се предоставят по-специално чрез електронни средства (онлайн), представляват „услуги на информационното общество „по смисъла на член 1, параграф 2 от Директива 98/34 и свързаните с него правила, които следователно могат да се считат за „правила относно услугите„по смисъла на член 1, параграф 5 от Директива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В това отношение следва да се отбележи, от една страна, че съгласно член 1, параграф 5, първо тире от Директива 98/34 въпросът дали дадено правило се отнася конкретно до услугите на информационното общество трябва да се преценява с оглед както на мотивите, така и на текста на правилото. Освен това съгласно същата разпоредба не се изисква „конкретната цел и предмет“ на съответното правило като цяло да е регулиране на услугите на информационното общество, тъй като е достатъчно това да е целта или предметът на някои отделни негови разпоредби.</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Следователно, ако само от текста на национална правна уредба не следва, че тя има за цел, поне отчасти, да регламентира конкретно услугите на информационното общество — както в настоящия случай, когато в текста не се прави разграничение между услугите, предоставяни офлайн, и услугите, предоставяни онлайн — този предмет все пак може да се изведе съвсем лесно от изложените мотиви за правилото — отново както в настоящия случай съгласно релевантните национални тълкувателни правила, които позволяват, наред с другото, подготвителните работи по прилагането на правилото да дават насоки.“</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Решение от 20 декември 2017 г.</w:t>
        </w:r>
      </w:hyperlink>
      <w:r>
        <w:t xml:space="preserve">, Asociación Profesional Elite Taxi, C</w:t>
        <w:noBreakHyphen/>
        <w:t xml:space="preserve">434/15, т. 37 и 39—41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Посредническа услуга, която чрез приложение за смартфон свързва срещу възнаграждение непрофесионални шофьори, използващи собствени превозни средства, с лица, търсещи градски транспорт, трябва да се счита за неразривно свързана с транспортна услуга и следователно да се квалифицира като „услуга в областта на транспорта „(а не като „услуга на информационното общество“).</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Следва обаче да се отбележи, че услуга като разглежданата в главното производство е нещо повече от посредническа услуга, състояща се в свързване чрез приложение за смартфон на непрофесионален водач, използващ собственото си превозно средство, с лице, което желае да пътува в градски условия.“</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В това отношение от сведенията, с които разполага Съдът, следва, че посредническата услуга на Uber предполага подбор на непрофесионални шофьори, използващи собствените си превозни средства, на които шофьори това дружество предоставя приложение, без което, от една страна, тези шофьори не биха предоставяли транспортни услуги, и от друга страна, лицата, желаещи да ползват градски превоз, не биха прибягвали до услугите на посочените шофьори. Нещо повече, Uber упражнява решаващо влияние върху условията на предоставяне на услугата от такива шофьори. Във връзка с последното се установява по-специално че Uber определя посредством едноименното приложение най-малкото максималната цена на курса, че това дружество събира тази цена от клиента и след това плаща част от нея на непрофесионалния шофьор на превозното средство и че то упражнява определен контрол по отношение на качеството на превозните средства и на техните шофьори, както и по отношение на поведението на последните, който може евентуално да доведе до изключването им.</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Следователно тази посредническа услуга трябва да се счита за неразделна част от цялостна услуга, чийто основен компонент е транспортна услуга, и следователно трябва да се квалифицира не като „услуга на информационното общество „по смисъла на член 1, параграф 2 от Директива 98/34, към който препраща член 2, буква а) от Директива 2000/31, а като „услуга в областта на транспорта“ по смисъла на член 2, параграф 2, буква г) от Директива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Тази квалификация действително се потвърждава от практиката на Съда, съгласно която понятието „услуги в областта на транспорта „включва не само транспортните услуги сами по себе си, но и всяка услуга, неразривно свързана с всяко физическо действие по придвижване на хора или стоки от едно място на друго чрез транспортни средства (вж. в този смисъл решение от 15 октомври 2015 г., Grupo Itevelesa и др., C-168/14, т. 45 и 46, и Становище 2/15 (Споразумение за свободна търговия със Сингапур) от 16 май 2017 г., т.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Решение от 10 април 2018 г.</w:t>
        </w:r>
      </w:hyperlink>
      <w:r>
        <w:t xml:space="preserve">, Uber France</w:t>
        <w:noBreakHyphen/>
        <w:t xml:space="preserve">, C 320/16, точки 21 и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Разпоредба от националното право, която налага наказателноправни санкции за организиране на система за свързване на клиенти с шофьори без необходимото разрешение, се отнася до „услуга в областта на транспорта „(а не до „услуга на информационното общество“), доколкото посредническата услуга, за която се прилага, представлява неразделна част от цялостна услуга, чийто основен компонент е транспортната услуга.</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Съдът приема, че посредническата услуга, предоставяна от съответното дружество, е неразривно свързана с предлагането от това дружество на извънобществени услуги за градски транспорт, като се има предвид, на първо място, че това дружество е подало заявление, без което тези водачи не биха били принудени да предоставят транспортни услуги, и че лицата, които желаят да пътуват в градски условия, не биха използвали услугите, предоставяни от тези водачи, и на второ място, това дружество е упражнявало решаващо влияние върху условията, при които тези водачи предоставят услугите си, по-специално като е определило максималната тарифа, като я е събрало от клиента, преди да плати част от нея на непрофесионалния водач на превозното средство, и като е упражнявало известен контрол върху качеството на превозните средства, водачите и тяхното поведение, което евентуално би могло да доведе до тяхното изключване (вж. в този смисъл решение от 20 декември 2017 г., Asociación Profesional Elite Taxi, C-434/15, т. 38 и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Въз основа на тези обстоятелства Съдът приема, че разглежданата по това дело посредническа услуга трябва да се счита за неразделна част от цялостна услуга, чийто основен компонент е транспортна услуга, и следователно трябва да се квалифицира не като „услуга на информационното общество „по смисъла на член 1, параграф 2 от Директива 98/34, а като „услуга в областта на транспорта„по смисъла на член 2, параграф 2, буква г) от Директива 2006/123 (вж. в този смисъл решение от 20 декември 2017 г., Asociación Profesional Elite Taxi, C-434/15, т.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Решение от 26 септември 2018 г.</w:t>
        </w:r>
      </w:hyperlink>
      <w:r>
        <w:t xml:space="preserve">, Van Gennip и др., C-137/17, точки 42 и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Националните разпоредби, които поставят пускането на пазара на продукти в зависимост от притежаването на разрешение от купувача, не попадат в обхвата на понятието „правило за услуги „, тъй като не се отнасят до „услуги на информационното общество“.</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Трето, що се отнася до категорията „правило за услуги „, следва да се припомни, че съгласно член 1, точка 5 от Директива 98/34 такова правило представлява всяко изискване от общ характер, свързано с достъпа до и упражняването на услугите, посочени в член 1, точка 2 от тази директива, които обозначават „всяка услуга на информационното общество, т.е. всяка услуга, нормално предоставяна срещу възнаграждение, от разстояние, чрез електронно средство и по индивидуална молба на получателя на услугите“ (решение от 4 февруари 2016 г., Ince, C-336/14, т.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В настоящия случай трябва да се отбележи, както посочва генералният адвокат в точка 73 от заключението си, че разглежданата в главното производство правна уредба не се отнася до услугите на информационното общество по смисъла на член 1, точка 2 от Директива 98/34. Следователно тази правна уредба не може да попадне в категорията „правило за услуги „на информационното общество по смисъла на член 1, точка 5 от тази директива.“</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Решение от 12 септември 2019 г.</w:t>
        </w:r>
      </w:hyperlink>
      <w:r>
        <w:t xml:space="preserve">, VG Media, C-299/17, т. 32, 33 и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Национална разпоредба, която забранява на търговските оператори на интернет търсачки и на доставчиците на услуги за търговско съдържание да предоставят на обществеността вестници, представлява „технически регламент“ и Комисията трябва да бъде уведомена за нея.</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Счита се, че дадено правило е специално насочено към „услугите на информационното общество“, ако определени разпоредби преследват тази цел, дори ако тя не е единствената цел на правилото. Тази цел може да се изведе от мотивите на правилото, които могат да се съдържат в подготвителните работи, макар те да не произтичат изрично от текста на самата норма.</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В това отношение следва да се отбележи, че съгласно член 1, параграф 5, първо тире от тази директива дадена норма се счита за специално насочена към услугите на информационното общество, като се вземат предвид както мотивите, така и разпоредителната ѝ част. Освен това по силата на същата разпоредба не се изисква „конкретната цел и цел“ на цялото разглеждано правило да бъде регулирането на услугите на информационното общество, тъй като е достатъчно правилото да преследва тази цел или тази цел в някои от своите разпоредби (решение от 20 декември 2017 г., Falbert и др., C-255/16, т.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Освен това, дори когато само от текста на национална норма не следва, че тя има за цел, поне отчасти, да регламентира конкретно услугите на информационното общество, тази цел все пак може да се изведе съвсем лесно от мотивите на правилото, както изглежда, в съответствие с релевантните национални правила за тълкуване в това отношение, по-специално от подготвителните работи по правилото (вж. в този смисъл решение от 20 декември 2017 г., Falbert и др., C-255/16, т.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Всъщност, макар запитващата юрисдикция да не дава ясни указания относно конкретната цел и предмет на разглежданата в главното производство национална правна уредба, от становището, представено от германското правителство в заседанието пред Съда, все пак е видно, че първоначално изменението на UrhG се е отнасяло конкретно до доставчиците на интернет търсачки. Освен това страните в главното производство и Комисията посочват в писмените си становища, че тази правна уредба има за цел да защити легитимните интереси на издателите на периодични издания в света на цифровите технологии. Следователно основната цел и предмет на разглежданата в главното производство национална разпоредба е да се защитят тези издатели от нарушенията на авторското право, извършвани с онлайн търсачките. В този контекст изглежда, че защитата е била счетена за необходима само за системни нарушения на произведения на онлайн издатели от страна на доставчици на услуги на информационното общество.“</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Решение от 19 декември 2019 г.</w:t>
        </w:r>
      </w:hyperlink>
      <w:r>
        <w:t xml:space="preserve">, Airbnb Ireland</w:t>
        <w:noBreakHyphen/>
        <w:t xml:space="preserve">, C 390/18, точки 64—68 и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Посредническа услуга, свързваща клиенти с домакини, предлагащи краткосрочно настаняване чрез електронна платформа, като същевременно предоставя спомагателни услуги, представлява „услуга на информационното общество“, тъй като спомагателните услуги не оказват значително влияние върху предоставянето на услугите по настаняване.</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За да може дадена услуга да бъде класифицирана като „услуга на информационното общество“, тя трябва кумулативно да отговаря на четири условия: тя трябва да се предоставя срещу възнаграждение, от разстояние, по електронен път и по индивидуална молба на получателя.</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Дори взети заедно всички посочени в точки 59—63 от настоящото решение услуги на Airbnb Ireland, били те факултативни или не, не биха могли да поставят под въпрос отделимостта на посредническата услуга, която това дружество предоставя, а следователно и квалификацията ѝ като „услуга на информационното общество“, тъй като не променят присъщите ѝ характеристики. В това отношение би било парадоксално, както отбелязва и генералният адвокат в точка 46 от заключението си, съпътстващи услуги с добавена стойност, които електронна платформа предоставя на клиентите си с цел по-специално да ги разграничи от конкурентите им, да могат, при липсата на други основания, да доведат до промяна на естеството, а следователно и на правната квалификация на дейността на тази платформа.</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Освен това, противно на поддържаното от AHTOP и френското правителство, правилата за функциониране на посредническа услуга като предоставяната от Airbnb не могат да бъдат приравнени на тези на посредническата услуга, по която са постановени решения от 20 декември 2017 г., Asociación Profesional Elite Taxi (C-434/15, т. 39), и от 10 април 2018 г., Uber France (C-320/16, т.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Като се има предвид и фактът, че посочените решения се вписват в специфичния контекст на услугите по индивидуален градски транспорт, за които е приложим член 58, параграф 1 ДФЕС, и че предоставяните от Airbnb Ireland услуги не са сходни с разглежданите по споменатите дела услуги, то съпътстващите услуги, посочени в точки 59—63 от настоящото решение, не позволяват да се установи констатираното от Съда в посочените решения равнище на контрол.</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Така в тези решения Съдът е уточнил, че Uber е упражнявало решаващо влияние върху условията, при които транспортните услуги се предоставят от непрофесионалните водачи въз основа на предоставената им от това дружество молба (решения от 20 декември 2017 г., Asociación Profesional Elite Taxi, C-434/15, т. 39 и от 10 април 2018 г., Uber France, C-320/16, т.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Обстоятелствата, посочени от запитващата юрисдикция и припомнени в точка 19 от настоящото решение, не позволяват да се установи, че Airbnb Ireland упражнява такова решаващо влияние върху условията за предоставяне на услугите по настаняване, за които се отнася посредническата му услуга, още повече че Airbnb Ireland не определя пряко или косвено начислената наемна цена, както бе установено в точки 56 и 62 от настоящото решение, още по-малко избира домакините или жилищата, поставени под наем на неговата платформа.“</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Като се има предвид, че Френската република не е уведомила за Закона Hoguet и като се има предвид кумулативният характер на условията, предвидени в член 3, параграф 4 от Директива 2000/31, припомнени в точки 84 и 85 от настоящото решение, следва да се приеме, че този закон във всеки случай не може да се приложи към частноправен субект, намиращ се в положение като това на Airbnb Ireland в главното производство, независимо дали този закон отговаря на другите условия, предвидени в тази разпоредба.“</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Решение от 22 октомври 2020 г.</w:t>
        </w:r>
      </w:hyperlink>
      <w:r>
        <w:t xml:space="preserve">, Sportingbet и Internet Opportunity Entertainment</w:t>
        <w:noBreakHyphen/>
        <w:t xml:space="preserve">, C 275/19, т. 47—49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Правна уредба, която предоставя на публичноправен субект изключителното право да провежда определени хазартни игри, включително по интернет, попада в обхвата на понятието „правила за услуги“, доколкото се отнася до услуга на информационното общество.</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Съгласно член 1, параграф 5 от тази директива „правилата относно услугите „се състоят от всяко изискване от общ характер, свързано с достъпа до и упражняването на дейностите по предоставяне на услуги, посочени в член 1, параграф 2 от тази директива, които включват „всяка услуга на информационното общество, т.е. всяка услуга, нормално предоставяна срещу възнаграждение, от разстояние, чрез електронно средство и по индивидуална молба на получателя на услугите“.</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В това отношение Съдът вече е постановил, че разпоредбите относно забраната за предлагане на хазартни игри по интернет, изключенията от тази забрана, ограниченията за предлагане на залагания върху резултатите от спортни състезания по интернет и забраната за излъчване на реклами за хазартни игри по интернет могат да се квалифицират като „правила за услуги „по смисъла на член 1, параграф 5 от Директива 98/34, доколкото се отнасят до „услуга на информационното общество“ по смисъла на член 1, параграф 2 от тази директива (вж. по аналогия решение от 4 февруари 2016 г., Ince, C-336/14, т.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В случая обаче предвидените в членове 2 и 3 от Декрет-закон № 282/2003 правила се отнасят конкретно до услугите на информационното общество. Освен това поради предоставянето на Santa Casa на изключителното право за провеждане на хазартни игри по интернет тези разпоредби забраняват на всички икономически оператори да предоставят тези услуги, с изключение на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Решение от 3 декември 2020 г.</w:t>
        </w:r>
      </w:hyperlink>
      <w:r>
        <w:t xml:space="preserve">, Star Taxi App, C</w:t>
        <w:noBreakHyphen/>
        <w:t xml:space="preserve">62/19, т. 52—54 и 64—66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Посредническа услуга, която просто свързва клиенти с вече оторизирани таксиметрови шофьори, без да организира самата транспортна услуга, да избира шофьори, да определя тарифи или да упражнява контрол върху превозните средства или водачите, попада в категорията „услуги на информационното общество“.</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Освен това правна уредба, която не е насочена конкретно към такива услуги, а се прилага без разграничение към всички форми на изпращане, включително по телефона или чрез приложение, не може да се квалифицира като „правило за услуги“.</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Всъщност, от една страна, от акта за преюдициално запитване е видно, че за разлика от посредническата услуга, разглеждана по делото, по което е постановено решение от 20 декември 2017 г., Asociación Profesional Elite Taxi (C-434/15), която предлага и предоставя достъпни услуги за градски транспорт, извършвани от непрофесионални водачи, които преди това са отсъствали от пазара, разглежданата в главното производство услуга се ограничава, както отбелязва генералният адвокат в точка 49 от заключението си, до поставянето на лицата, желаещи да пътуват в градски условия, само с оторизирани таксиметрови шофьори, които вече извършват тази дейност и за които посредническата услуга е само един от множеството начини за придобиване на клиенти, а не един, който по някакъв начин са длъжни да използват.</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Второ, не може да се приеме, че такава посредническа услуга организира общото функциониране на последващата услуга за градски превоз, тъй като доставчикът нито избира таксиметровите шофьори, нито определя или получава цената на курса, нито пък упражнява контрол върху качеството на превозните средства и на техните шофьори, както и върху поведението на последните.</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От това следва, че посредническа услуга като предоставяната от Star Taxi App не може да се счита за неразделна част от цялостна услуга, чийто основен компонент е транспортна услуга, и следователно трябва да се квалифицира като „услуга на информационното общество „по смисъла на член 2, буква а) от Директива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В случая от акта за преюдициално запитване е видно, че в разглежданата в главното производство румънска правна уредба, независимо дали става въпрос за Закон № 38/2003 или за Решение № 178/2008, изобщо не се споменават услугите на информационното общество. Освен това член 3, член 21, параграф 1 и (31) и член 41, параграф 21 от приложение I към Решение № 178/2008 се отнасят без разграничение до всички видове диспечерски услуги, независимо дали се предоставят по телефона или по друг начин, като например софтуерно приложение.</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Освен това, както отбелязва генералният адвокат в точка 108 от заключението си, Закон № 38/2003 задължава доставчиците на диспечерски услуги, които упражняват дейността си посредством приложение за смартфон, също както и всички други оператори, които предоставят диспечерски услуги, да притежават оборудване — в случая приемо-предавателни радиостанции — което е напълно ненужно с оглед на използваните технически способи за предоставяне на тази услуга.</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Така, тъй като не е насочена специално към услугите на информационното общество, правна уредба като разглежданата в главното производство се отразява върху тези услуги само имплицитно или инцидентно. Следователно такова правило не може да се счита за „правило за услуги „по смисъла на член 1, параграф 1, буква д) от Директива 2015/1535, нито следователно за „технически регламент“ по смисъла на член 1, параграф 1, буква е) от тази директива.</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Решение от 29 февруари 2024 г.</w:t>
        </w:r>
      </w:hyperlink>
      <w:r>
        <w:rPr>
          <w:rFonts w:ascii="Times New Roman" w:hAnsi="Times New Roman" w:cs="Times New Roman" w:eastAsia="Times New Roman"/>
          <w:b/>
          <w:i/>
          <w:szCs w:val="20"/>
        </w:rPr>
        <w:t xml:space="preserve">, Doctipharma SAS, C-606/21, точки 26—30 и 34—36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Възнаграждението за услуга, предоставена от доставчик на услуги в рамките на икономическа дейност, не трябва непременно да се плаща от лицата, които са бенефициери. Това се отнася за услуга, предоставяна на уебсайт, състояща се в свързване на фармацевти с клиенти за продажбата на лекарствени продукти, когато услугата се заплаща от фармацевтите, които са се абонирали за платформата ѝ въз основа на фиксирана такса.</w:t>
      </w:r>
    </w:p>
    <w:p w14:paraId="60E238C1" w14:textId="77777777">
      <w:pPr>
        <w:pStyle w:val="P68B1DB1-BodyText22"/>
      </w:pPr>
    </w:p>
    <w:p w14:paraId="16BCA1E5" w14:textId="5221BD03">
      <w:pPr>
        <w:pStyle w:val="P68B1DB1-BodyText22"/>
      </w:pPr>
      <w:r>
        <w:t xml:space="preserve">Такава услуга не е част от цялостна услуга, чийто основен елемент е предмет на друга правна квалификация, различна от тази на „услуга на информационното общество“.</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Член 1, параграф 2 от Директива 98/34 и член 1, параграф 1, буква б) от Директива 2015/1535 определят понятието „услуга на информационното общество „като „всяка услуга, нормално предоставяна срещу възнаграждение, от разстояние, чрез електронно средство и по индивидуална молба на получателя на услугите“.</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В случая, що се отнася до първото условие, предвидено в тези разпоредби, следва да се припомни, че съгласно постоянната съдебна практика възнаграждението за услуга, предоставена от доставчик в рамките на икономическа дейност, не трябва непременно да се заплаща от получателите (вж. в този смисъл решения от 15 септември 2016 г., Mc Fadden, C-484/14, т. 41 и от 4 май 2017 г., Vanderborght, C-339/15, т.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Така, за да се квалифицира услуга като разглежданата в главното производство като попадаща в обхвата на понятието „услуга на информационното общество“ по смисъла на член 1, параграф 2 от Директива 98/34 и на член 1, параграф 1, буква б) от Директива 2015/1535, е без значение дали тази услуга се предоставя безплатно на лицето, което купува лекарствения продукт, за който не се изисква лекарско предписание, ако води до сключването между доставчика на тази услуга и всеки фармацевт, ползващ тази услуга, на договор за предоставяне на услуги, включващи заплащане.</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В това отношение бил без значение и фактът, че както посочва Doctipharma, съгласно общите условия за продажба то е получавало възнаграждение от фармацевтите, абонирали се за платформата му, въз основа на фиксирана сума, или пък, както посочва френското правителство, фактът, че Doctipharma е начислявало на клиентите си месечен абонамент за предоставяната от него услуга и обратно прехвърляне на процент от сумата от продажбите, събрана чрез платформата.</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От това следва, че освен ако не се установи друго при проверките, които запитващата юрисдикция трябва да извърши, разглежданата в главното производство услуга във всички случаи трябва да се счита за предоставена срещу възнаграждение.“</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Този извод не се поставя под съмнение от съдебната практика, установена от Съда в решения от 20 декември 2017 г., Asociación Profesional Elite Taxi (C-434/15), от 19 декември 2019 г., Airbnb Ireland (C-390/18), и от 3 декември 2020 г., Star Taxi App (C-62/19).</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От тази съдебна практика следва, че услуга, чиято цел е да свърже клиенти с доставчици на друга услуга от различно естество и която отговаря на всички условия, предвидени в член 1, параграф 2 от Директива 98/34 и член 1, параграф 1, буква б) от Директива 2015/1535, трябва да се квалифицира като „услуга на информационното общество“, когато тази услуга се различава от предоставяната от тези доставчици услуга от различно естество. Положението обаче трябва да е различно, ако се окаже, че тази услуга, която свързва продавачите с клиентите, е неразделна част от цялостна услуга, чийто основен елемент е различен от правната квалификация на „услуга на информационното общество“ (решение от 3 декември 2020 г., Star Taxi App, C-62/19, т. 49 и цитираната съдебна практика).</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Както отбелязва генералният адвокат в точки 28 и 29 от заключението си, услуга за свързване на фармацевти и клиенти с цел продажба на лекарствени продукти, за които не се изисква лекарско предписание, от уебсайтовете на аптеките, които са се абонирали за тази услуга, не може да бъде неразделна част от цялостна услуга, чийто основен елемент не се квалифицира като „услуга на информационното общество „.“</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Решение от 13 март 2025 г.</w:t>
        </w:r>
      </w:hyperlink>
      <w:r>
        <w:rPr>
          <w:rFonts w:ascii="Times New Roman" w:hAnsi="Times New Roman" w:cs="Times New Roman" w:eastAsia="Times New Roman"/>
          <w:b/>
          <w:i/>
          <w:szCs w:val="20"/>
        </w:rPr>
        <w:t xml:space="preserve">, Unigames UAB</w:t>
        <w:noBreakHyphen/>
        <w:t xml:space="preserve">, C 120/24, точки 38—42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Забраната за рекламиране на хазартни игри в игрални сайтове не се отнася до рекламна услуга, която не е свързана с хазартната услуга, а до услуга, която е неделима от услугата в областта на хазартните игри по интернет. Следователно, за да се определи дали то представлява „правило за услуги „, най-напред следва да се разгледа квалификацията на услугите за онлайн игри като „услуги на информационното общество“.</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Съображенията, изложени в точки 36 и 37 от настоящото решение</w:t>
      </w:r>
      <w:r>
        <w:rPr>
          <w:i w:val="0"/>
        </w:rPr>
        <w:t xml:space="preserve"> [съгласно които услугите в областта на хазартните игри по интернет следва да се считат за „услуги на информационното общество „]</w:t>
      </w:r>
      <w:r>
        <w:t xml:space="preserve">, не се поставят под въпрос от факта, че информацията за хазарта, публикувана от оператора на хазартни игри на неговия уебсайт, не се предоставя непременно „по индивидуална молба на получателя на услугите“. При обстоятелства като разглежданите в главното производство публикуването на информация не може да се счита за рекламна или друга услуга, предоставяна на получателите на хазартни услуги от разстояние, а представлява дейност, която е съпътстваща и неделима от съответните хазартни услуги от разстояние, от които произтича цялото ѝ икономическо значение (вж. по аналогия решение от 1 октомври 2020 г., A (Реклама и продажба на лекарствени продукти онлайн), C-649/18, т. 56). Следователно само самите хазартни услуги трябва да отговарят на съответните условия, за да попаднат в обхвата на понятието „услуга „по смисъла на член 1, параграф 1, буква б) от Директива 2015/1535, а разглежданата в главното производство забрана, която се отнася до такова публикуване на информация, от своя страна трябва да отговаря на специфичните критерии, предвидени в член 1, параграф 1, буква д) от тази директива, за да се счита за „правило за“ тези услуги по смисъла на последната разпоредба.</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В това отношение, макар да е безспорно, че разглежданата в главното производство забрана представлява „изискване от общ характер „по смисъла на член 1, параграф 1, буква д) от Директива 2015/1535, следва да се провери, на първо място, дали тя може да се счита за „свързана с достъпа до и упражняването на дейности по предоставяне на услуги“, като в тази разпоредба се уточнява, че това е така по-специално що се отнася до разпоредбите относно доставчика на услуги, услугите и получателя на услугите.</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В това отношение следва да се отбележи, че член 10, параграф 19 от Закона за хазартните игри може да попадне в обхвата на понятието „правило за услуги“, тъй като предвижда забрана за насърчаване по-специално на участието в хазартни игри от разстояние, и по-специално за публикуване на информация относно игрите на уебсайта на оператор на хазартни игри или на действия, насърчаващи участието в хазартни игри (вж. в този смисъл решение от 22 октомври 2020 г., Sportingbet и Internet Opportunity Entertainment, C-275/19, т. 48 и цитираната съдебна практика).</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От друга страна, както следва от самия текст на член 1, параграф 1, буква д) от Директива 2015/1535, за да бъде квалифицирана като „правило за услуги „, разглежданата в главното производство забрана трябва да бъде „конкретно“ насочена към услугите на информационното общество (вж. в този смисъл решение от 12 септември 2019 г., VG Media, C-299/17, т.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В това отношение от член 1, параграф 1, буква д), втора алинея, подточка i) от Директива 2015/1535 следва, че проверката дали дадено правило се отнася конкретно до услугите на информационното общество трябва да се извършва с оглед както на текста на това правило, така и на целта, която то преследва. Освен това съгласно тази разпоредба не се изисква „конкретната цел и цел“ на цялото разглеждано правило да е да регулира услугите на информационното общество, а е достатъчно тя да преследва тази цел или цел чрез някои от разпоредбите си (вж. в този смисъл решение от 12 септември 2019 г., VG Media, C-299/17, т. 32 и цитираната съдебна практика). Накрая, съгласно член 1, параграф 1, буква д), втора алинея, подточка ii) от тази директива дадено правило не се счита за специално насочено към услугите на информационното общество, ако засяга тези услуги само имплицитно или инцидентно.“</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Забранителни разпоредби</w:t>
      </w:r>
      <w:bookmarkEnd w:id="98"/>
      <w:bookmarkEnd w:id="99"/>
    </w:p>
    <w:p w14:paraId="11A12362" w14:textId="77777777">
      <w:pPr>
        <w:pStyle w:val="BodyText"/>
      </w:pPr>
    </w:p>
    <w:p w14:paraId="6DD7108F" w14:textId="22E84863">
      <w:pPr>
        <w:pStyle w:val="P68B1DB1-BodyText11"/>
        <w:ind w:left="567"/>
        <w:rPr>
          <w:iCs/>
        </w:rPr>
      </w:pPr>
      <w:r>
        <w:t xml:space="preserve">„технически регламент „означава [...] законови, подзаконови или административни разпоредби на държавите членки, с изключение на тези, предвидени в член 7, забраняващи производството, вноса, маркетинга или използването на продукт или забраняващи предоставянето или използването на услуга или установяването като доставчик на услуги.“</w:t>
      </w:r>
    </w:p>
    <w:p w14:paraId="6EA3335C" w14:textId="77777777">
      <w:pPr>
        <w:pStyle w:val="BodyText"/>
        <w:ind w:left="567"/>
        <w:rPr>
          <w:i/>
          <w:iCs/>
        </w:rPr>
      </w:pPr>
    </w:p>
    <w:p w14:paraId="05F6428B" w14:textId="3C27EE7A">
      <w:pPr>
        <w:pStyle w:val="BodyText"/>
        <w:ind w:left="1440"/>
        <w:jc w:val="right"/>
      </w:pPr>
      <w:r>
        <w:t xml:space="preserve">(член 1, параграф 1, буква е), първо изречение от Директива (ЕС)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Решение от 16 септември 1996 г.</w:t>
        </w:r>
      </w:hyperlink>
      <w:r>
        <w:t xml:space="preserve">, Комисия/Италия, C-279/94, точка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Забраната за пускане на пазара и употреба на азбест е „технически регламент“, който подлежи на нотифициране, тъй като забранява пускането на пазара и употребата на даден продукт.</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Що се отнася до член 1, параграф 2 от Закон № 257/92, тази разпоредба забранява добива, вноса, износа, пускането на пазара и производството на азбест, азбестови продукти и продукти, съдържащи азбест, след изтичането на една година от датата на влизане в сила на закона. Такава разпоредба, забраняваща пускането на пазара и употребата на азбест, представлява технически регламент, за който италианското правителство е трябвало да нотифицира в съответствие с член 8, параграф 1, първа алинея от Директивата.“</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Решение от 21 април 2005 г.</w:t>
        </w:r>
      </w:hyperlink>
      <w:r>
        <w:t xml:space="preserve">, Lindberg, C-267/03, точки 75—77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Национална забрана за някои хазартни игри може да се квалифицира като забранителна разпоредба, ако не оставя никаква възможност за разумно използване на съответния продукт, освен чисто странична. За сметка на това квалифицирането като забрана не зависи от последиците от забраната за състава, естеството или предлагането на пазара на съответните продукти.</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В това отношение е от значение, че за разлика от втората категория, състояща се от други изисквания по смисъла на член 1, параграф 3, тази трета категория технически регламент, определена в член 1, параграф 9 от Директива 83/189, не включва условието въпросната забрана да може значително да повлияе върху състава или естеството на продукта или върху търговията с него.</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За да попаднат в тази трета категория технически регламент, отнасяща се по-специално до забраната за използване, мерките трябва да имат обхват, който далеч надхвърля ограничението за някои възможни употреби на разглеждания продукт, и следователно не трябва да се ограничават само до ограничаване на използването му.</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Всъщност, както отбелязва генералният адвокат в точка 70 от заключението си, тази категория технически регламенти е предназначена по-специално да обхване национални мерки, които не оставят никаква възможност за разумно използване на съответния продукт, освен чисто странична. Националната юрисдикция следва да провери дали забраната, съдържаща се в разглежданата в главното производство национална разпоредба, представлява такава мярка.“</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Решение от 8 септември 2005 г.</w:t>
        </w:r>
      </w:hyperlink>
      <w:r>
        <w:t xml:space="preserve">, Lidl Italia, C-303/04, т. 12 и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Национална забрана за пускане на пазара на продукти, които не са произведени от определени материали, представлява разпоредба, забраняваща производството и предлагането на пазара на продукти.</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съгласно член 1, параграф 11 от Директива 98/34 национална разпоредба на държава членка, която забранява производството, вноса, пускането на пазара или употребата на даден продукт, трябва да се разглежда като категория технически регламенти (вж. Решение от 2005 юли 0000 г. по дело Lindberg, C-267/03, все още непубликувано в Сборника, точка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В случая е достатъчно да се констатира, че член 19, параграф 2 от Закон № 93/2001 е разпоредба от този вид. Съгласно тази разпоредба производството и предлагането на пазара на памучни пъпки, които не притежават посочените характеристики, а именно тези, които не са произведени изцяло от биоразградими материали в съответствие със стандартите UNI 10785, представляват нарушения, подлежащи на административни санкции.“</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Решение от 26 октомври 2006 г.</w:t>
        </w:r>
      </w:hyperlink>
      <w:r>
        <w:t xml:space="preserve">, Комисия/Гърция, C-65/05, точка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Мерките, които забраняват инсталирането извън казината на всички електрически или електронни устройства за игри и използването на компютърни игри в предприятия, предоставящи интернет услуги, както и обвързването на дейността на такива предприятия с издаването на специално разрешение, трябва да се считат за технически регламенти.</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мерки като предвидените в членове 2 (1) и 3 от Закон № 3037/2002, доколкото забраняват инсталирането в Гърция на всички електрически, електромеханични и електронни игри, включително компютърни игри, във всички обществени и частни обекти, с изключение на казината, както и използването на игри на компютри в предприятия, предоставящи интернет услуги, и обвързват дейността на такива предприятия с издаването на специално разрешение, трябва да се считат за технически регламенти по смисъла на член 1, параграф 11 от Директива 98/34 (вж. в този</w:t>
        <w:noBreakHyphen/>
        <w:t xml:space="preserve">смисъл дело 267/03 Lindberg [2005]</w:t>
        <w:noBreakHyphen/>
        <w:t xml:space="preserve">ECR I 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Решение от 19 юли 2012 г.</w:t>
        </w:r>
      </w:hyperlink>
      <w:r>
        <w:t xml:space="preserve">, Fortuna и др., C-213/11, C-214/11 и C-217/11, точки 24 и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Мярка, забраняваща използването на игрални автомати извън казината, трябва да се квалифицира като „технически регламент“.</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Съдът вече е постановил, че мерките, които забраняват използването на всички електрически, електромеханични и електронни игри във всички обществени и частни обекти, с изключение на казината, трябва да се считат за технически регламенти по смисъла на член 1, параграф 11 от Директива 98/34 (Решение от 2006 декември 10341 г. по дело Комисия/Гърция, C-65/05, все още непубликувано в Сборника, точка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Следователно мярка като член 14, параграф 1 от Закона за хазартните игри, която позволява единствено на игралните казина да организират игри с игрални автомати, трябва да се квалифицира като „технически регламент „по смисъла на член 1, параграф 11 от Директива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Решение от 27 октомври 2016 г.</w:t>
        </w:r>
      </w:hyperlink>
      <w:r>
        <w:t xml:space="preserve">, James Elliott Construction, C-613/14, т.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Националните разпоредби, установяващи имплицитни договорни условия относно търговското качество, годността за употреба или общото качество на продаваните продукти, не представляват забранителни разпоредби.</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разглежданата в главното производство правна уредба не попада в приложното поле на техническите регламенти, посочени в член 1, параграф 11 от Директива 98/34, доколкото, като предвижда само имплицитни договорни изисквания, тя не съдържа никаква забрана по смисъла на тази директива за производство, внос, търговия или използване на стока, за предоставяне или използване на услуга или за установяване като доставчик на услуги.“</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Решение от 28 май 2020 г.</w:t>
        </w:r>
      </w:hyperlink>
      <w:r>
        <w:t xml:space="preserve">, ECO-WIND Construction, C-727/17, точки 45—47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Правна уредба, която налага минимално разстояние за инсталирането на вятърни турбини, не представлява забрана за производството, вноса, пускането на пазара или употребата на даден продукт, освен ако не съдържа фактическа забрана за пускане на пазара на вятърни турбини, като не оставя място за каквото и да било използване на вятърни турбини, освен чисто незначително.</w:t>
      </w:r>
    </w:p>
    <w:p w14:paraId="57350EE4" w14:textId="77777777">
      <w:pPr>
        <w:pStyle w:val="BodyText"/>
        <w:jc w:val="left"/>
      </w:pPr>
    </w:p>
    <w:p w14:paraId="671DACC6" w14:textId="1CB89713">
      <w:pPr>
        <w:pStyle w:val="P68B1DB1-BodyText19"/>
        <w:ind w:left="567"/>
        <w:rPr>
          <w:iCs/>
        </w:rPr>
      </w:pPr>
      <w:r>
        <w:t xml:space="preserve">„45. Тази категория предполага, че разглежданата мярка има обхват, който очевидно надхвърля ограничението за някои видове употреба на разглеждания продукт и не се ограничава само до ограничаване на използването му (решения от 21 април 2005 г., Lindberg, C-267/03, т. 76 и от 19 юли 2012 г., Fortuna и др., C-213/11, C-214/11 и C-217/11, т. 31).</w:t>
      </w:r>
    </w:p>
    <w:p w14:paraId="787A0A4F" w14:textId="77777777">
      <w:pPr>
        <w:pStyle w:val="P68B1DB1-BodyText19"/>
        <w:ind w:left="567"/>
        <w:rPr>
          <w:iCs/>
        </w:rPr>
      </w:pPr>
    </w:p>
    <w:p w14:paraId="7CEA657E" w14:textId="35F61E5B">
      <w:pPr>
        <w:pStyle w:val="P68B1DB1-BodyText19"/>
        <w:ind w:left="567"/>
        <w:rPr>
          <w:iCs/>
        </w:rPr>
      </w:pPr>
      <w:r>
        <w:t xml:space="preserve">46. Тази категория е предназначена по-специално да обхване национални мерки, които не оставят никаква възможност за разумно използване на съответния продукт, освен чисто странична (решения от 21 април 2005 г., Lindberg, C-267/03, т. 77 и от 19 юли 2012 г., Fortuna и др., C-213/11, C-214/11 и C-217/11, т. 32).</w:t>
      </w:r>
    </w:p>
    <w:p w14:paraId="47448916" w14:textId="77777777">
      <w:pPr>
        <w:pStyle w:val="P68B1DB1-BodyText19"/>
        <w:ind w:left="567"/>
        <w:rPr>
          <w:iCs/>
        </w:rPr>
      </w:pPr>
    </w:p>
    <w:p w14:paraId="6508CA59" w14:textId="00D7F268">
      <w:pPr>
        <w:pStyle w:val="P68B1DB1-BodyText19"/>
        <w:ind w:left="567"/>
        <w:rPr>
          <w:iCs/>
        </w:rPr>
      </w:pPr>
      <w:r>
        <w:t xml:space="preserve">47. В случая, макар наложеното от разглежданата в главното производство национална правна уредба изискване за спазване на минимално разстояние между вятърната турбина и сградите с жилищна функция да е обвързано със спазването на условието за минимално разстояние между тази вятърна турбина и сградите с жилищна функция, следва да се отбележи, че тази правна уредба все пак не забранява на икономическите оператори да продължат да инсталират вятърни турбини и следователно да използват и търгуват с вятърни генератори.“</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Технически правила</w:t>
      </w:r>
      <w:bookmarkEnd w:id="109"/>
      <w:bookmarkEnd w:id="110"/>
    </w:p>
    <w:p w14:paraId="297F85EC" w14:textId="77777777">
      <w:pPr>
        <w:pStyle w:val="BodyText"/>
      </w:pPr>
    </w:p>
    <w:p w14:paraId="6C908457" w14:textId="3B825828">
      <w:pPr>
        <w:pStyle w:val="P68B1DB1-BodyText11"/>
        <w:ind w:left="567"/>
        <w:rPr>
          <w:i/>
        </w:rPr>
      </w:pPr>
      <w:r>
        <w:t xml:space="preserve">„Фактически техническите регламенти включват: </w:t>
      </w:r>
    </w:p>
    <w:p w14:paraId="277715A6" w14:textId="77777777">
      <w:pPr>
        <w:pStyle w:val="BodyText"/>
        <w:ind w:left="567"/>
        <w:rPr>
          <w:i/>
        </w:rPr>
      </w:pPr>
    </w:p>
    <w:p w14:paraId="28BCD2BD" w14:textId="757EEC79">
      <w:pPr>
        <w:pStyle w:val="P68B1DB1-BodyText11"/>
        <w:numPr>
          <w:ilvl w:val="0"/>
          <w:numId w:val="31"/>
        </w:numPr>
        <w:rPr>
          <w:i/>
        </w:rPr>
      </w:pPr>
      <w:r>
        <w:t xml:space="preserve">законови, подзаконови или административни разпоредби на държава членка, които препращат или към технически спецификации или други изисквания или правила за услуги, или към професионални кодекси или кодекси на практиките, които на свой ред препращат към технически спецификации или други изисквания или правила за услуги, при спазването, на които се налага презумпцията за съответствие със задълженията, наложени от посочените по-горе законови, подзаконови или административни разпоредби, </w:t>
      </w:r>
    </w:p>
    <w:p w14:paraId="32E4257D" w14:textId="77777777">
      <w:pPr>
        <w:pStyle w:val="BodyText"/>
        <w:ind w:left="1287"/>
        <w:rPr>
          <w:i/>
        </w:rPr>
      </w:pPr>
    </w:p>
    <w:p w14:paraId="5E0B6B62" w14:textId="2D5EF06C">
      <w:pPr>
        <w:pStyle w:val="P68B1DB1-BodyText11"/>
        <w:numPr>
          <w:ilvl w:val="0"/>
          <w:numId w:val="31"/>
        </w:numPr>
        <w:rPr>
          <w:i/>
        </w:rPr>
      </w:pPr>
      <w:r>
        <w:t xml:space="preserve">доброволни споразумения, по които публичният орган е страна и които в името на общия интерес регулират спазването на техническите спецификации или други изисквания или правила за услуги, с изключение на спецификации в тръжни документи за обществени поръчки; </w:t>
      </w:r>
    </w:p>
    <w:p w14:paraId="4BEF10A9" w14:textId="77777777">
      <w:pPr>
        <w:pStyle w:val="BodyText"/>
        <w:rPr>
          <w:i/>
        </w:rPr>
      </w:pPr>
    </w:p>
    <w:p w14:paraId="5C79F6B1" w14:textId="7967F579">
      <w:pPr>
        <w:pStyle w:val="P68B1DB1-BodyText11"/>
        <w:numPr>
          <w:ilvl w:val="0"/>
          <w:numId w:val="31"/>
        </w:numPr>
        <w:rPr>
          <w:i/>
        </w:rPr>
      </w:pPr>
      <w:r>
        <w:t xml:space="preserve">технически спецификации или други изисквания или правила за услуги, които са свързани с фискални или финансови мерки, даващи отражение върху потреблението на продукти или услуги чрез стимулиране на спазването на такива технически спецификации или други изисквания или правила за услуги; технически спецификации или други изисквания или правилата за услуги, свързани с националните социално-осигурителни системи не се включват. </w:t>
      </w:r>
    </w:p>
    <w:p w14:paraId="712A28B1" w14:textId="77777777">
      <w:pPr>
        <w:pStyle w:val="BodyText"/>
        <w:rPr>
          <w:i/>
        </w:rPr>
      </w:pPr>
    </w:p>
    <w:p w14:paraId="24545D3F" w14:textId="615DFC82">
      <w:pPr>
        <w:pStyle w:val="P68B1DB1-BodyText11"/>
        <w:ind w:left="567"/>
        <w:rPr>
          <w:i/>
        </w:rPr>
      </w:pPr>
      <w:r>
        <w:t xml:space="preserve">Това включва технически регламенти, наложени от органите, определени от държавите членки и включени в списък, съставен и актуализиран, когато е уместно, от Комисията в рамките на комитета, посочен в член 2.“</w:t>
      </w:r>
    </w:p>
    <w:p w14:paraId="5E87FB40" w14:textId="77777777">
      <w:pPr>
        <w:pStyle w:val="BodyText"/>
        <w:ind w:left="567"/>
        <w:rPr>
          <w:i/>
        </w:rPr>
      </w:pPr>
    </w:p>
    <w:p w14:paraId="5389ED96" w14:textId="0CBC1966">
      <w:pPr>
        <w:pStyle w:val="BodyText"/>
        <w:jc w:val="right"/>
      </w:pPr>
      <w:r>
        <w:t xml:space="preserve">(член 1, параграф 1, буква е), второ и трето изречение от Директива (ЕС)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Решение от 20 март 1997 г.</w:t>
        </w:r>
      </w:hyperlink>
      <w:r>
        <w:t xml:space="preserve">, Bic Benelux, C-13/96, точки 23—25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Изискване за маркиране, предназначено да информира потребителя за отпечатъка върху околната среда на определени продукти и свързано с данък, но представлява техническа спецификация. Тя не може да се счита изключително за „свързана с данъчна мярка „и следователно не попада в обхвата на определението за „фактически технически регламенти“.</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първо, съгласно определението, дадено в член 1, параграф 5 от Директива 83/189, разглежданото в главното производство изискване за маркиране представлява de jure технически регламент, доколкото неговото „спазване [...] е задължително [...] в случай на пускане на пазара „на съответния продукт и доколкото съгласно определението, дадено в член 1, параграф 1, става въпрос за техническа спецификация, тъй като в акта се определят „необходимите характеристики на продукт, като [...] изискванията, приложими към продукта по отношение на [...] маркирането или етикетирането“.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От друга страна, разглежданата маркировка има за цел по-специално да информира обществеността за въздействието на продуктите върху околната среда, като белгийското правителство потвърждава значението, което трябва да се отдаде на този аспект на правилата, уреждащи маркирането. По този начин целта на екологичния данък, а именно опазването на околната среда, се подсилва от маркировката, която, подобно на други екомаркировки, независимо дали е свързана с екологичен данък или не, напомня на потребителите за вредното въздействие на въпросните продукти върху околната среда.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Тъй като разглежданото задължение за маркиране по никакъв начин не може да се разглежда като изключително съпътстваща данъчна мярка, то следователно не представлява изискване, свързано с данъчна мярка по смисъла на член 1, параграф 9, втора алинея, трето тире от Директива 83/189, изменена с Директива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Решение от 10 юли 2014 г.,</w:t>
        </w:r>
      </w:hyperlink>
      <w:r>
        <w:rPr>
          <w:b/>
          <w:i/>
        </w:rPr>
        <w:t xml:space="preserve"> Ivansson и др.</w:t>
      </w:r>
      <w:r>
        <w:rPr>
          <w:b/>
          <w:i/>
        </w:rPr>
        <w:t xml:space="preserve">, C-307/13, точки 30 и 31</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Позоваването на подробни административни правила, съдържащи „технически спецификации „или „други изисквания„, може да придаде на проектозакона статут на „фактически технически регламент“.</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следва да се приеме, че макар този параграф </w:t>
      </w:r>
      <w:r>
        <w:rPr>
          <w:i w:val="0"/>
        </w:rPr>
        <w:t xml:space="preserve">[от националното право]</w:t>
      </w:r>
      <w:r>
        <w:t xml:space="preserve"> сам по себе си да не представлява технически регламент, във втората алинея той се позовава на допълнителни разпоредби относно отглеждането на кокошки, които ще бъдат съобщени на по-късен етап от Съвета по земеделие.</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Подобно препращане към по-подробни административни правила може да придаде на член 9 от DSF статут на „фактически технически регламент „, при условие че тези правила сами по себе си могат да се считат за „технически спецификации„или „други изисквания „в съответствие с член 1, параграф 11, първо тире от Директива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Решение от 11 юни 2015 г.</w:t>
        </w:r>
      </w:hyperlink>
      <w:r>
        <w:t xml:space="preserve">, Berlington Hungary и др., C-98/14, точки 95—97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Национални разпоредби, които умножават по пет данъка, дължим за монетни игрални автомати, работещи в игрални зали, и въвеждат пропорционален данък върху тази дейност, не представляват „фактически технически регламенти „, тъй като представляват фискални разпоредби, а не „технически спецификации, свързани с данъчно правило“ по смисъла на Директивата.</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Съгласно член 1, параграф 11, трето тире от тази директива „фактически технически регламенти „по смисъла на тази разпоредба се състоят от „технически спецификации или други изисквания или правила за услуги, които са свързани с фискални или финансови мерки, засягащи потреблението на продукти или услуги чрез насърчаване на спазването на такива технически спецификации или други изисквания или правила за услуги“.</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От тази формулировка следва, че понятието „фактически технически регламенти“ означава не самите данъчни мерки, а техническите спецификации или други свързани с тях изисквания.</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Следователно данъчно законодателство като разглежданото в главното производство, което не е придружено от техническа спецификация или друго изискване, за което се твърди, че има за цел да осигури спазването ѝ, не може да се квалифицира като „фактически технически регламент“.</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Решение от 8 октомври 2020 г.</w:t>
        </w:r>
      </w:hyperlink>
      <w:r>
        <w:t xml:space="preserve">, Admiral Sportwetten и др., точки 38 и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Данъчното законодателство, което не е придружено от „техническа спецификация „или друго изискване, чието спазване е предназначено да гарантира, не може да се квалифицира като „фактически технически регламент“. Следователно национална данъчна правна уредба, която предвижда данъчно облагане на експлоатацията на автомати за спортни залагания, не представлява „технически регламент“.</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що се отнася до техническите регламенти de facto по смисъла на член 1, параграф 1, буква е), подточка iii) от Директива 2015/1535, Съдът вече е постановил, че данъчно законодателство, което не е придружено от техническа спецификация или друго изискване, за което се твърди, че е предназначено да осигури съответствие, не може да се квалифицира като „фактически технически регламент „(вж. в този смисъл решение от 11 юни 2015 г., Berlington Hungary и</w:t>
        <w:noBreakHyphen/>
        <w:t xml:space="preserve">др., C 98/14, т.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Следователно с оглед на всички изложени по-горе съображения на първия въпрос следва да се отговори, че член 1 от Директива 2015/1535 трябва да се тълкува в смисъл, че национална данъчна разпоредба, която предвижда облагане на експлоатацията на терминали за залагания, не представлява „технически регламент „по смисъла на този член.“</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Решение от 22 декември 2022 г.</w:t>
        </w:r>
      </w:hyperlink>
      <w:r>
        <w:rPr>
          <w:rFonts w:ascii="Times New Roman" w:hAnsi="Times New Roman" w:cs="Times New Roman" w:eastAsia="Times New Roman"/>
          <w:b/>
          <w:i/>
          <w:szCs w:val="20"/>
        </w:rPr>
        <w:t xml:space="preserve">, Airbnb Ireland и Airbnb Payments UK, C</w:t>
        <w:noBreakHyphen/>
        <w:t xml:space="preserve">83/21, точки 29 и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Правна уредба с фискален характер сама по себе си не може да се квалифицира като „фактически технически регламент“.</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На трето място, що се отнася до Директива 2015/1535, е важно да се отбележи, че тя визира „Договора за [функционирането на ЕС] и по-конкретно членове 114, 337 и 43 от него“. Така, в самото начало трябва да се отбележи, че изключването, предвидено в член 114, параграф 2 ДФЕС по отношение на „данъчните разпоредби“, се прилага и за тази директива поради изложените в точка 25 от настоящото решение мотиви.</w:t>
      </w:r>
    </w:p>
    <w:p w14:paraId="5619063A" w14:textId="77777777">
      <w:pPr>
        <w:pStyle w:val="P68B1DB1-BodyText19"/>
        <w:ind w:left="567"/>
      </w:pPr>
    </w:p>
    <w:p w14:paraId="43BD732D" w14:textId="6B6E6B11">
      <w:pPr>
        <w:pStyle w:val="P68B1DB1-BodyText19"/>
        <w:ind w:left="567"/>
        <w:rPr>
          <w:iCs/>
        </w:rPr>
      </w:pPr>
      <w:r>
        <w:t xml:space="preserve">30. По-нататък, съдържанието на Директива 2015/1535 косвено потвърждава изключването на „данъчните разпоредби „от нейния обхват, понеже текстът на член 1, параграф 1, буква е), iii) от тази директива споменава сред фактически техническите регламенти технически спецификации или други изисквания или правила за услуги, „свързани с фискални или финансови мерки“. Следователно те не са действителни данъчни мерки, а само мерки, свързани с данъчни мерки (вж. в този смисъл решение от 8 октомври 2020 г., Admiral Sportwetten и др., C-711/19, т. 38); следователно последните остават в това си качество извън приложното поле на тази директива.“</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Изключени въпроси</w:t>
      </w:r>
      <w:bookmarkEnd w:id="117"/>
      <w:bookmarkEnd w:id="118"/>
      <w:bookmarkEnd w:id="119"/>
    </w:p>
    <w:p w14:paraId="1278603B" w14:textId="77777777">
      <w:pPr>
        <w:pStyle w:val="BodyText"/>
        <w:rPr>
          <w:b/>
          <w:bCs/>
        </w:rPr>
      </w:pPr>
    </w:p>
    <w:p w14:paraId="1B32B976" w14:textId="77777777">
      <w:pPr>
        <w:pStyle w:val="P68B1DB1-BodyText11"/>
        <w:ind w:left="567"/>
      </w:pPr>
      <w:r>
        <w:t xml:space="preserve">„2. Настоящата директива не се прилага за: </w:t>
      </w:r>
    </w:p>
    <w:p w14:paraId="04019AF2" w14:textId="77777777">
      <w:pPr>
        <w:pStyle w:val="P68B1DB1-BodyText11"/>
        <w:ind w:left="1287" w:firstLine="153"/>
      </w:pPr>
      <w:r>
        <w:t xml:space="preserve">а) услуги по радиоразпръскване; </w:t>
      </w:r>
    </w:p>
    <w:p w14:paraId="1EADA741" w14:textId="108B47F0">
      <w:pPr>
        <w:pStyle w:val="P68B1DB1-BodyText11"/>
        <w:ind w:left="1440"/>
      </w:pPr>
      <w:r>
        <w:t xml:space="preserve">б) услуги за телевизионно излъчване, обхванати от член 1, параграф 1, буква д) от Директива № 2010/13/ЕС на Европейския парламент и на Съвета (1). </w:t>
      </w:r>
    </w:p>
    <w:p w14:paraId="7DD31811" w14:textId="77777777">
      <w:pPr>
        <w:pStyle w:val="P68B1DB1-BodyText11"/>
        <w:ind w:left="567"/>
      </w:pPr>
    </w:p>
    <w:p w14:paraId="21C04911" w14:textId="0885ED27">
      <w:pPr>
        <w:pStyle w:val="P68B1DB1-BodyText11"/>
        <w:ind w:left="567"/>
      </w:pPr>
      <w:r>
        <w:t xml:space="preserve">3. Настоящата директива не се прилага за правила, свързани с въпроси, които са обхванати от законодателството на Съюза в областта на далекосъобщителните услуги, обхванати от Директива № 2002/21/ЕО на Европейския парламент и на Съвета (2). </w:t>
      </w:r>
    </w:p>
    <w:p w14:paraId="14E66827" w14:textId="77777777">
      <w:pPr>
        <w:pStyle w:val="P68B1DB1-BodyText11"/>
        <w:ind w:left="567"/>
      </w:pPr>
    </w:p>
    <w:p w14:paraId="21D3AD3B" w14:textId="663656A4">
      <w:pPr>
        <w:pStyle w:val="P68B1DB1-BodyText11"/>
        <w:ind w:left="567"/>
      </w:pPr>
      <w:r>
        <w:t xml:space="preserve">4. Настоящата директива не се прилага за правилата, свързани с въпроси, които са обхванати от законодателството на Съюза в областта на финансовите услуги, изброени неизчерпателно в приложение II към настоящата директива. </w:t>
      </w:r>
    </w:p>
    <w:p w14:paraId="0E58960E" w14:textId="77777777">
      <w:pPr>
        <w:pStyle w:val="P68B1DB1-BodyText11"/>
        <w:ind w:left="567"/>
      </w:pPr>
    </w:p>
    <w:p w14:paraId="66AEA247" w14:textId="77777777">
      <w:pPr>
        <w:pStyle w:val="P68B1DB1-BodyText11"/>
        <w:ind w:left="567"/>
      </w:pPr>
      <w:r>
        <w:t xml:space="preserve">5. С изключение на член 5, параграф 3, настоящата директива не се прилага за правилата, приети от или за регулираните пазари по смисъла на Директива № 2004/39/ЕО на Европейския парламент и на Съвета (3) или от или за други пазари или органи, изпълняващи функции по клиринг или сетълмент за тези пазари.</w:t>
      </w:r>
    </w:p>
    <w:p w14:paraId="5D510CB9" w14:textId="77777777">
      <w:pPr>
        <w:pStyle w:val="P68B1DB1-BodyText11"/>
        <w:ind w:left="567"/>
      </w:pPr>
    </w:p>
    <w:p w14:paraId="70E3F74F" w14:textId="117D7E99">
      <w:pPr>
        <w:pStyle w:val="P68B1DB1-BodyText11"/>
        <w:ind w:left="567"/>
      </w:pPr>
      <w:r>
        <w:t xml:space="preserve">6. Настоящата директива не се прилага за онези мерки, които държавите членки считат за необходими според договорите за защита на лица, по-специално на работниците, когато продуктите се използват, при условие че тези мерки не оказват влияние върху продуктите.</w:t>
      </w:r>
    </w:p>
    <w:p w14:paraId="24FE75EA" w14:textId="77777777">
      <w:pPr>
        <w:pStyle w:val="P68B1DB1-BodyText11"/>
        <w:ind w:left="567"/>
      </w:pPr>
    </w:p>
    <w:p w14:paraId="74938EC0" w14:textId="5965F3C9">
      <w:pPr>
        <w:pStyle w:val="BodyText"/>
        <w:ind w:left="1080"/>
        <w:jc w:val="right"/>
      </w:pPr>
      <w:r>
        <w:t xml:space="preserve">(Член 1, параграф 2 — (6) от Директива (ЕС) 2015/1535)</w:t>
      </w:r>
    </w:p>
    <w:p w14:paraId="2BAD670C" w14:textId="77777777">
      <w:pPr>
        <w:pStyle w:val="BodyText"/>
        <w:rPr>
          <w:i/>
          <w:iCs/>
          <w:sz w:val="20"/>
        </w:rPr>
      </w:pPr>
    </w:p>
    <w:p w14:paraId="0C974BBF" w14:textId="3B58908A">
      <w:pPr>
        <w:pStyle w:val="P68B1DB1-BodyText23"/>
        <w:ind w:left="567"/>
        <w:rPr>
          <w:iCs/>
        </w:rPr>
      </w:pPr>
      <w:r>
        <w:t xml:space="preserve">„телевизионно излъчване „или „телевизионно излъчване„(т.е. линейна аудио-визуална медийна услуга) означава аудио-визуална медийна услуга, предоставяна от доставчик на медийни услуги за едновременно гледане на предавания въз основа на програмна схема;“</w:t>
      </w:r>
    </w:p>
    <w:p w14:paraId="68D48BC5" w14:textId="77777777">
      <w:pPr>
        <w:pStyle w:val="BodyText"/>
        <w:ind w:left="567"/>
        <w:rPr>
          <w:i/>
          <w:iCs/>
          <w:szCs w:val="24"/>
        </w:rPr>
      </w:pPr>
    </w:p>
    <w:p w14:paraId="1E9F9AD6" w14:textId="648E8643">
      <w:pPr>
        <w:pStyle w:val="BodyText"/>
        <w:ind w:left="1080"/>
        <w:jc w:val="right"/>
      </w:pPr>
      <w:r>
        <w:t xml:space="preserve">(Член 1, параграф 1, буква д) от Директива 2010/13/ЕС на Съвета)</w:t>
      </w:r>
    </w:p>
    <w:p w14:paraId="13E3D11F" w14:textId="77777777">
      <w:pPr>
        <w:pStyle w:val="BodyText"/>
        <w:ind w:left="1080"/>
        <w:jc w:val="right"/>
      </w:pPr>
    </w:p>
    <w:p w14:paraId="6E0ADBB8" w14:textId="55100584">
      <w:pPr>
        <w:pStyle w:val="P68B1DB1-BodyText11"/>
        <w:jc w:val="center"/>
        <w:rPr>
          <w:i/>
        </w:rPr>
      </w:pPr>
      <w:r>
        <w:t xml:space="preserve">Индикативен списък на финансовите услуги, предмет на член 1, параграф 4</w:t>
      </w:r>
    </w:p>
    <w:p w14:paraId="25F72A02" w14:textId="77777777">
      <w:pPr>
        <w:pStyle w:val="BodyText"/>
        <w:jc w:val="center"/>
        <w:rPr>
          <w:i/>
        </w:rPr>
      </w:pPr>
    </w:p>
    <w:p w14:paraId="319C26B1" w14:textId="77777777">
      <w:pPr>
        <w:pStyle w:val="P68B1DB1-BodyText11"/>
        <w:ind w:left="567"/>
        <w:rPr>
          <w:i/>
        </w:rPr>
      </w:pPr>
      <w:r>
        <w:t xml:space="preserve">— Инвестиционни услуги, </w:t>
      </w:r>
    </w:p>
    <w:p w14:paraId="4E853016" w14:textId="77777777">
      <w:pPr>
        <w:pStyle w:val="P68B1DB1-BodyText11"/>
        <w:ind w:left="567"/>
        <w:rPr>
          <w:i/>
        </w:rPr>
      </w:pPr>
      <w:r>
        <w:t xml:space="preserve">— застрахователни и презастрахователни операции, </w:t>
      </w:r>
    </w:p>
    <w:p w14:paraId="6692A963" w14:textId="77777777">
      <w:pPr>
        <w:pStyle w:val="P68B1DB1-BodyText11"/>
        <w:ind w:left="567"/>
        <w:rPr>
          <w:i/>
        </w:rPr>
      </w:pPr>
      <w:r>
        <w:t xml:space="preserve">— банкови услуги, </w:t>
      </w:r>
    </w:p>
    <w:p w14:paraId="23791C4C" w14:textId="77777777">
      <w:pPr>
        <w:pStyle w:val="P68B1DB1-BodyText11"/>
        <w:ind w:left="567"/>
        <w:rPr>
          <w:i/>
        </w:rPr>
      </w:pPr>
      <w:r>
        <w:t xml:space="preserve">— операции, свързани с пенсионни фондове, </w:t>
      </w:r>
    </w:p>
    <w:p w14:paraId="783F6792" w14:textId="77777777">
      <w:pPr>
        <w:pStyle w:val="P68B1DB1-BodyText11"/>
        <w:ind w:left="567"/>
        <w:rPr>
          <w:i/>
        </w:rPr>
      </w:pPr>
      <w:r>
        <w:t xml:space="preserve">— услуги, свързани с сделки с фючърси или опции. </w:t>
      </w:r>
    </w:p>
    <w:p w14:paraId="2DCD1B55" w14:textId="77777777">
      <w:pPr>
        <w:pStyle w:val="BodyText"/>
        <w:ind w:left="567"/>
        <w:rPr>
          <w:i/>
        </w:rPr>
      </w:pPr>
    </w:p>
    <w:p w14:paraId="337555AF" w14:textId="77777777">
      <w:pPr>
        <w:pStyle w:val="P68B1DB1-BodyText11"/>
        <w:ind w:left="567"/>
        <w:rPr>
          <w:i/>
        </w:rPr>
      </w:pPr>
      <w:r>
        <w:t xml:space="preserve">Такива услуги включват по-специално: </w:t>
      </w:r>
    </w:p>
    <w:p w14:paraId="3764E7FA" w14:textId="7CA8CD82">
      <w:pPr>
        <w:pStyle w:val="P68B1DB1-BodyText11"/>
        <w:ind w:left="567"/>
        <w:rPr>
          <w:i/>
        </w:rPr>
      </w:pPr>
      <w:r>
        <w:t xml:space="preserve">а) инвестиционните услуги, посочени в приложението към Директива 2004/39/ЕО; услуги на предприятия за колективно инвестиране; </w:t>
      </w:r>
    </w:p>
    <w:p w14:paraId="5E0AD7FB" w14:textId="67C20460">
      <w:pPr>
        <w:pStyle w:val="P68B1DB1-BodyText11"/>
        <w:ind w:left="567"/>
        <w:rPr>
          <w:i/>
        </w:rPr>
      </w:pPr>
      <w:r>
        <w:t xml:space="preserve">б) услуги, обхванати от дейностите, предмет на взаимно признаване, посочени в приложение I към Директива № 2013/36/ЕС на Европейския парламент и на Съвета (1); </w:t>
      </w:r>
    </w:p>
    <w:p w14:paraId="48C2F22B" w14:textId="3B1B8A48">
      <w:pPr>
        <w:pStyle w:val="P68B1DB1-BodyText11"/>
        <w:ind w:left="567"/>
        <w:rPr>
          <w:i/>
        </w:rPr>
      </w:pPr>
      <w:r>
        <w:t xml:space="preserve">в) операции, обхванати от застрахователните и презастрахователните дейности, посочени в Директива № 2009/138/ЕО на Европейския парламент и на Съвета (2).</w:t>
      </w:r>
    </w:p>
    <w:p w14:paraId="29E9A8E3" w14:textId="77777777">
      <w:pPr>
        <w:pStyle w:val="BodyText"/>
        <w:ind w:left="720"/>
        <w:rPr>
          <w:i/>
        </w:rPr>
      </w:pPr>
    </w:p>
    <w:p w14:paraId="79D13F1F" w14:textId="142C9AC5">
      <w:pPr>
        <w:pStyle w:val="BodyText"/>
        <w:ind w:left="1080"/>
        <w:jc w:val="right"/>
      </w:pPr>
      <w:r>
        <w:t xml:space="preserve">(Приложение II към Директива (ЕС) 2015/1535)</w:t>
      </w:r>
    </w:p>
    <w:p w14:paraId="0C95D790" w14:textId="77777777">
      <w:pPr>
        <w:pStyle w:val="BodyText"/>
        <w:ind w:left="567"/>
        <w:rPr>
          <w:i/>
          <w:iCs/>
          <w:szCs w:val="24"/>
        </w:rPr>
      </w:pPr>
    </w:p>
    <w:p w14:paraId="7A47117F" w14:textId="7E196DE2">
      <w:pPr>
        <w:pStyle w:val="P68B1DB1-BodyText23"/>
        <w:ind w:left="567"/>
        <w:rPr>
          <w:iCs/>
        </w:rPr>
      </w:pPr>
      <w:r>
        <w:t xml:space="preserve">„регулиран пазар „означава многостранна система, управлявана и/или управлявана от пазарен оператор, която обединява или улеснява обединяването на многобройни интереси на трети лица за покупка и продажба на финансови инструменти — в системата и в съответствие с нейните недискреционни правила — по начин, който води до договор по отношение на финансовите инструменти, допуснати до търговия съгласно нейните правила и/или системи, и която е лицензирана и функционира редовно и в съответствие с дял III от настоящата директива;“</w:t>
      </w:r>
    </w:p>
    <w:p w14:paraId="326B89D5" w14:textId="77777777">
      <w:pPr>
        <w:pStyle w:val="BodyText"/>
        <w:ind w:left="567"/>
        <w:rPr>
          <w:i/>
          <w:iCs/>
          <w:szCs w:val="24"/>
        </w:rPr>
      </w:pPr>
    </w:p>
    <w:p w14:paraId="2EE59DAD" w14:textId="7FE2F68F">
      <w:pPr>
        <w:pStyle w:val="P68B1DB1-BodyText24"/>
        <w:ind w:left="567"/>
        <w:jc w:val="right"/>
      </w:pPr>
      <w:r>
        <w:t xml:space="preserve">(Член 4, параграф 21 от Директива 2014/65/ЕС, </w:t>
      </w:r>
    </w:p>
    <w:p w14:paraId="510D994F" w14:textId="6EE676DC">
      <w:pPr>
        <w:pStyle w:val="P68B1DB1-BodyText24"/>
        <w:ind w:left="567"/>
        <w:jc w:val="right"/>
      </w:pPr>
      <w:r>
        <w:t xml:space="preserve">преработване на Директива 2004/39/ЕО)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Решение от 2 юни 2005 г.</w:t>
        </w:r>
      </w:hyperlink>
      <w:r>
        <w:rPr>
          <w:rFonts w:ascii="Times New Roman" w:hAnsi="Times New Roman" w:cs="Times New Roman" w:eastAsia="Times New Roman"/>
          <w:b/>
          <w:i/>
          <w:szCs w:val="20"/>
        </w:rPr>
        <w:t xml:space="preserve">, Mediakabel BV, C-89/04, точки 22 и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Услуга за телевизионно излъчване, достъпна при поискване от абоната, състояща се от филми, чиято честота и време се определят от доставчика, представлява услуга „близък видео по заявка „, попадаща в обхвата на понятието „услуги за телевизионно излъчване“. Това понятие е определено самостоятелно в Директива 2010/13/ЕС (предишна Директива 89/552/ЕИО), независимо от понятието „услуга на информационното общество“.</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обхватът на понятието „телевизионно излъчване „със сигурност не може да бъде изведен чрез изключване от обхвата на понятието „услуга на информационното общество“. Директива 98/34, както в член 1, параграф 2, така и в приложение V, се отнася до услуги, които не попадат в обхвата на понятието „услуга на информационното общество“ и които сами по себе си не представляват услуги за телевизионно излъчване. Такъв е по-специално случаят с услугите за радиоразпръскване. По същия начин услугите за телевизионно излъчване не могат да се ограничават до услугите, „предоставяни чрез предаване на данни без индивидуално търсене за едновременно приемане от неограничен брой индивидуални получатели“, посочени в точка 3 от приложение V към Директива 98/34. Ако се възприеме това тълкуване, услуги като телевизията, достъпна чрез абонамент, предавана на ограничен брой получатели, биха били изключени от понятието „телевизионна услуга“, въпреки че попадат в обхвата на това понятие по силата на критериите, предвидени в член 1, буква а) от Директива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Накрая, към момента на приемането на Директиви 98/34 и 98/48 общностният законодател не е имал намерение да измени Директива 89/552, която от своя страна е била изменена по-малко от година по-рано с Директива 97/36. Така съображение 20 от Директива 98/48, която изменя Директива 98/34, гласи, че Директива 98/48 „не засяга приложното поле на Директива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Решение от 12 септември 2019 г.</w:t>
        </w:r>
      </w:hyperlink>
      <w:r>
        <w:t xml:space="preserve">, VG Media, C-299/17, т.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„Техническите правила“ в областта на интелектуалната собственост не са изключени от приложното поле на директивата, за разлика от тези, които се отнасят до далекосъобщителните или финансовите услуги.</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обстоятелството, че член 87g (4) от UrhG е част от националното законодателство в областта на авторското право или сродните му права, не може да постави под въпрос тази преценка. Техническите правила в областта на интелектуалната собственост не са изрично изключени от приложното поле на член 1, параграф 5 от Директива 98/34, за разлика от тези, които са предмет на европейското законодателство в областта на далекосъобщителните услуги или финансовите услуги. Освен това от решение от 8 ноември 2007 г., Schwibbert (C</w:t>
        <w:noBreakHyphen/>
        <w:t xml:space="preserve">20/05) следва, че разпоредбите на националното законодателство в областта на интелектуалната собственост могат да представляват „технически регламент „, подлежащ на нотифициране съгласно член 8, параграф 1 от тази директива.“</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Задължение за уведомяване</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Уведомление на етапа „Проект“</w:t>
      </w:r>
      <w:bookmarkEnd w:id="123"/>
      <w:bookmarkEnd w:id="124"/>
    </w:p>
    <w:p w14:paraId="27EBED2C" w14:textId="3CCBF668">
      <w:pPr>
        <w:pStyle w:val="BodyText"/>
        <w:rPr>
          <w:b/>
          <w:bCs/>
        </w:rPr>
      </w:pPr>
    </w:p>
    <w:p w14:paraId="58135D0C" w14:textId="021350D1">
      <w:pPr>
        <w:pStyle w:val="P68B1DB1-BodyText11"/>
        <w:ind w:left="567"/>
        <w:rPr>
          <w:iCs/>
        </w:rPr>
      </w:pPr>
      <w:r>
        <w:t xml:space="preserve">„При спазване на член 7 държавите членки незабавно съобщават на Комисията всички проекти на технически регламенти, освен когато те само транспонират пълния текст на международен или европейски стандарт, в който случай информацията относно съответния стандарт е достатъчна; те също така предоставят на Комисията изложение на основанията, които налагат приемането на такъв технически регламент, когато тези основания все още не са изяснени в проекта.“</w:t>
      </w:r>
    </w:p>
    <w:p w14:paraId="79E57C28" w14:textId="77777777">
      <w:pPr>
        <w:pStyle w:val="BodyText"/>
        <w:ind w:left="567"/>
        <w:rPr>
          <w:i/>
          <w:iCs/>
        </w:rPr>
      </w:pPr>
    </w:p>
    <w:p w14:paraId="4348B9F9" w14:textId="1F348A6E">
      <w:pPr>
        <w:pStyle w:val="BodyText"/>
        <w:jc w:val="right"/>
      </w:pPr>
      <w:r>
        <w:t xml:space="preserve">(член 5, параграф 1, първо изречение от Директива (ЕС)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Решение от 2 август 1993 г.</w:t>
        </w:r>
      </w:hyperlink>
      <w:r>
        <w:t xml:space="preserve">, Комисия/Италия, C-139/92, точки 8 и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Като не е уведомила на етап проект за министерско постановление относно определянето и проверката на максималната мощност, както и относно конструкцията и монтирането на двигатели за плавателни съдове за развлечение, Италия не е изпълнила задълженията си за нотифициране на проекти на технически регламенти.</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Италианското правителство не оспорва, че не е съобщило на Комисията въпросното министерско постановление на етапа на изготвяне на проекта.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Тъй като е установено нарушение на членове 8 и 9 от директивата, Комисията трябва да установи, че е налице неизпълнение на задължения.“</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Решение от 14 юли 1994 г.</w:t>
        </w:r>
      </w:hyperlink>
      <w:r>
        <w:t xml:space="preserve">, Комисия/Нидерландия, C-61/93, точки 6 и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С приемането на постановления относно изискванията за устойчивост на бутилките за безалкохолни напитки и относно състава, класификацията, опаковането и етикетирането на пестициди, без да уведоми Комисията за тях на етапа на изготвяне на проекта, Нидерландия не е изпълнила задълженията си за нотифициране на проектите на технически регламенти.</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В писмо от 17 ноември 1989 г. нидерландските органи признават, че постановлението от 16 януари 1989 г. съдържа технически стандарти, обхванати от Директива 83/189, и че не са уведомили Комисията за проекта за изменение. Те обаче посочиха, че постановлението е било изпратено на Комисията, приложено към писмо от 22 май 1989 г., с което на тази институция се предоставя информация относно приватизацията на органите за претегляне и мерки.“</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Безспорно е, че в съответствие с член 8 от директивата проектите за укази от 16 януари 1989 г., 24 август 1988 г. и 21 октомври 1988 г. е трябвало да бъдат съобщени незабавно на Комисията на етапа на изготвяне и че такова уведомление не е било направено.“</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Решение от 14 юли 1994 г.</w:t>
        </w:r>
      </w:hyperlink>
      <w:r>
        <w:t xml:space="preserve">, Комисия/Нидерландия, C-52/93, точки 6 и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Като е изменила Регламента относно стандартите за качество на цветните крушки, без да е уведомила Комисията за него на етапа на изготвяне на проекта, Нидерландия не е изпълнила задълженията си за нотифициране на проекти на технически регламенти.</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С писмо от 4 ноември 1991 г. нидерландските органи признават, че въпросният регламент е технически регламент по смисъла на Директива 83/189 и че не са уведомили Комисията за проекта за изменение.“</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Безспорно е, че в съответствие с член 8 от директивата проектът за изменение XIII на Регламента за PVS е трябвало да бъде незабавно нотифициран на Комисията и че такова уведомление не е било направено.“</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Решение от 8 септември 2005 г.</w:t>
        </w:r>
      </w:hyperlink>
      <w:r>
        <w:t xml:space="preserve">, Комисия/Португалия, C-500/03, точки 39—41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Директивата изисква от държавите членки незабавно да нотифицират Комисията за всеки проект на технически регламент. С приемането на технически регламент, без да уведоми Комисията за него, Португалия не е изпълнила задълженията си за нотифициране на проекти на технически регламенти.</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(Тъй като решението е достъпно единствено на френски и португалски език, следният текст е превод.)</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Тъй като настоящият иск за установяване на неизпълнение на задължения се свежда до искане за установяване на неизпълнение на формалната процедура за предварително уведомяване, достатъчно е да се отбележи, без да е необходимо да се отговаря на останалите доводи на страните, че Съдът вече е постановил, че член 8, параграф 1 от Директива 98/34 задължава държавите членки да съобщават незабавно на Комисията всеки проект на технически регламент (вж. в този смисъл, що се отнася по-специално до разпоредби, сходни с тези на тази директива, Решение от 2 август 1993 г. по дело Комисия/Италия, 139/92, Recueil, стр. I-4707</w:t>
        <w:noBreakHyphen/>
        <w:t>,</w:t>
        <w:noBreakHyphen/>
        <w:t xml:space="preserve">точка 3 и Решение от 11 януари 1996 г. по дело Комисия/Нидерландия, 273/94, Recueil,</w:t>
        <w:noBreakHyphen/>
        <w:t xml:space="preserve">стр. I-31, точка 15).</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Тъй като релевантните разпоредби на Декрет № 783/98 представляват технически регламенти по смисъла на Директива 98/34, както бе припомнено в точка 31 от настоящото решение, Португалската република е била длъжна да ги нотифицира под формата на проект съгласно член 8, параграф 1 от Директива 98/34 (вж. по-специално в този смисъл, що се отнася до разпоредби, сходни с тези на Директива 98/34, Решение от 7 май 1998 г. по дело Комисия/Белгия,</w:t>
        <w:noBreakHyphen/>
        <w:t xml:space="preserve">145/97, Recueil,</w:t>
        <w:noBreakHyphen/>
        <w:t xml:space="preserve">стр. I-2643, точка 13 и Решение от 21 април 2005 г. по дело Lindberg, 267/03</w:t>
        <w:noBreakHyphen/>
        <w:t xml:space="preserve">, точка I, точка).</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Следователно трябва да се приеме, че като е приела Наредба № 783/98, без да я е уведомила на Комисията на етапа на изготвяне на проекта, Португалската република не е изпълнила задълженията си по член 8 от Директива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Решение от 26 октомври 2006 г.</w:t>
        </w:r>
      </w:hyperlink>
      <w:r>
        <w:t xml:space="preserve">, Комисия/Гърция, C-65/05, точки 60—62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Директивата изисква от държавите членки незабавно да нотифицират Комисията за всеки проект на технически регламент. Като не е направила такава нотификация преди приемането на технически регламент, Гърция не е изпълнила задълженията си по настоящата директива.</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нищо в Регламент № 1367/2006 не позволява да се приеме, че понятието „емисии в околната среда“ по смисъла на член 6, параграф 1, първо изречение от този регламент трябва да се ограничи до емисиите, отделяни от някои промишлени инсталации, като например фабрики и електроцентрали.</w:t>
      </w:r>
    </w:p>
    <w:p w14:paraId="4BFB9A72" w14:textId="77777777">
      <w:pPr>
        <w:pStyle w:val="P68B1DB1-BodyText25"/>
        <w:ind w:left="510"/>
      </w:pPr>
    </w:p>
    <w:p w14:paraId="0E60EA19" w14:textId="5C6F09B6">
      <w:pPr>
        <w:pStyle w:val="P68B1DB1-BodyText25"/>
        <w:ind w:left="510"/>
      </w:pPr>
      <w:r>
        <w:t xml:space="preserve">61. Такова ограничение не може да се изведе и от Орхуската конвенция, която трябва да бъде отчетена при тълкуването на Регламент № 1367/2006, тъй като, както предвижда член 1 от него, целта на този регламент е да спомогне за осъществяването на задълженията, произтичащи от споменатата конвенция, чрез определяне на правила за прилагане на разпоредбите на Конвенцията към институциите и органите на Съюза.</w:t>
      </w:r>
    </w:p>
    <w:p w14:paraId="37017D07" w14:textId="77777777">
      <w:pPr>
        <w:pStyle w:val="P68B1DB1-BodyText25"/>
        <w:ind w:left="510"/>
      </w:pPr>
    </w:p>
    <w:p w14:paraId="36CD38D8" w14:textId="043FC15A">
      <w:pPr>
        <w:pStyle w:val="P68B1DB1-BodyText25"/>
        <w:ind w:left="510"/>
        <w:rPr>
          <w:iCs/>
        </w:rPr>
      </w:pPr>
      <w:r>
        <w:t xml:space="preserve">62. Напротив, както подчерта Съдът в точка 72 от днешното си решение Bayer CropScience и Stichting De Bijenstichting (C-442/14), такова ограничение би било в разрез със самия текст на член 4, параграф 4, първа алинея, буква г) от Орхуската конвенция. Всъщност тази разпоредба предвижда, че следва да бъде разкривана информация за емисиите, имаща отношение към опазването на околната среда. Информацията относно емисиите, произхождащи от източници, различни от промишлени инсталации, като например тези, които са резултат от употребата на продукти за растителна защита върху растения или почви, е също толкова важна за опазването на околната среда, колкото и информацията, свързана с емисиите от промишлен произход.“</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Уведомления за нови технически правила</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Решение от 1 юни 1994 г.</w:t>
        </w:r>
      </w:hyperlink>
      <w:r>
        <w:t xml:space="preserve">, Комисия/Германия, C-317/92, точки 25 и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Разширяването на обхвата на съществуващ „технически регламент“, така че да включва нови продукти, попада в обхвата на задължението за нотифициране, въпреки че Комисията вече е била уведомена за първоначалния технически регламент, чийто обхват се разширява.</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Този довод не може да се приеме. Въпросната германска правна уредба представлява нова техническа спецификация по смисъла на посочения по-горе член 1, тъй като занапред в Германия могат да се пускат на пазара или да се използват стерилни медицински инструменти за многократна употреба само ако са изпълнени определени задължения, прилагането на които преди е било ограничено до етикетирането на лекарствени продукти. Прилагането по отношение на определени продукти на правило, което преди това е засягало само други продукти, представлява по отношение на първия нов регламент и следователно трябва да бъде нотифицирано в съответствие с Директивата.</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Този извод не се поставя под въпрос от факта, както твърди германското правителство, че разширяването на приложното поле на правилото се основава на оправомощаваща разпоредба, която преди това е била съобщена на Комисията. Тази мярка за предоставяне на възможност, взета като такава, не изисква уведомяване въз основа на посочения член 8, тъй като не представлява нова спецификация. Положението е различно по отношение на прилагането на тази мярка, която представлява нова спецификация, която трябва да бъде нотифицирана.“</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Решение от 3 юни 1999 г.</w:t>
        </w:r>
      </w:hyperlink>
      <w:r>
        <w:rPr>
          <w:b/>
          <w:i/>
          <w:sz w:val="22"/>
          <w:szCs w:val="22"/>
        </w:rPr>
        <w:t xml:space="preserve">, Colim NV, C-33/189, т.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Национална мярка, която възпроизвежда или заменя съществуващи „технически регламенти „, за които Комисията вече е уведомена, без да добавя нови спецификации, не представлява проект на „технически регламент“.</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целта на Директива 83/189 е да защити чрез превантивен контрол свободното движение на стоки, което е една от основите на Общността (Решение от 1997 октомври 1753 г. по дело Bic Benelux/État belge, C-13/96, все още непубликувано в Сборника, точка 19). Целта на този контрол е да се премахнат или намалят пречките пред свободното движение на стоки, които биха могли да произтекат от технически регламенти, които държавите членки предлагат да приемат. Национална мярка, която възпроизвежда или заменя, без да добавя нови или допълнителни спецификации, съществуващи технически регламенти, които, ако бъдат приети след влизането в сила на Директива 83/189, са били надлежно нотифицирани на Комисията, не може да се счита за „проект „на технически регламент по смисъла на член 1, параграф 6 от Директива 83/189 или следователно за подлежаща на задължението за нотифициране.“</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Решение от 21 април 2005 г.</w:t>
        </w:r>
      </w:hyperlink>
      <w:r>
        <w:t xml:space="preserve">, Lindberg, C-267/03, точки 82 и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Не е необходимо да се нотифицира правило, което просто възпроизвежда или заменя правила, които вече са нотифицирани, без да се добавят нови „технически регламенти“.</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най-напред следва да се отбележи, че национална мярка, която възпроизвежда или заменя, без да добавя нови или допълнителни спецификации, съществуващи технически регламенти, които, ако бъдат приети след влизането в сила на Директива 83/189, са били надлежно съобщени на Комисията, не може да се счита за „проект“ на технически регламент по смисъла на член 1, параграф 9 от Директива 83/189 или следователно за подлежаща на задължението за нотифициране (вж. Решение по дело Colim, посочено по-горе, точка 22). В настоящия случай следва да се вземе предвид датата на влизане в сила на Директива 83/189 по отношение на Кралство Швеция.“</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С оглед на гореизложеното на третия въпрос следва да се отговори, че преопределянето в националното законодателство на услуга, свързана с проектирането на продукт, и по-специално на услугата за експлоатация на някои игрални автомати, както е направено в закона от 1996 г., може да представлява технически регламент, който трябва да бъде нотифициран съгласно Директива 83/189, ако това ново законодателство не се ограничава до възпроизвеждане или замяна, без да добавя нови или допълнителни спецификации, на съществуващи технически регламенти, които, ако бъдат приети след влизането в сила на Директива 83/189 в съответната държава членка, са били надлежно нотифицирани на Комисията.“</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Решение от 13 март 2025 г.</w:t>
        </w:r>
      </w:hyperlink>
      <w:r>
        <w:rPr>
          <w:rFonts w:ascii="Times New Roman" w:hAnsi="Times New Roman" w:cs="Times New Roman" w:eastAsia="Times New Roman"/>
          <w:b/>
          <w:i/>
          <w:szCs w:val="20"/>
        </w:rPr>
        <w:t xml:space="preserve">, Unigames UAB, C-120/24, точки 57 и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Всяко изменение на проект на технически регламент, което значително разширява обхвата му, трябва да бъде нотифицирано. Изменение, което въвежда санкции за ново поведение, трябва да се разглежда като съществено преразглеждане на технически регламент.</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От акта за преюдициално запитване е видно, че член 10, параграф 19 от Закона за хазартните игри „изменя съществено“ забраната за насърчаване на участието в хазартни игри. По-специално запитващата юрисдикция посочва, че поведението, за което е упрекнато Unigames въз основа на действащия закон, изразяващ се в публикуването на уебсайта на това дружество на информация относно предлаганите от него хазартни дейности, не може да бъде санкционирано по силата на стария Закон за хазартните игри. Поради това според запитващата юрисдикция посоченият член 10, параграф 19 разширява обхвата на тази забрана.</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Така от съдържащата се в преюдициалното запитване информация следва, че член 10, параграф 19 от Закона за игрите добавя нови или допълнителни изисквания по смисъла на съдебната практика, припомнена в точка 52 от настоящото решение, в сравнение с член 10, параграф 19 от стария Закон за игрите. От това следва, че освен ако не се установи друго при проверките, които запитващата юрисдикция следва да извърши, изменението, което е в основата на действащия понастоящем закон, е трябвало да бъде нотифицирано съгласно член 5, параграф 1, първа алинея от Директива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Уведомление за пълния текст</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Съд — решение от 16 септември 1997 г.</w:t>
        </w:r>
      </w:hyperlink>
      <w:r>
        <w:t xml:space="preserve">, Комисия/Италия, C-279/94, точки 38 и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Текст, съдържащ „технически регламенти „, трябва да бъде нотифициран в своята цялост, включително мерки, които не са „технически регламенти„, дори ако само „техническите регламенти“ са предмет на периода на изчакване.</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Що се отнася до задължението на италианското правителство да нотифицира пълния текст на Закон № 257/92, включително разпоредбите, които не представляват технически регламенти, следва да се отбележи, че съгласно член 8, параграф 1, първа алинея, последно изречение от Директивата държавите членки трябва също така да съобщят на Комисията текста на основните законови или подзаконови разпоредби, които са основно и пряко засегнати, ако познаването на този текст е необходимо, за да се оценят последиците от проекта за технически регламент.“</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Въпреки това самият факт, че всички разпоредби, съдържащи се в Закон № 257/92, са съобщени на Комисията, не е пречка Италианската република да влезе в сила незабавно и следователно без да изчаква резултатите от процедурата по разглеждане, предвидена в директивата, разпоредбите, които не представляват технически регламенти.“</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Уведомяване за засегнати основни </w:t>
      </w:r>
      <w:bookmarkEnd w:id="139"/>
      <w:r>
        <w:t>разпоредби</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„Когато е целесъобразно и освен ако вече не е било изпратено с предварително съобщение, държавите членки едновременно съобщават на Комисията текста на основните законови или подзаконови разпоредби, които са основно и пряко засегнати, ако познаването на този текст е необходимо, за да се оценят последиците от проекта на технически регламент.“</w:t>
      </w:r>
    </w:p>
    <w:p w14:paraId="3C018828" w14:textId="77777777">
      <w:pPr>
        <w:pStyle w:val="BodyText"/>
        <w:ind w:left="1440"/>
        <w:jc w:val="right"/>
        <w:rPr>
          <w:i/>
          <w:iCs/>
        </w:rPr>
      </w:pPr>
    </w:p>
    <w:p w14:paraId="21D14611" w14:textId="15758967">
      <w:pPr>
        <w:pStyle w:val="BodyText"/>
        <w:ind w:left="1440"/>
        <w:jc w:val="right"/>
      </w:pPr>
      <w:r>
        <w:t xml:space="preserve">(член 5, параграф 1, второ изречение от Директива (ЕС)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Решение от 7 май 1998 г.</w:t>
        </w:r>
      </w:hyperlink>
      <w:r>
        <w:t xml:space="preserve">, Комисия/Белгия, C-145/97, точки 11 и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Държавите членки трябва да съобщят не само проекта за текст, съдържащ „техническите регламенти“, но и текста на основните законови или подзаконови разпоредби, които са основно и пряко засегнати. Целта на това задължение е да се даде възможност на Комисията да разполага с възможно най-много информация и по този начин ефективно да упражнява правомощията, които са ѝ предоставени с Директивата.</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На второ място, що се отнася до точния обхват на задължението за съобщаване, член 8, параграф 1, първа алинея от Директивата предвижда, че държавите членки съобщават и текста на основните законови или подзаконови разпоредби, които са основно и пряко засегнати, ако познаването на този текст е необходимо, за да се оценят последиците от проекта на технически регламент.</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Както Съдът ясно посочва в решението си по дело C-279/94 Комисията срещу Италия [1997] ECR I-4743, параграф 40, целта на тази разпоредба е да позволи на Комисията да разполага с възможно най-голяма информация относно всеки проект за технически регламент по отношение на неговото съдържание, обхват и общ контекст, за да може да упражни по възможно най-ефективен начин правомощията, предоставени ѝ от директивата.“</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Повторно уведомление</w:t>
      </w:r>
      <w:bookmarkEnd w:id="143"/>
      <w:r>
        <w:t xml:space="preserve"> по време на периода на изчакване</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„Държавите членки съобщават отново проекта на технически регламент на Комисията при условията, посочени в първа и втора алинея от настоящия параграф, ако направят промени в проекта, които значително променят неговия обхват, съкращават първоначално предвидения график за изпълнение, добавят спецификации или изисквания или правят последните по-ограничителни.“</w:t>
      </w:r>
    </w:p>
    <w:p w14:paraId="3E582DDB" w14:textId="77777777">
      <w:pPr>
        <w:pStyle w:val="BodyText"/>
        <w:ind w:left="1440"/>
        <w:jc w:val="right"/>
        <w:rPr>
          <w:i/>
          <w:iCs/>
        </w:rPr>
      </w:pPr>
    </w:p>
    <w:p w14:paraId="57E3F15D" w14:textId="51B7D3EF">
      <w:pPr>
        <w:pStyle w:val="BodyText"/>
        <w:ind w:left="1440"/>
        <w:jc w:val="right"/>
      </w:pPr>
      <w:r>
        <w:t xml:space="preserve">(член 5, параграф 1, трето изречение от Директива (ЕС)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Решение от 15 април 2010 г.</w:t>
        </w:r>
      </w:hyperlink>
      <w:r>
        <w:t xml:space="preserve">, Sandström, C-433/05, точки 47 и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Изменения в проект на технически регламент, за които Комисията вече е уведомена, които само облекчават условията за употреба на въпросния продукт, не представляват значителна промяна, която изисква допълнително нотифициране.</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с оглед на целта на Директива 98/34, посочена в точка 41 от настоящото решение, измененията на проект на технически регламент, който вече е нотифициран на Комисията съгласно член 8, параграф 1, първа алинея от Директива 98/34, които по отношение на нотифицирания проект съдържат само облекчаване на условията за употреба на разглеждания продукт и които следователно намаляват възможното въздействие на техническия регламент върху търговията, не представляват съществено изменение на проекта по смисъла на член 8, параграф 1, трета алинея от тази директива. Следователно задължението за предварително уведомяване не се отнася за подобни изменения.</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Макар съгласно член 8, параграф 3 от Директива 98/34 държавите членки незабавно да съобщават на Комисията окончателния текст на технически регламент, липсата на съобщаване на несъществено изменение на такъв регламент преди приемането му не засяга приложимостта на този регламент, ако не съществува задължение за предварително уведомяване.“</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Решение от 31 януари 2013 г.</w:t>
        </w:r>
      </w:hyperlink>
      <w:r>
        <w:t xml:space="preserve">, Belgische Petroleum Unie и др., C-26/11, точки 56 и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Директивата не изисква повторно нотифициране на проект на национално законодателство, когато след нотифицирането проектът е бил изменен, за да се вземат предвид забележките на Комисията, и измененият проект впоследствие е бил изпратен на Комисията.</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при тези обстоятелства Кралство Белгия се е ограничило да измени разпоредбите на законопроекта в съответствие с искане на Комисията за премахване на пречка пред търговията, така че съгласно член 10, параграф 1, последно тире от Директива 98/34 задължението за уведомяване на Комисията по член 8, параграф 1, първа алинея от тази директива не се прилага за проектозакона относно задължението за смесване.</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При тези условия на втория въпрос следва да се отговори, че член 8 от Директива 98/34 във връзка с член 10, параграф 1, последно тире от тази директива трябва да се тълкува в смисъл, че не изисква нотифициране на проект на национална правна уредба, който задължава петролните дружества, които пускат на пазара бензинови и/или дизелови горива, да пускат на пазара и през същата календарна година определени проценти биогорива, когато, след като е бил нотифициран съгласно член 8, параграф 1, първа алинея, проектът е бил изменен, за да се вземат предвид забележките на Комисията по него, и след това измененият проект е бил изпратен на Комисията.“</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Решение от 10 юли 2014 г.,</w:t>
        </w:r>
      </w:hyperlink>
      <w:r>
        <w:rPr>
          <w:b/>
          <w:i/>
        </w:rPr>
        <w:t xml:space="preserve"> Ivansson и др.</w:t>
      </w:r>
      <w:r>
        <w:rPr>
          <w:b/>
          <w:i/>
        </w:rPr>
        <w:t>,</w:t>
      </w:r>
      <w:r>
        <w:rPr>
          <w:rFonts w:ascii="Open Sans" w:hAnsi="Open Sans" w:cs="Open Sans" w:eastAsiaTheme="minorHAnsi"/>
          <w:color w:val="000000"/>
          <w:sz w:val="18"/>
          <w:szCs w:val="18"/>
        </w:rPr>
        <w:t xml:space="preserve"> </w:t>
      </w:r>
      <w:r>
        <w:rPr>
          <w:b/>
          <w:i/>
        </w:rPr>
        <w:t xml:space="preserve">C-307/13, точки 48—50</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Всяка значителна промяна в графика за изпълнение на национална мярка, включително значително съкращаване, трябва да бъде съобщена на Комисията. Липсата на уведомление прави мярката неприложима и непротивопоставима на частноправните субекти.</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В това отношение следва да се припомни, че Съдът е постановил, че неспазването на задължението за уведомяване на Комисията представлява процесуално нарушение при приемането на съответните технически регламенти и прави тези технически регламенти неприложими и следователно непротивопоставими на частноправните субекти (вж. по-специално решения CIA Security International, C-194/94, т. 54 и Schwibbert, C-20/05, т. 44). Частноправните субекти могат да се позоват на тази неприложимост пред националния съд, който трябва да откаже да приложи национален технически регламент, който не е бил нотифициран в съответствие с Директива 98/34 (вж. по-специално решение Schwibbert, т. 44 и цитираната съдебна практика).</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От това следва, че ако съобщението до Комисията за член 9 от DSF действително е съдържало датата 1 май 2003 г. като дата на влизане в сила и съкращаването на графика за прилагането му до 15 април 2003 г. е имало значителен характер, липсата на ново съобщаване на тази национална разпоредба на Комисията би я лишила от противопоставимост на ответниците в главното производство.</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Следователно на втория въпрос следва да се отговори, че ако съкращаването на графика за влизане в сила на технически регламент е обусловено от задължението за уведомяване на Комисията, предвидено в член 8, параграф 1, трета алинея от Директива 98/34, липсата на такова съобщаване би направило тази национална мярка неприложима, така че тя да не може да бъде противопоставена на частноправните субекти.“</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Изключения от задължението за уведомяване</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Транспониране на европейски акт</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„Членове 5 и 6 не се прилагат по отношение на тези законови, подзаконови и административни разпоредби на държавите членки или доброволни споразумения, чрез които държавите членки: </w:t>
      </w:r>
    </w:p>
    <w:p w14:paraId="2762B474" w14:textId="77777777">
      <w:pPr>
        <w:pStyle w:val="BodyText"/>
        <w:ind w:left="567"/>
        <w:rPr>
          <w:i/>
        </w:rPr>
      </w:pPr>
    </w:p>
    <w:p w14:paraId="753FC221" w14:textId="4E9C46C0">
      <w:pPr>
        <w:pStyle w:val="P68B1DB1-BodyText11"/>
        <w:ind w:left="1440"/>
        <w:rPr>
          <w:iCs/>
        </w:rPr>
      </w:pPr>
      <w:r>
        <w:t xml:space="preserve">а) спазват обвързващите актове на Съюза, които водят до приемането на технически спецификации или правила за услуги;“</w:t>
      </w:r>
    </w:p>
    <w:p w14:paraId="2A077376" w14:textId="77777777">
      <w:pPr>
        <w:pStyle w:val="BodyText"/>
        <w:ind w:left="567"/>
        <w:rPr>
          <w:i/>
          <w:iCs/>
        </w:rPr>
      </w:pPr>
    </w:p>
    <w:p w14:paraId="7AE538ED" w14:textId="4CFA3BCA">
      <w:pPr>
        <w:pStyle w:val="BodyText"/>
        <w:jc w:val="right"/>
      </w:pPr>
      <w:r>
        <w:t xml:space="preserve">(Член 7, параграф 1, буква а) от Директива (ЕС) 2015/1535 на Съвета)</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Решение от 17 септември 1996 г.</w:t>
        </w:r>
      </w:hyperlink>
      <w:r>
        <w:t xml:space="preserve">, Комисия/Италия, C-289/94, точки 43—45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За да може дадена национална мярка да се счита за мярка за транспониране, освободена от задължението за уведомяване, трябва да се установи пряка връзка със задължителен акт на Общността.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От своя страна Директива 91/492 съдържа много по-широки разпоредби относно търговията не само с двучерупчести мекотели, но и с морски коремоноги, ципести и бодлокожи. С него се определят нови изисквания за всички етапи на събиране, обработка, съхранение, транспортиране и разпределяне на мекотели и се въвежда система за регистрация и маркиране, за да може произходът на всяка партида да бъде идентифициран за здравни цели.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Освен това липсата на пряка връзка между Директива 91/492 и двата разглеждани декрета се потвърждава от твърдението на италианското правителство, че тази директива е транспонирана в италианското право със Законодателен декрет № 530 от 30 декември 1992 г., посочен по-горе, който, както самият той твърди, представлява единствената мярка за транспониране на Директива 91/492 и по отношение на който Комисията е изпратила подробно становище на 27 януари 1993 г., в което критикува този декрет, тъй като се прилага за друг токсин (NSP), който не е посочен в Директива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Тъй като не представляват мерки за транспониране на Директива 91/492, които могат да обосноват прилагането на член 10 от Директива 83/189, Декрет № 257 от 1 август 1990 г. и Постановлението от 1 септември 1990 г. трябваше да бъдат съобщени на Комисията съгласно член 8 от последната директива.“</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Решение от 26 септември 2000 г.</w:t>
        </w:r>
      </w:hyperlink>
      <w:r>
        <w:t xml:space="preserve">, Unilever, C-443/98, точки 28 и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Когато държавите членки разполагат с широка свобода на преценка при транспонирането на директива на Съюза, приетите за тази цел национални мерки не могат да се считат за национални разпоредби, „съобразени със задължителен акт на Общността“.</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Второ, италианското правителство твърди, че обжалваният закон е освободен от задължението за уведомяване по член 10 от Директива 83/189, тъй като е приет в съответствие с Директива 79/112/ЕИО на Съвета от 18 декември 1978 г. за сближаване на законодателствата на държавите членки относно етикетирането, представянето и рекламата на храните, предназначени за продажба на крайния потребител (ОВ L 1979, 33 г., стр. 1). Член 3, параграф 1 (7) от тази директива изисква мястото на произход или мястото на произход на продукта да бъде посочено върху етикета в случаите, когато пропускането на такава информация би могло да заблуди потребителите относно действителния произход или произход на храната.</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Тази теза не може да бъде възприета. Както отбелязва Комисията, тази разпоредба от Директива 79/112, формулирана общо, оставя на държавите членки достатъчно свобода на действие, за да може да се заключи, че национални правила относно етикетирането за произход като приетите в обжалвания закон не могат да се считат за национални разпоредби, съответстващи на обвързващ акт на Общността по смисъла на член 10, параграф 1, първо тире от Директива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Решение от 22 януари 2000 г.</w:t>
        </w:r>
      </w:hyperlink>
      <w:r>
        <w:t xml:space="preserve">, Canal Satélite Digital, C-390/99, точка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Националните разпоредби, транспониращи задължителни общностни мерки, съдържащи „технически спецификации“, не подлежат на задължението за уведомяване, при условие че са строго ограничени до такова транспониране.</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Що се отнася до втората част от третия въпрос, която се отнася до задължението по член 8 от Директива 83/189 за съобщаване на Комисията на всеки проект на технически регламент, от член 10 от тази директива следва, че членове 8 и 9 не се прилагат по отношение на законовите, подзаконовите или административните разпоредби на държавите членки, нито по отношение на доброволните споразумения, сключени от тях, с които държавите членки се съобразяват със задължителните общностни мерки, които водят до приемането на технически спецификации. Следователно, доколкото разглежданата в главното производство национална правна уредба транспонира Директива 95/47 и само в тази степен, няма да съществува задължение за уведомяване по силата на Директива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Решение от 8 септември 2005 г.</w:t>
        </w:r>
      </w:hyperlink>
      <w:r>
        <w:t xml:space="preserve">, Комисия/Португалия, C-500/03, точки 34 и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Националните разпоредби, определящи характеристиките на плавателните съдове за отдих, не могат да се ползват от освобождаването от задължението за уведомяване, запазено за транспониране, когато посочената директива оставя на държавите членки свободата да определят условията, които считат за необходими за опазване на околната среда, конфигурацията и безопасността на водните пътища.</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(Тъй като решението е достъпно единствено на френски и португалски език, следният текст е превод.)</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Държавите членки имат правото, предвидено в член 2, параграф 2 от Директива 94/25, да определят на национално равнище условията, които считат за необходими по отношение на корабоплаването в определени води, за да защитят околната среда и структурата на водните пътища и да гарантират безопасността на тези води. Тези национални разпоредби обаче в никакъв случай не могат да се считат за приети за целите на спазването на обвързващ общностен акт.</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От това следва, че Регламентът относно плаването в лагуни, който въвежда технически ограничения за плавателните съдове за отдих съгласно член 2, параграф 2 от Директива 94/25, не попада в обхвата на член 10, параграф 1, първо тире от Директива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Използване на предпазна клауза</w:t>
      </w:r>
      <w:bookmarkEnd w:id="158"/>
      <w:bookmarkEnd w:id="159"/>
    </w:p>
    <w:p w14:paraId="19EB441C" w14:textId="77777777">
      <w:pPr>
        <w:pStyle w:val="BodyText"/>
        <w:ind w:left="567"/>
      </w:pPr>
    </w:p>
    <w:p w14:paraId="3421D751" w14:textId="45643AD7">
      <w:pPr>
        <w:pStyle w:val="P68B1DB1-BodyText11"/>
        <w:ind w:left="567"/>
        <w:rPr>
          <w:iCs/>
        </w:rPr>
      </w:pPr>
      <w:r>
        <w:t xml:space="preserve">„Членове 5 и 6 </w:t>
      </w:r>
      <w:r>
        <w:rPr>
          <w:i w:val="0"/>
        </w:rPr>
        <w:t xml:space="preserve">[относно задължението за уведомяване и периода на изчакване] </w:t>
      </w:r>
      <w:r>
        <w:t xml:space="preserve">не се прилагат по отношение на тези законови, подзаконови и административни разпоредби на държавите членки или доброволни споразумения, чрез които държавите членки: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в) използват предпазните клаузи, предвидени в обвързващите актове на Съюза;“</w:t>
      </w:r>
    </w:p>
    <w:p w14:paraId="3AF0BFA4" w14:textId="77777777">
      <w:pPr>
        <w:pStyle w:val="P68B1DB1-BodyText11"/>
        <w:ind w:left="567"/>
        <w:rPr>
          <w:iCs/>
        </w:rPr>
      </w:pPr>
    </w:p>
    <w:p w14:paraId="6099E717" w14:textId="6C5840E7">
      <w:pPr>
        <w:pStyle w:val="BodyText"/>
        <w:jc w:val="right"/>
      </w:pPr>
      <w:r>
        <w:t xml:space="preserve">(Член 7, параграф 1, буква в) от Директива (ЕС) 2015/1535 на Съвета)</w:t>
      </w:r>
    </w:p>
    <w:p w14:paraId="0B43480F" w14:textId="77777777">
      <w:pPr>
        <w:pStyle w:val="BodyText"/>
        <w:jc w:val="right"/>
      </w:pPr>
    </w:p>
    <w:p w14:paraId="2F300DBD" w14:textId="39C2EC6A">
      <w:pPr>
        <w:pStyle w:val="P68B1DB1-BodyText11"/>
        <w:ind w:left="567"/>
        <w:rPr>
          <w:iCs/>
        </w:rPr>
      </w:pPr>
      <w:r>
        <w:t xml:space="preserve">„Посочените по-горе мерки за хармонизиране съдържат, в съответните случаи, защитна клауза, предоставяща на държавите членки правото да приемат временни мерки, основаващи се на една или повече неикономически причини, посочени в член 36 и подчинени на процедура на контрол от Съюза.“</w:t>
      </w:r>
    </w:p>
    <w:p w14:paraId="618BDE87" w14:textId="77777777">
      <w:pPr>
        <w:pStyle w:val="BodyText"/>
        <w:jc w:val="right"/>
      </w:pPr>
    </w:p>
    <w:p w14:paraId="4DE4DD33" w14:textId="77777777">
      <w:pPr>
        <w:pStyle w:val="BodyText"/>
        <w:jc w:val="right"/>
      </w:pPr>
      <w:r>
        <w:t xml:space="preserve">(Член 114, параграф 10 от Договора за функционирането на Европейския съюз)</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Решение от 8 септември 2005 г.</w:t>
        </w:r>
      </w:hyperlink>
      <w:r>
        <w:t xml:space="preserve">, Комисия/Португалия, C-500/03, точки 34 и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Националните разпоредби, с които се създават постоянни мерки, не могат да се ползват от освобождаването от задължението за уведомяване, запазено за предпазните клаузи, тъй като по дефиниция последните включват само временни мерки.</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(Тъй като решението е достъпно единствено на френски и португалски език, следният текст е превод.)</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Тъй като настоящият иск за установяване на неизпълнение на задължения се свежда до искане за установяване на неизпълнение на формалната процедура за предварително уведомяване, достатъчно е да се отбележи, без да е необходимо да се отговаря на останалите доводи на страните, че Съдът вече е постановил, че член 8, параграф 1 от Директива 98/34 задължава държавите членки да съобщават незабавно на Комисията всеки проект на технически регламент (вж. в този смисъл, що се отнася по-специално до разпоредби, сходни с тези на тази директива, Решение от 2 август 1993 г. по дело Комисия/Италия, C-139/92, Recueil, стр. I-4707, точка 3 и Решение от 11 януари 1996 г. по дело Комисия/Нидерландия, C-273/94, Recueil, стр. I-31, точка 15).</w:t>
      </w:r>
    </w:p>
    <w:p w14:paraId="4A696586" w14:textId="77777777">
      <w:pPr>
        <w:pStyle w:val="BodyText"/>
        <w:ind w:left="567"/>
        <w:rPr>
          <w:i/>
          <w:iCs/>
          <w:sz w:val="20"/>
          <w:szCs w:val="16"/>
        </w:rPr>
      </w:pPr>
    </w:p>
    <w:p w14:paraId="7FC8797C" w14:textId="46BA7B1B">
      <w:pPr>
        <w:pStyle w:val="P68B1DB1-BodyText25"/>
        <w:ind w:left="567"/>
        <w:jc w:val="left"/>
      </w:pPr>
      <w:r>
        <w:t xml:space="preserve">40. Тъй като релевантните разпоредби на Декрет № 783/98 представляват технически регламенти по смисъла на Директива 98/34, както бе посочено в точка 31 от настоящото решение, Португалската република е била длъжна да ги нотифицира под формата на проект съгласно член 8, параграф 1 от Директива 98/34 (вж. по-специално в този смисъл, що се отнася до разпоредби, подобни на тези на Директива 98/34, Решение от 7 май 1998 г. по дело Комисия/Белгия, C-145/97, Recueil, стр. I-2643, точка 13 и Решение от 21 април 2005 г. по дело Lindberg, C-267/03, Recueil, стр. I, точка).“</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Решение от 8 октомври 2020 г.</w:t>
        </w:r>
      </w:hyperlink>
      <w:r>
        <w:t xml:space="preserve">, Union des industries de la protection des plantes, C-514/19, точки 46 и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 </w:t>
      </w:r>
      <w:hyperlink r:id="rId93" w:history="1">
        <w:r>
          <w:rPr>
            <w:rStyle w:val="Hyperlink"/>
            <w:rFonts w:ascii="Times New Roman" w:hAnsi="Times New Roman" w:cs="Times New Roman" w:eastAsia="Times New Roman"/>
            <w:b/>
            <w:i/>
            <w:color w:val="0000FF"/>
            <w:szCs w:val="20"/>
          </w:rPr>
          <w:t xml:space="preserve">относно заключението на генералния адвокат Kokott</w:t>
        </w:r>
      </w:hyperlink>
      <w:r>
        <w:rPr>
          <w:rFonts w:ascii="Times New Roman" w:hAnsi="Times New Roman" w:cs="Times New Roman" w:eastAsia="Times New Roman"/>
          <w:b/>
          <w:i/>
          <w:szCs w:val="20"/>
        </w:rPr>
        <w:t xml:space="preserve">, точка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Клауза, съответстваща на определението в член 114 от Договора за функционирането на Европейския съюз, е предпазна клауза, дори ако не е посочена в акта, който я предвижда. Следователно то се ползва от освобождаване от задължението за уведомяване.</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(Решение на Съда)</w:t>
      </w:r>
      <w:r>
        <w:rPr>
          <w:i/>
        </w:rPr>
        <w:t xml:space="preserve"> „46 [...] член 71, параграф 1 от този регламент трябва да се разглежда като предпазна клауза, както посочва генералният адвокат в точка 58 от заключението</w:t>
      </w:r>
      <w:r>
        <w:t xml:space="preserve"> си.</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Следователно разликата между процедурите, предвидени съответно в член 5 от тази директива и в член 71 от посочения регламент, се потвърждава от член 7, параграф 1, буква в) от същата директива, който предвижда, че членове 5 и 6 от тази директива не се прилагат по отношение на разпоредбите на държавите членки, с които последните използват предпазните клаузи, предвидени в задължителни актове на Съюза.“</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(заключение на генералния адвокат Kokott)</w:t>
      </w:r>
      <w:r>
        <w:rPr>
          <w:i/>
        </w:rPr>
        <w:t xml:space="preserve"> </w:t>
      </w:r>
      <w:bookmarkStart w:id="163" w:name="point58"/>
      <w:r>
        <w:rPr>
          <w:i/>
        </w:rPr>
        <w:t>„</w:t>
      </w:r>
      <w:bookmarkEnd w:id="163"/>
      <w:r>
        <w:rPr>
          <w:i/>
        </w:rPr>
        <w:t xml:space="preserve">58.      Макар, за разлика от някои сходни разпоредби, член 71 от Регламента за продуктите за растителна защита да не е озаглавен „защитна клауза“, съдържанието на тази разпоредба съответства на определението за защитна клауза, съдържащо се в член 114, параграф 10 ДФЕС. Следователно то може да се разглежда и като предпазна клауза за целите на член 7, параграф 1, буква в) от Директивата за нотифицирането.“</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Решение от 9 март 2023 г.</w:t>
        </w:r>
      </w:hyperlink>
      <w:r>
        <w:rPr>
          <w:rFonts w:ascii="Times New Roman" w:hAnsi="Times New Roman" w:cs="Times New Roman" w:eastAsia="Times New Roman"/>
          <w:b/>
          <w:i/>
          <w:szCs w:val="20"/>
        </w:rPr>
        <w:t xml:space="preserve">, Vapo Atlantic</w:t>
        <w:noBreakHyphen/>
        <w:t xml:space="preserve">, C 604/21, точки 55—57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Изключение от изискването за уведомяване въз основа на „предпазна клауза“ е възможно само ако цитираният акт за хармонизиране изрично съдържа клауза, съответстваща на определението в член 114 от Договора за функционирането на Европейския съюз.</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Следва да се отбележи, че първите две алинеи на член 4, параграф 1 от Директива 2009/30 се ограничават до това да определят на държавите членки срок за транспонирането ѝ, а именно до 31 декември 2010 г., посредством законови, подзаконови или административни разпоредби, необходими за тази цел, като същевременно искат от тях незабавно да изпратят на Комисията текста на тези разпоредби. Трета алинея от тази разпоредба пък предвижда, че когато държавите членки приемат тези разпоредби, те се позовават на Директива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Нищо в текста на член 4, параграф 1 от Директива 2009/30 обаче не дава основание да се смята, че законодателят на Съюза е възнамерявал да въведе в нея защитна клауза по смисъла на член 114, параграф 10 ДФЕС, която държавите членки биха могли да използват.</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В това отношение последната разпоредба предвижда, че мерките за хармонизиране съдържат, в съответните случаи, защитна клауза, предоставяща на държавите членки правото да приемат временни мерки, основаващи се на една или повече неикономически причини, посочени в член 36 ДФЕС, и подчинени на процедура на контрол от Съюза. От това следва, че такава защитна клауза трябва да бъде изрично предвидена в акта за хармонизиране. Член 4, параграф 1 от Директива 2009/30 няма тези характеристики и следователно не може да представлява такава предпазна клауза.“</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Изменение в съответствие с искане на Комисията</w:t>
      </w:r>
      <w:bookmarkEnd w:id="169"/>
      <w:bookmarkEnd w:id="170"/>
    </w:p>
    <w:p w14:paraId="049085CF" w14:textId="77777777">
      <w:pPr>
        <w:pStyle w:val="BodyText"/>
        <w:jc w:val="left"/>
      </w:pPr>
    </w:p>
    <w:p w14:paraId="40F4BBF6" w14:textId="77777777">
      <w:pPr>
        <w:pStyle w:val="P68B1DB1-BodyText11"/>
        <w:ind w:left="567"/>
        <w:rPr>
          <w:iCs/>
        </w:rPr>
      </w:pPr>
      <w:r>
        <w:t xml:space="preserve">„Членове 5 и 6 </w:t>
      </w:r>
      <w:r>
        <w:rPr>
          <w:i w:val="0"/>
        </w:rPr>
        <w:t xml:space="preserve">[относно задължението за уведомяване и периода на изчакване] </w:t>
      </w:r>
      <w:r>
        <w:t xml:space="preserve">не се прилагат по отношение на тези законови, подзаконови и административни разпоредби на държавите членки или доброволни споразумения, чрез които държавите членки: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е) да се ограничат до изменение на технически регламент по смисъла на член 1, параграф 1, буква е), в съответствие с искане на Комисията, с оглед премахване на бариера пред търговията или, в случай на правила за услуги, пред свободното движение на услуги или свободата на установяване на операторите на услуги.“</w:t>
      </w:r>
    </w:p>
    <w:p w14:paraId="21F03EA5" w14:textId="77777777">
      <w:pPr>
        <w:pStyle w:val="BodyText"/>
        <w:jc w:val="center"/>
      </w:pPr>
    </w:p>
    <w:p w14:paraId="7883B4B7" w14:textId="369773F7">
      <w:pPr>
        <w:pStyle w:val="BodyText"/>
        <w:jc w:val="right"/>
      </w:pPr>
      <w:r>
        <w:t xml:space="preserve">(Член 7, параграф 1, буква е) от Директива (ЕС) 2015/1535 на Съвета)</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Решение от 31 януари 2013 г.</w:t>
        </w:r>
      </w:hyperlink>
      <w:r>
        <w:t xml:space="preserve">, Belgische Petroleum Unie и др., C-26/11, точки 56 и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Директивата не изисква нотифициране на проект на национално законодателство, когато след първоначалната нотификация проектът е бил изменен, за да се вземат предвид забележките на Комисията, и изменената версия впоследствие е била съобщена на Комисията.</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при тези обстоятелства Кралство Белгия се е ограничило да измени разпоредбите на законопроекта в съответствие с искане на Комисията за премахване на пречка пред търговията, така че съгласно член 10, параграф 1, последно тире от Директива 98/34 задължението за уведомяване на Комисията по член 8, параграф 1, първа алинея от тази директива не се прилага за проектозакона относно задължението за смесване.</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При тези условия на втория въпрос следва да се отговори, че член 8 от Директива 98/34 във връзка с член 10, параграф 1, последно тире от тази директива трябва да се тълкува в смисъл, че не изисква нотифициране на проект на национална правна уредба, който задължава петролните дружества, които пускат на пазара бензинови и/или дизелови горива, да пускат на пазара и през същата календарна година определени проценти биогорива, когато, след като е бил нотифициран съгласно член 8, параграф 1, първа алинея, проектът е бил изменен, за да се вземат предвид забележките на Комисията по него, и след това измененият проект е бил изпратен на Комисията.“</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Обстоятелства, които не представляват съществени изключения</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Решение от 11 януари 1996 г.</w:t>
        </w:r>
      </w:hyperlink>
      <w:r>
        <w:t xml:space="preserve">, Комисия/Нидерландия, C-273/94, точки 14 и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Задължението за нотифициране не зависи от предполагаемото въздействие на правилото върху търговията между държавите членки.</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Тази преценка не може да бъде оборена от довода на нидерландското правителство, че оспорваното постановление има за последица да насърчи търговията с маргарин и следователно е в съответствие с основната цел на Директивата за премахване на пречките пред търговията със стоки в рамките на Общността.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От държавите членки се изисква да съобщават на Комисията всеки проект на технически регламент в съответствие с член 8 от директивата. Такова задължение не може да бъде предмет на едностранна оценка от страна на държавата членка, която е изготвила регламента, на последиците, които то може да има върху търговията между държавите членки.“</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Решение от 16 юни 1998 г.</w:t>
        </w:r>
      </w:hyperlink>
      <w:r>
        <w:t xml:space="preserve">, Lemmens, C-226/97, точки 18—20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Директивата се прилага за „техническите регламенти“, независимо от причината за тяхното приемане. Фактът, че дадена мярка обхваща наказателното право, не я освобождава от задължението за уведомяване. Така националните разпоредби, уреждащи средствата за респираторен анализ, използвани от полицията за измерване на алкохола, представляват технически регламент, за който Комисията е трябвало да бъде уведомена преди приемането му.</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От своя страна френското правителство твърди, че Директивата не се прилага за продукти, които, както в настоящия случай, са предназначени да бъдат използвани в рамките на упражняването на публична власт и a fortiori в наказателни производства, образувани от държавите членки.</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Тези доводи не може да се приемат. Макар по принцип наказателното право и наказателнопроцесуалните норми да са от компетентността на държавите членки, от това не следва, че общностното право не може да засегне тази част от правото (вж. в този смисъл Решение от 1989 декември 195 г. по дело Cowan, 186/87, Recueil, стр. 19, точка 1981 и Решение от 2595 юли 27 г. по дело Casati, 203/80, все още непубликувано в Сборника, точка).</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В настоящия случай нищо в Директивата не дава основание да се приеме, че техническите регламенти по смисъла на член 1 от нея са изключени от задължението за уведомяване, тъй като попадат в обхвата на наказателното право, или че приложното поле на Директивата е ограничено до продукти, предназначени да бъдат използвани по друг начин, освен във връзка с упражняването на публична власт. Както Съдът вече е постановил в дело C-13/96 Bic Benelux [1997] ECR I-1753, параграф 19, директива се прилага към техническите регламенти независимо от мотивите, на които те са приети.“</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Решение от 21 април 2005 г.</w:t>
        </w:r>
      </w:hyperlink>
      <w:r>
        <w:t xml:space="preserve">, Lindberg, C-267/03, т. 86, 91 и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Стойността на продукта, за който се отнася дадено правило, размерът на неговия пазар и последиците от това правило за търговията в рамките на Общността не са релевантни критерии, за да се определи дали трябва да се нотифицира „технически регламент“.</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С четвъртия си въпрос запитващата юрисдикция иска становището на Съда относно значението за целите на предвиденото в Директива 83/189 задължение за уведомяване на следните елементи:</w:t>
      </w:r>
    </w:p>
    <w:p w14:paraId="767A8711" w14:textId="77777777">
      <w:pPr>
        <w:pStyle w:val="P68B1DB1-P68B1DB1-ListParagraph226"/>
        <w:tabs>
          <w:tab w:val="left" w:pos="396"/>
          <w:tab w:val="left" w:pos="425"/>
        </w:tabs>
        <w:ind w:left="709"/>
      </w:pPr>
      <w:r>
        <w:t xml:space="preserve">Замяната на изискване за лиценз със забрана в националното право,</w:t>
      </w:r>
    </w:p>
    <w:p w14:paraId="559C82EC" w14:textId="77777777">
      <w:pPr>
        <w:pStyle w:val="P68B1DB1-P68B1DB1-ListParagraph226"/>
        <w:tabs>
          <w:tab w:val="left" w:pos="396"/>
          <w:tab w:val="left" w:pos="425"/>
        </w:tabs>
        <w:ind w:left="709"/>
      </w:pPr>
      <w:r>
        <w:t xml:space="preserve">— По-голямата или по-малка стойност на продукта/услугата,</w:t>
      </w:r>
    </w:p>
    <w:p w14:paraId="7057795D" w14:textId="77777777">
      <w:pPr>
        <w:pStyle w:val="P68B1DB1-P68B1DB1-ListParagraph226"/>
        <w:tabs>
          <w:tab w:val="left" w:pos="396"/>
          <w:tab w:val="left" w:pos="425"/>
        </w:tabs>
        <w:ind w:left="709"/>
      </w:pPr>
      <w:r>
        <w:t xml:space="preserve">Размера на пазара на продукта/услугата или</w:t>
      </w:r>
    </w:p>
    <w:p w14:paraId="7E4DCD6F" w14:textId="27AB1FF7">
      <w:pPr>
        <w:pStyle w:val="P68B1DB1-P68B1DB1-ListParagraph226"/>
        <w:tabs>
          <w:tab w:val="left" w:pos="396"/>
          <w:tab w:val="left" w:pos="425"/>
        </w:tabs>
        <w:ind w:left="709"/>
      </w:pPr>
      <w:r>
        <w:t xml:space="preserve">— Последиците от нова национална разпоредба за използването, която би могла да бъде или пълна забрана за използване, или забрана или ограничение в рамките на няколко възможни области на употреба?“</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Що се отнася до втория и третия елемент, посочени в четвъртия преюдициален въпрос, следва да се отбележи, че както бе припомнено в точка 50 от настоящото решение, Директива 83/189 предвижда процедура за превантивен контрол, за да се провери дали национален стандарт, съдържащ технически регламент, попада в обхвата на разпоредбите на Договора относно свободното движение на стоки, и ако това е така, за да се провери дали такъв стандарт е съвместим с тези разпоредби.</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В това отношение в точка 51 от настоящото решение се приема, че възможните последици от техническия регламент за търговията в рамките на Общността не представляват критерий за определяне на приложното поле на Директива 83/189, що се отнася по-специално до предвиденото в нея задължение за нотифициране.“</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Неприложимост</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Неприложимост в случай на неуведомяване</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Решение от 30 април 1996 г.</w:t>
        </w:r>
      </w:hyperlink>
      <w:r>
        <w:t xml:space="preserve">, CIA Security International SA, C-194/94, точки 48 и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Нарушаването на задължението за уведомяване води до неприложимост на съответните „технически регламенти“, така че те не могат да бъдат противопоставени на частноправни субекти. Частноправните субекти могат да се позовават на членове 8 и 9 от Директива 83/189 пред национална юрисдикция, която трябва да откаже да приложи национален „технически регламент“, който не е бил нотифициран в съответствие с тази директива.</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За да може такава последица да произтича от нарушение на задълженията, предвидени в Директива 83/189, не е необходима изрична разпоредба в този смисъл. Както бе посочено по-горе, безспорно е, че целта на директивата е да защити свободното движение на стоки чрез превантивен контрол и че задължението за уведомяване е от съществено значение за осъществяването на такъв контрол от страна на Общността. Ефективността на общностния контрол ще бъде толкова по-голяма, ако директивата се тълкува в смисъл, че нарушението на задължението за уведомяване представлява съществено процесуално нарушение, което може да направи въпросните технически регламенти неприложими за частноправните субекти.“</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Ето защо на петия и шестия въпрос следва да се отговори, че членове 8 и 9 от Директива 83/189 трябва да се тълкуват в смисъл, че частноправните субекти могат да се позоват на тях пред националния съд, който трябва да откаже да приложи национален технически регламент, който не е бил нотифициран в съответствие с Директивата.“</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Решение от 16 юни 1998 г.</w:t>
        </w:r>
      </w:hyperlink>
      <w:r>
        <w:t xml:space="preserve">, Lemmens, C-226/97, точки 34—37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Неизпълнението на задължението за нотифициране на технически регламент относно апарати за анализ на дихателните пътища не води до непротивопоставимост спрямо лице, натоварено с шофиране в нетрезво състояние, на доказателствата, получени чрез апарат за анализ на дишането, разрешен в съответствие с правила, които не са били нотифицирани.</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В наказателни производства като тези в главното производство по отношение на обвиняемия се прилагат правилата, които, от една страна, забраняват и наказват управлението на моторно превозно средство под въздействието на алкохол, а от друга страна, задължават водача да издишва дъха в апарат, предназначен за измерване на алкохолното съдържание, като резултатът от този тест представлява доказателство в наказателното производство. Тези регламенти се различават от тези, които, след като не са били нотифицирани на Комисията в съответствие с директивата, са неприложими спрямо физическите лица.</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Всъщност, макар липсата на нотифициране на технически регламенти, която представлява процесуално нарушение при тяхното приемане, да води до неприложимост на тези регламенти, доколкото те възпрепятстват използването или пускането на пазара на продукт, който не е в съответствие с тях, то не води до незаконосъобразност на всяко използване на продукт, който е в съответствие с ненотифицирани регламенти.</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Използването на продукта от публичните органи в случай като настоящия не може да създаде пречка за търговията, която би могла да бъде избегната, ако е била следвана процедурата по нотифициране.</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Ето защо на първия въпрос следва да се отговори, че Директивата трябва да се тълкува в смисъл, че нарушението на наложеното с член 8 от нея задължение за нотифициране на технически регламент относно апарати за анализ на дихателните пътища не води до невъзможност за противопоставяне на лице, обвинено в управление под въздействието на алкохол, на доказателства, получени чрез такъв апарат, разрешен в съответствие с регламенти, които не са били нотифицирани.“</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Решение от 6 юни 2002 г.</w:t>
        </w:r>
      </w:hyperlink>
      <w:r>
        <w:t xml:space="preserve">, Sapod Audic, C-159/00, точки 52 и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Националният съд следва да откаже да приложи разпоредби, които са неприложими поради неуведомяване. Последиците от подобна неприложимост се уреждат от националното право, при условие че тя не е по-неблагоприятна от тази за подобни вътрешноправни искове и не прави невъзможно упражняването на правата, произтичащи от правото на Съюза.</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Следва обаче да се отбележи, че въпросът за последиците, които следва да се изведат в главното производство от неприложимостта на член 4, втора алинея от Декрет № 92—377 по отношение на тежестта на санкцията съгласно приложимото национално право, като например нищожността или непротивопоставимостта на договора между Sapod и Eco-Emballages, е въпрос, уреден от националното право, по-специално що се отнася до правилата и принципите на договорното право, които ограничават или коригират тази санкция, за да направят тежестта ѝ пропорционална на констатирания конкретен недостатък. Тези правила и принципи обаче не могат да бъдат по-неблагоприятни от правилата и принципите, които уреждат подобни вътрешноправни съдебни производства (принцип на равностойност), и не могат да бъдат формулирани така, че да правят практически невъзможно упражняването на правата, предоставени от общностния правен ред (принцип на ефективност) (вж. по-специално Решение от 1976 юли 1989 г. по дело Rewe/Landwirtschaftskammer für das Saarland, 33/76, все още непубликувано в Сборника, точка 5 и Решение от 2001 септември 1395 г. по дело Camorotto и Vignone, C-52/99 и C-53/99, все още непубликувано в Сборника, точка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Ето защо на втората част от втория въпрос, доколкото тя се отнася до Директива 83/189, следва да се отговори, че в случай че национална разпоредба като член 4, втора алинея от Декрет № 92—377 трябва да се тълкува в смисъл, че изисква да се приложи марка или етикет, частноправният субект може да се позове на липсата на уведомяване за тази национална разпоредба в съответствие с член 8 от тази директива. При това положение националният съд следва да откаже да приложи тази разпоредба, тъй като въпросът за последиците от неприложимостта на тази национална разпоредба по отношение на тежестта на санкцията съгласно приложимото национално право, като например нищожността или непротивопоставимостта на договор, е въпрос, уреден от националното право. Този извод обаче е подчинен на условието приложимите норми на националното право да не са по-неблагоприятни от тези, които уреждат подобни вътрешноправни съдебни производства, и да не са формулирани по такъв начин, че да правят практически невъзможно упражняването на правата, предоставени от общностното право.“</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Решение от 8 септември 2005 г.</w:t>
        </w:r>
      </w:hyperlink>
      <w:r>
        <w:t xml:space="preserve">, Lidl Italia, C-303/04, т. 22 и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Нарушението на задължението за уведомяване представлява съществено процесуално нарушение, което прави въпросните „технически регламенти“ неприложими и следователно непротивопоставими на частноправните субекти.</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съгласно постоянната съдебна практика Директива 98/34 има за цел да защити посредством превантивен контрол свободното движение на стоки, което е една от основите на Общността, и че този контрол служи за полезна цел, тъй като техническите регламенти, попадащи в приложното поле на тази директива, могат да представляват пречки пред търговията със стоки между държавите членки, като такива пречки са допустими само ако са необходими за изпълнението на императивни изисквания, свързани с обществения интерес (вж. в този смисъл Решение от 1996 октомври 2201 г. по дело CIA Security International, C-194/94, все още непубликувано в Сборника, точка 40 и Решение от 1998 юли 3711 г. по дело Lemmens, C-226/97, все още непубликувано в Сборника, точка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Тъй като задължението за уведомяване, посочено по-специално в член 8, параграф 1, първа алинея от Директива 98/34, е от съществено значение за осъществяването на този общностен контрол, ефективността на този контрол ще бъде много по-голяма, ако тази директива се тълкува в смисъл, че неспазването на задължението за уведомяване представлява съществено процесуално нарушение, което може да направи въпросните технически регламенти неприложими и следователно непротивопоставими на частноправните субекти (Решение по дело CIA Security International, посочено по-горе, точки 44, 48 и 54 и Решение по дело Lemmens, посочено по-горе, точка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Решение от 31 януари 2013 г.</w:t>
        </w:r>
      </w:hyperlink>
      <w:r>
        <w:t xml:space="preserve">, Belgische Petroleum Unie и др., C</w:t>
        <w:noBreakHyphen/>
        <w:t xml:space="preserve">26/11, т.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Нарушението на задължението за уведомяване представлява съществено процесуално нарушение, което прави въпросните „технически регламенти“ неприложими и следователно непротивопоставими на частноправните субекти.</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Тъй като задължението за уведомяване, посочено в член 8, параграф 1, първа алинея от Директива 98/34, е от съществено значение за осъществяването на този контрол, ефективността на този контрол ще бъде много по-голяма, ако тази директива се тълкува в смисъл, че неспазването на задължението за уведомяване представлява съществено процесуално нарушение, което може да направи въпросните технически регламенти неприложими и следователно непротивопоставими на частноправните субекти (вж. Решение по дело Lidl Italia, посочено по-горе, точка 23 и Решение по дело Sandström, посочено по-горе, точка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Решение от 2 февруари 2016 г.</w:t>
        </w:r>
      </w:hyperlink>
      <w:r>
        <w:t xml:space="preserve">, Ince, C-336/14, точки 67 и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Неуведомяването за „технически регламент“ го прави неприложим и непротивопоставим на физически лица. Последните могат да се позоват на член 8 от Директива 98/34 пред националните юрисдикции, които следователно са длъжни да откажат да приложат правилото, за което не е направено уведомление.</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В самото начало следва да се припомни, че нарушението на задължението за нотифициране, предвидено в член 8, параграф 1 от Директива 98/34, представлява процесуално нарушение при приемането на съответните технически регламенти и прави тези технически регламенти неприложими и следователно непротивопоставими на частноправните субекти (вж. по-специално решение Ivansson и др., C-307/13, т. 48 и цитираната съдебна практика).</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В това отношение следва да се подчертае, както отбелязва генералният адвокат в точка 60 от заключението си, че макар член 8, параграф 1 от тази директива да изисква Комисията да бъде уведомена за целия проект на закон, съдържащ технически регламенти (вж. в този смисъл решение Комисия/Италия, C-279/94, т. 40 и 41), неприложимостта, произтичаща от неизпълнението на това задължение, обхваща не всички разпоредби на такъв закон, а само съдържащите се в него технически регламенти.“</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Определение от 21 април 2016 г.</w:t>
        </w:r>
      </w:hyperlink>
      <w:r>
        <w:t xml:space="preserve">, Beca Engineering, C-285/15, точка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Липсата на нотифициране на „технически регламент“ го прави неприложим и непротивопоставим на частноправните субекти, които могат да се позоват на член 8 от Директива 98/34 пред националните съдилища, които следователно са длъжни да отхвърлят неговото прилагане.</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(Тъй като редът е достъпен единствено на френски и италиански език, следният текст е превод.)</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Съгласно постоянната съдебна практика неспазването на задължението за незабавно уведомяване на Комисията за техническите регламенти от държавите членки, предвидено в член 8 от Директива 98/34, води до неприложимост на съответните технически регламенти, така че те не могат да бъдат противопоставяни на частноправните субекти, поради което последната може да се позове на член 8 от Директива 98/34 пред националния съд, който трябва да откаже да приложи национален технически регламент, който не е бил нотифициран в съответствие с тази директива (вж. в този смисъл решения от 30 април</w:t>
        <w:noBreakHyphen/>
        <w:t xml:space="preserve">1996 г., CIA Security International, 194/94, т. 44 и 54, от 26 септември 2000 г.,</w:t>
        <w:noBreakHyphen/>
        <w:t xml:space="preserve">Unilever, 443/98, точка 49; и от 16 юли 2015 г., UNIC и Uni.co.pel</w:t>
        <w:noBreakHyphen/>
        <w:t xml:space="preserve">, 95/14, параграф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Решение от 1 февруари 2017 г.</w:t>
        </w:r>
      </w:hyperlink>
      <w:r>
        <w:t xml:space="preserve">, Município de Palmela, C</w:t>
        <w:noBreakHyphen/>
        <w:t xml:space="preserve">144/16, точки 36 и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Неприложимостта на техническите регламенти, за които не е постъпило уведомление, обхваща само разпоредбите, които се квалифицират като такива, а не целия текст, в който са установени.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Освен това санкцията за неизпълнение на такова задължение за нотифициране е неприложимостта на технически правила, които не са били нотифицирани (вж. в този смисъл, що се отнася до Директива 83/189, решение от 30 април 1996 г., CIA Security International, C-194/94, т. 54, а що се отнася до Директива 98/34 — решение от 4 февруари 2016 г., Ince, C-336/14, т. 67 и цитираната съдебна практика).</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Що се отнася до обхвата на такава санкция, въпреки че член 8, параграф 1 от Директива 83/189 и член 8, параграф 1 от Директива 98/34 изискват на Комисията да се съобщава целият законопроект, съдържащ технически регламенти, неприложимостта, произтичаща от неизпълнението на това задължение, обхваща не всички разпоредби на такъв закон, а само съдържащите се в него технически регламенти (вж. в този смисъл решение от 4 февруари 2016 г., Ince, C-336/14, т.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Решение от 12 септември 2019 г.</w:t>
        </w:r>
      </w:hyperlink>
      <w:r>
        <w:t xml:space="preserve">, VG Media, C-299/17, т.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Неприложимостта на „технически регламент“, за който не е постъпило уведомление, може да бъде изтъкната в спор между частноправни субекти.</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Доколкото правило като разглежданото в главното производство е специално насочено към услугите на информационното общество, Комисията трябва да бъде предварително уведомена за проекта на технически регламент съгласно член 8, параграф 1 от Директива 98/34. В противен случай съгласно постоянната съдебна практика неприложимостта на технически регламент, който не е бил нотифициран в съответствие с тази разпоредба, може да бъде изтъкната в рамките на спор между частноправни субекти (решение от 27 октомври 2016 г., James Elliott Construction</w:t>
        <w:noBreakHyphen/>
        <w:t xml:space="preserve">, C 613/14, т. 64 и цитираната съдебна практика).“</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Неприложимост в случай на приемане по време на периода на изчакване</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Решение от 26 септември 2000 г.</w:t>
        </w:r>
      </w:hyperlink>
      <w:r>
        <w:t xml:space="preserve">, Unilever, C-443/98, точки 44 и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Нарушението на задължението за отлагане на приемането на „технически регламент“ представлява съществено процесуално нарушение и произтичащата от това неприложимост може да бъде повдигната в рамките на гражданскоправни спорове в областта на договорното право.</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Макар в точка 48 от Решение по дело CIA Security, след като припомня, че целта на Директива 83/189 е да защити свободното движение на стоки чрез превантивен контрол и че задължението за уведомяване е от съществено значение за осъществяването на такъв общностен контрол, Съдът приема, че ефективността на този контрол би била много по-голяма, ако Директивата се тълкува в смисъл, че нарушението на задължението за уведомяване представлява съществено процесуално нарушение, което може да направи въпросните технически регламенти неприложими за частноправните субекти, но от съображенията, изложени в точки 40—43 от настоящото решение, следва, че нарушението на задълженията за отлагане на приемането, предвидени в член 9 от Директива 83/189, също представлява съществено процесуално нарушение, което може да доведе до неприложимост на техническите регламенти.“</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Така от практиката на Съда следва, че неприложимостта на технически регламент, който не е бил нотифициран в съответствие с член 8 от Директива 83/189, може да бъде изтъкната в спор между частноправни субекти поради причините, изложени в точки 40—43 от настоящото решение. Същото се отнася и за неизпълнението на задълженията, предвидени в член 9 от тази директива, и в това отношение не е необходимо споровете между частноправни субекти в областта на нелоялната конкуренция да се третират по различен начин, както в случая по дело CIA Security International, и споровете между частноправни субекти относно права и задължения с договорен характер, както в главното производство.“</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Решение от 16 юли 2015 г.</w:t>
        </w:r>
      </w:hyperlink>
      <w:r>
        <w:t xml:space="preserve">, UNIC и Uni.co.pel, C-95/14, точки 29 и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„Технически регламент“ не може да се прилага, ако не е бил нотифициран или ако, въпреки че е бил нотифициран, той е бил приет и изпълнен преди края на периода на изчакване. Неспазването на този период на изчакване представлява съществено процесуално нарушение, което прави въпросния „технически регламент“ неприложим и непротивопоставим на частноправните субекти.</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В това отношение следва да се отбележи, че технически регламент не може да се прилага, ако не е бил нотифициран в съответствие с член 8, параграф 1 от Директива 98/34 или ако макар да е нотифициран, той е бил приет и приведен в действие преди края на тримесечния период на изчакване, изискван съгласно член 9, параграф 1 от тази директива (вж. решения CIA Security International, C-194/94, т. 41, 44 и 54 и Unilever, C-443/98, т.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Следователно в главното производство запитващата юрисдикция следва да провери дали Закон № 8/2013 е влязъл в сила, без да е спазен периодът на изчакване, изискван съгласно член 9 от Директива 98/34. Ако това е така, неспазването на срока представлява съществено процесуално нарушение, което по същество може да доведе до неприложимост на разглеждания технически регламент. Както отбелязва генералният адвокат в точки 44—47 от заключението си, член 3, параграф 2 от Закон № 8/2103 в този случай би бил непротивопоставим на частноправните субекти.“</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Решение от 21 декември 2023 г.</w:t>
        </w:r>
      </w:hyperlink>
      <w:r>
        <w:rPr>
          <w:rFonts w:ascii="Times New Roman" w:hAnsi="Times New Roman" w:cs="Times New Roman" w:eastAsia="Times New Roman"/>
          <w:b/>
          <w:i/>
          <w:szCs w:val="20"/>
        </w:rPr>
        <w:t xml:space="preserve">, Papier Mettler Italia, C-86/22, точки 48 и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Приемането на проект на „технически регламент“ шест дни след нотифицирането му противоречи на директивата.</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Клаузите, които обвързват влизането в сила на законодателство с липсата на реакция от страна на Комисията по отношение на това законодателство („отлагателни клаузи“), противоречат на директивата, тъй като приемането на такова законодателство не позволява да се вземат предвид гледните точки на други държави членки и нарушава принципа на правна сигурност.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От друга страна, приемането на разглеждания в главното производство декрет в срок от шест дни от съобщаването му на Комисията на основание член 8, параграф 1 от тази директива нарушава и задължението по член 9, параграф 1 от нея, съгласно който държавите членки отлагат приемането на „проект на технически регламент „с три месеца, считано от датата на получаване от Комисията на съобщението, посочено в член 8, параграф 1 от тази директива.“</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От друга страна, посоченото правителство поддържа, че съгласно член 6 от разглеждания в главното производство декрет, влизането му в сила е било под условието започнатата на 12 март 2013 г. процедура по уведомяване на основание член 8, параграф 1 от Директива 98/34 да приключи „успешно“. Въпросната процедура обаче не била приключила по този начин, тъй като Комисията не е издала становище по въпросния декрет. Този довод трябва да се отхвърли, като се има предвид, от една страна, че приемането и публикуването на посочения декрет сами по себе си могат да имат определени последици за свободното движение на съответните стоки, от друга страна, те не позволявали да се вземат предвид становищата и подробните становища на Кралство Нидерландия, Кралство Швеция и Обединено кралство Великобритания и Северна Ирландия, трето, както отбелязва генералният адвокат в точка 52 от заключението си, те представляват законодателна техника, която е несъвместима с принципа на правна сигурност.“</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Пояснение относно последиците от неприложимостта</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Решение от 11 юни 2015 г.</w:t>
        </w:r>
      </w:hyperlink>
      <w:r>
        <w:t xml:space="preserve">, Berlington Hungary и др., C-98/14, точки 108 и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Задълженията за уведомяване и отлагане нямат за цел да предоставят права на физическите лица. Следователно нарушаването им от държава членка по силата на правото на Съюза не дава право на частноправните субекти да искат обезщетение от тази държава членка за всички произтичащи от това вреди.</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В това отношение от съдебната практика следва, че макар Директива 98/34 да цели да гарантира свободното движение на стоки, като организира превантивен контрол, ефективността на който изисква в рамките на спор между частноправни субекти да не се прилага национална мярка, приета в нарушение на членове 8 и 9 от нея, тази директива по никакъв начин не определя материалния обхват на правната норма, въз основа на която националният съд трябва да реши спора, с който е сезирана. Така тази директива не създава нито права, нито задължения за частноправните субекти (решение Unilever, C-443/98, т.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При тези условия следва да се приеме, че първото от изброените в параграф 104 условия не е изпълнено, така че частноправните субекти не могат да се позовават на нарушението на членове 8 и 9 от тази директива, за да ангажират отговорността на съответната държава членка въз основа на правото на Съюза.“</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Производство за установяване на нарушение</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Решение от 4 юни 2009 г.</w:t>
        </w:r>
      </w:hyperlink>
      <w:r>
        <w:t xml:space="preserve">, Комисия/Гърция, C-109/08, точки 14—17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Решението на Съда, с което се установява неизпълнение на задължението за уведомяване, трябва да бъде изпълнено незабавно, за да се гарантира еднаквото прилагане на правото на Съюза. Въпросът дали е налице такова неизпълнение на задълженията по член 228 ЕО се преценява в края на срока, определен в мотивираното становище. В случая, тъй като Гърция не е предприела никакви мерки преди изтичането на определения срок, тя не е изпълнила задълженията си по член 228, параграф 1 ЕО.</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Макар член 228 ЕО да не уточнява срока, в който трябва да бъде изпълнено решение на Съда, с което се установява неизпълнение на задължения от държава членка, от постоянната съдебна практика следва, че значението на незабавното и еднакво прилагане на общностното право изисква процесът на изпълнение да започне незабавно и да приключи във възможно най-кратък срок (вж. по-специално Решение от 2008</w:t>
        <w:noBreakHyphen/>
        <w:t xml:space="preserve">юли 0000 г. по дело Комисия/Франция, C-121/07, все още непубликувано в Сборника, точка 21 и</w:t>
        <w:noBreakHyphen/>
        <w:t xml:space="preserve">цитираната съдебна практика).</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Освен това референтната дата, за да се прецени наличието на неизпълнение на задължения по член 228 ЕО, е датата на изтичане на срока, определен в мотивираното становище, издадено на основание на тази разпоредба (вж. по-специално Решение от 2007</w:t>
        <w:noBreakHyphen/>
        <w:t xml:space="preserve">юли 6153</w:t>
        <w:noBreakHyphen/>
        <w:t xml:space="preserve">г. по дело Комисия/Германия, 503/04, Recueil, стр. I-19, точка и</w:t>
        <w:noBreakHyphen/>
        <w:t xml:space="preserve">цитираната съдебна практика).</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В случая е съвсем очевидно, че към датата на изтичане на двумесечния срок, определен в мотивираното становище от 29 юни 2007 г., Република Гърция не е взела нито една от необходимите мерки за изпълнение на Решение по дело Комисия/Гърция (</w:t>
        <w:noBreakHyphen/>
        <w:t xml:space="preserve">65/05), тъй като Комисията е била уведомена за проекта за първа мярка, предназначена да се съобрази с това съдебно решение, едва на 7 май 2008 г.</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При тези обстоятелства следва да се приеме, както самата тя признава, че Република Гърция не е изпълнила задълженията си по член 228, параграф 1 ЕО.“</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Сравнението между Директива 2015/1535 и Директива 83/189/ЕИО се основава на първоначалните неизменени актове, докато сравнението на Директива 98/34/ЕО се основава на редакцията, изменена с Директива 98/48/ЕО от 20 юли 1998 г.</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(кодифициран текст)</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Директива 98/34/ЕО на Европейския парламент и Съвета от 22 юни 1998 г. за определяне на процедура за предоставяне на информация в областта на техническите стандарти и регламенти, изменена с Директива 98/48/ЕО от 20 юли 1998 г. (включително правила за услугите)</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Директива 83/189/ЕИО на Съвета от 28 март 1983 г. за определяне на процедура за предоставяне на информация в областта на техническите стандарти и регламенти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bg"/>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