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Lakiluonnos tasavallan periaatteiden noudattamisen vahvistamisesta</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19 §</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Muutetaan luottamuksesta digitaaliseen talouteen 21 päivänä kesäkuuta 2004 annetun lain nro 2004-575 I luvun II jakso seuraavasti:</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Korvataan 6 §:n I momentin 8 kohdan alussa ilmaisu</w:t>
      </w:r>
      <w:r>
        <w:rPr>
          <w:sz w:val="21"/>
          <w:rFonts w:ascii="Times-Roman" w:hAnsi="Times-Roman"/>
        </w:rPr>
        <w:t xml:space="preserve"> </w:t>
      </w:r>
      <w:r>
        <w:rPr>
          <w:sz w:val="21"/>
          <w:rFonts w:ascii="Times-Roman" w:hAnsi="Times-Roman"/>
        </w:rPr>
        <w:t xml:space="preserve">”Oikeusviranomainen voi antaa päätöksen välitoimesta tai pyynnöstä 2 kohdassa tarkoitetulle henkilölle, tai tällaisen henkilön puuttuessa, 1 kohdassa mainitulle henkilölle” seuraavasti:</w:t>
      </w:r>
      <w:r>
        <w:rPr>
          <w:sz w:val="21"/>
          <w:rFonts w:ascii="Times-Roman" w:hAnsi="Times-Roman"/>
        </w:rPr>
        <w:t xml:space="preserve"> </w:t>
      </w:r>
      <w:r>
        <w:rPr>
          <w:sz w:val="21"/>
          <w:rFonts w:ascii="Times-Roman" w:hAnsi="Times-Roman"/>
        </w:rPr>
        <w:t xml:space="preserve">”Tuomioistuimen puheenjohtaja voi pääasiaa koskevan nopeutetun menettelyn määrätä toimenpiteitä kenelle tahansa henkilölle, joka todennäköisesti osallistuu siihen”;</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Lisätään 6-2 §:n, sellaisena kuin se on muutettuna 19 päivänä lokakuuta 2020 annetulla lailla nro 2020-1266, jolla säännellään alle 16-vuotiaiden lasten kuvan kaupallista hyödyntämistä verkkoalustoilla, jälkeen 6-3 ja 6-4 § seuraavasti:</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6-4 §.</w:t>
      </w:r>
      <w:r>
        <w:rPr>
          <w:sz w:val="21"/>
          <w:i/>
          <w:rFonts w:ascii="Times-Italic" w:hAnsi="Times-Italic"/>
        </w:rPr>
        <w:t xml:space="preserve"> </w:t>
      </w:r>
      <w:r>
        <w:rPr>
          <w:sz w:val="21"/>
          <w:rFonts w:ascii="Times-Roman" w:hAnsi="Times-Roman"/>
        </w:rPr>
        <w:t xml:space="preserve">— Kun täytäntöönpanokelpoisessa tuomioistuimen päätöksessä on määrätty toimenpiteistä, joilla estetään pääsy sellaiseen verkossa toimivaan julkiseen viestintäpalveluun, jonka sisältö on 6 §:n I momentin 7 kohdassa tarkoitettu rikos, hallintoviranomainen voi kenen tahansa, jota asia koskee, pyynnöstä pyytää henkilöä, joka todennäköisesti osallistuu siihen, ja enintään kyseisessä tuomioistuimen päätöksessä määrättyjä toimenpiteitä varten jäljellä olevan ajan, estämään pääsyn kaikkiin julkisiin verkkoviestintäpalveluihin, jotka sisältävät sivuston sisällön kokonaan tai olennaisilta osin.</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Samoin edellytyksin hallintoviranomainen voi myös pyytää hakukoneen, hakemiston tai muun indeksointipalvelun operaattoria lopettamaan sellaiset viittaukset web-osoitteisiin, jotka antavat yleisölle pääsyn tällaisiin verkkoviestintäpalveluihin.</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Hallintoviranomaisen on pidettävä ajan tasalla olevaa luetteloa tämän pykälän ensimmäisessä momentissa tarkoitetuista verkkoviestintäpalveluista, joiden osalta on pyydetty pääsyn estämistä saman ensimmäisen momentin mukaisesti, sekä verkko-osoitteista, jotka antavat pääsyn tällaisiin palveluihin, ja asetettava luettelo mainostajien, niiden edustajien ja yleisen verolain 299 artiklan II momentin 2 kohdassa tarkoitettujen palvelujen saataville.</w:t>
      </w:r>
      <w:r>
        <w:rPr>
          <w:sz w:val="21"/>
          <w:rFonts w:ascii="Times-Roman" w:hAnsi="Times-Roman"/>
        </w:rPr>
        <w:t xml:space="preserve"> </w:t>
      </w:r>
      <w:r>
        <w:rPr>
          <w:sz w:val="21"/>
          <w:rFonts w:ascii="Times-Roman" w:hAnsi="Times-Roman"/>
        </w:rPr>
        <w:t xml:space="preserve">Nämä palvelut on sisällytettävä tähän luetteloon oikeusviranomaisen määräämien toimenpiteiden jäljellä olevan ajan.</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”Jos näitä palveluja ei ole estetty tai lykätty tämän artiklan mukaisesti, tuomioistuimen puheenjohtaja voi pääasiaa koskevan nopeutetun menettelyn mukaisesti määrätä kaikista toimenpiteistä, joiden tarkoituksena on lopettaa pääsy näiden palvelujen sisältöön.”</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19 </w:t>
      </w:r>
      <w:r>
        <w:rPr>
          <w:b/>
          <w:sz w:val="21"/>
          <w:i/>
          <w:rFonts w:ascii="Times-BoldItalic" w:hAnsi="Times-BoldItalic"/>
        </w:rPr>
        <w:t xml:space="preserve">bis § (uusi)</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Muutetaan luottamuksesta digitaaliseen talouteen 21 päivänä kesäkuuta 2004 annetun lain nro 2004-575 I luvun II jakso seuraavasti:</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Muutetaan 6 §:n I momentin 7 kohdan 4 alakohta seuraavasti:</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Ensimmäistä virkettä täydennetään seuraavasti:</w:t>
      </w:r>
      <w:r>
        <w:rPr>
          <w:sz w:val="21"/>
          <w:rFonts w:ascii="Times-Roman" w:hAnsi="Times-Roman"/>
        </w:rPr>
        <w:t xml:space="preserve"> </w:t>
      </w:r>
      <w:r>
        <w:rPr>
          <w:sz w:val="21"/>
          <w:rFonts w:ascii="Times-Roman" w:hAnsi="Times-Roman"/>
        </w:rPr>
        <w:t xml:space="preserve">”ja julkistettava keinot, joita ne käyttävät tämän 7 kohdan kolmannessa alakohdassa tarkoitetun laittoman toiminnan torjuntaan”;</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Lisätään saman ensimmäisen virkkeen jälkeen virke seuraavasti:</w:t>
      </w:r>
      <w:r>
        <w:rPr>
          <w:sz w:val="21"/>
          <w:rFonts w:ascii="Times-Roman" w:hAnsi="Times-Roman"/>
        </w:rPr>
        <w:t xml:space="preserve"> </w:t>
      </w:r>
      <w:r>
        <w:rPr>
          <w:sz w:val="21"/>
          <w:rFonts w:ascii="Times-Roman" w:hAnsi="Times-Roman"/>
        </w:rPr>
        <w:t xml:space="preserve">”Näitä velvoitteita ei sovelleta 6-5 §:n ensimmäisessä momentissa tarkoitettuihin toimijoihin samassa ensimmäisessä momentissa tarkoitetun sisällön levittämisen estämiseksi.</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Muutetaan toinen virke seuraavasti:</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alussa ilmaisu</w:t>
      </w:r>
      <w:r>
        <w:rPr>
          <w:sz w:val="21"/>
          <w:rFonts w:ascii="Times-Roman" w:hAnsi="Times-Roman"/>
        </w:rPr>
        <w:t xml:space="preserve"> </w:t>
      </w:r>
      <w:r>
        <w:rPr>
          <w:sz w:val="21"/>
          <w:rFonts w:ascii="Times-Roman" w:hAnsi="Times-Roman"/>
        </w:rPr>
        <w:t xml:space="preserve">”he” korvataan sanoilla:</w:t>
      </w:r>
      <w:r>
        <w:rPr>
          <w:sz w:val="21"/>
          <w:rFonts w:ascii="Times-Roman" w:hAnsi="Times-Roman"/>
        </w:rPr>
        <w:t xml:space="preserve"> </w:t>
      </w:r>
      <w:r>
        <w:rPr>
          <w:sz w:val="21"/>
          <w:rFonts w:ascii="Times-Roman" w:hAnsi="Times-Roman"/>
        </w:rPr>
        <w:t xml:space="preserve">”Edellä 1 ja 2 alakohdassa tarkoitetut henkilöt”;</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 </w:t>
      </w:r>
      <w:r>
        <w:rPr>
          <w:sz w:val="21"/>
          <w:rFonts w:ascii="Times-Roman" w:hAnsi="Times-Roman"/>
        </w:rPr>
        <w:t xml:space="preserve">ilmaisu</w:t>
      </w:r>
      <w:r>
        <w:rPr>
          <w:sz w:val="21"/>
          <w:rFonts w:ascii="Times-Roman" w:hAnsi="Times-Roman"/>
        </w:rPr>
        <w:t xml:space="preserve"> </w:t>
      </w:r>
      <w:r>
        <w:rPr>
          <w:sz w:val="21"/>
          <w:rFonts w:ascii="Times-Roman" w:hAnsi="Times-Roman"/>
        </w:rPr>
        <w:t xml:space="preserve">”toisaalta” poistetaan;</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ilmaisu</w:t>
      </w:r>
      <w:r>
        <w:rPr>
          <w:sz w:val="21"/>
          <w:rFonts w:ascii="Times-Roman" w:hAnsi="Times-Roman"/>
        </w:rPr>
        <w:t xml:space="preserve"> </w:t>
      </w:r>
      <w:r>
        <w:rPr>
          <w:sz w:val="21"/>
          <w:rFonts w:ascii="Times-Roman" w:hAnsi="Times-Roman"/>
        </w:rPr>
        <w:t xml:space="preserve">”edellisessä alakohdassa” korvataan ilmaisulla</w:t>
      </w:r>
      <w:r>
        <w:rPr>
          <w:sz w:val="21"/>
          <w:rFonts w:ascii="Times-Roman" w:hAnsi="Times-Roman"/>
        </w:rPr>
        <w:t xml:space="preserve"> </w:t>
      </w:r>
      <w:r>
        <w:rPr>
          <w:sz w:val="21"/>
          <w:rFonts w:ascii="Times-Roman" w:hAnsi="Times-Roman"/>
        </w:rPr>
        <w:t xml:space="preserve">”samassa kolmannessa alakohdassa”;</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ilmaisun</w:t>
      </w:r>
      <w:r>
        <w:rPr>
          <w:sz w:val="21"/>
          <w:rFonts w:ascii="Times-Roman" w:hAnsi="Times-Roman"/>
        </w:rPr>
        <w:t xml:space="preserve"> </w:t>
      </w:r>
      <w:r>
        <w:rPr>
          <w:sz w:val="21"/>
          <w:rFonts w:ascii="Times-Roman" w:hAnsi="Times-Roman"/>
        </w:rPr>
        <w:t xml:space="preserve">”palvelut” jälkeen poistetaan loppu;</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Lisätään 6-2 §:n, sellaisena kuin se on muutettuna edellä mainitulla 19 päivänä lokakuuta 2020 annetulla lailla nro 2020-1266, jälkeen 6-5 § seuraavasti:</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6-5 §.</w:t>
      </w:r>
      <w:r>
        <w:rPr>
          <w:sz w:val="21"/>
          <w:i/>
          <w:rFonts w:ascii="Times-Italic" w:hAnsi="Times-Italic"/>
        </w:rPr>
        <w:t xml:space="preserve"> </w:t>
      </w:r>
      <w:r>
        <w:rPr>
          <w:sz w:val="21"/>
          <w:rFonts w:ascii="Times-Roman" w:hAnsi="Times-Roman"/>
        </w:rPr>
        <w:t xml:space="preserve">– Kuluttajalain L111-7 §:ssä määriteltyjen verkkoalustojen ylläpitäjät, jotka tarjoavat yleisölle verkkoviestintäpalvelua, joka perustuu kolmansien osapuolten verkkoon saattaman sisällön luokitteluun, indeksointiin tai jakamiseen ja joiden toiminnassa Ranskan alueella ylittyy asetuksella määritetty raja-arvo yhteyksien määrälle, riippumatta siitä, ovatko ne sijoittautuneet Ranskan alueelle, osallistuvat tämän lain 6 §:n I momentin 7 kohdan 3 alakohdan, 24 §:n </w:t>
      </w:r>
      <w:r>
        <w:rPr>
          <w:sz w:val="21"/>
          <w:i/>
          <w:rFonts w:ascii="Times-Italic" w:hAnsi="Times-Italic"/>
        </w:rPr>
        <w:t xml:space="preserve">bis </w:t>
      </w:r>
      <w:r>
        <w:rPr>
          <w:sz w:val="21"/>
          <w:rFonts w:ascii="Times-Roman" w:hAnsi="Times-Roman"/>
        </w:rPr>
        <w:t xml:space="preserve"> kohdan sekä lehdistönvapaudesta 29 päivänä heinäkuuta 1881 annetun lain 33 momentin säännösten vastaisen sisällön julkisen levittämisen estämiseen.</w:t>
      </w:r>
      <w:r>
        <w:rPr>
          <w:sz w:val="21"/>
          <w:rFonts w:ascii="Times-Roman" w:hAnsi="Times-Roman"/>
        </w:rPr>
        <w:t xml:space="preserve"> </w:t>
      </w:r>
      <w:r>
        <w:rPr>
          <w:sz w:val="21"/>
          <w:rFonts w:ascii="Times-Roman" w:hAnsi="Times-Roman"/>
        </w:rPr>
        <w:t xml:space="preserve">Tältä osin:</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Niiden on sovellettava oikeasuhteisia inhimillisiä ja teknologisia menettelyjä ja keinoja, joiden avulla ne voivat:</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a)</w:t>
      </w:r>
      <w:r>
        <w:rPr>
          <w:sz w:val="21"/>
          <w:rFonts w:ascii="Times-Roman" w:hAnsi="Times-Roman"/>
        </w:rPr>
        <w:t xml:space="preserve"> ilmoittaa mahdollisimman pian oikeus- tai hallintoviranomaisille toimista, joita ne ovat toteuttaneet näiden viranomaisten antamien kieltotuomioiden johdosta, jotka koskevat tämän pykälän 1 kohdassa tarkoitettua sisältöä;</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b) </w:t>
      </w:r>
      <w:r>
        <w:rPr>
          <w:sz w:val="21"/>
          <w:rFonts w:ascii="Times-Roman" w:hAnsi="Times-Roman"/>
        </w:rPr>
        <w:t xml:space="preserve">vahvistaa viipymättä oikeus- tai hallintoviranomaisten pyyntöjen turvallinen vastaanottaminen käytettävissään olevien tietojen toimittamista varten, jotta voidaan tunnistaa käyttäjät, jotka ovat ladanneet sivustolle tai palveluun samassa 1 momentissa tarkoitettua sisältöä, ja ilmoittaa kyseisille viranomaisille mahdollisimman pian tällaisten pyyntöjen jatkotoimista;</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c) </w:t>
      </w:r>
      <w:r>
        <w:rPr>
          <w:sz w:val="21"/>
          <w:rFonts w:ascii="Times-Roman" w:hAnsi="Times-Roman"/>
        </w:rPr>
        <w:t xml:space="preserve">säilyttää väliaikaisesti sisältöä, joka on ilmoitettu niille ensimmäisessä alakohdassa tarkoitettujen säännösten vastaiseksi ja jotka ne ovat poistaneet levityksestä tai estäneet, jotta sisältö voidaan antaa oikeusviranomaisten käyttöön rikosten tutkintaa, tunnistamista ja syytteeseenpanoa varten;</w:t>
      </w:r>
      <w:r>
        <w:rPr>
          <w:sz w:val="21"/>
          <w:rFonts w:ascii="Times-Roman" w:hAnsi="Times-Roman"/>
        </w:rPr>
        <w:t xml:space="preserve"> </w:t>
      </w:r>
      <w:r>
        <w:rPr>
          <w:sz w:val="21"/>
          <w:rFonts w:ascii="Times-Roman" w:hAnsi="Times-Roman"/>
        </w:rPr>
        <w:t xml:space="preserve">tämän sisällön säilyttämisen kesto ja edellytykset määritellään korkeimman hallinto-oikeuden asetuksella sen jälkeen, kun</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Tietotekniikkaa ja -vapauksia käsittelevä kansallinen toimikunta on antanut lausuntonsa;</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Niiden on nimettävä keskitetty asiointipiste, luonnollinen henkilö, jonka tehtävänä on kommunikoida viranomaisten kanssa tämän artiklan säännösten täytäntöönpanosta ja jolle erityisesti kaikki viestintävapaudesta 30 päivänä syyskuuta 1986 annetun lain nro 86-1067 62 §:n nojalla esittämät pyynnöt voidaan lähettää sähköisesti.</w:t>
      </w:r>
      <w:r>
        <w:rPr>
          <w:sz w:val="21"/>
          <w:rFonts w:ascii="Times-Roman" w:hAnsi="Times-Roman"/>
        </w:rPr>
        <w:t xml:space="preserve"> </w:t>
      </w:r>
      <w:r>
        <w:rPr>
          <w:sz w:val="21"/>
          <w:rFonts w:ascii="Times-Roman" w:hAnsi="Times-Roman"/>
        </w:rPr>
        <w:t xml:space="preserve">Tämä keskitetty asiointipiste vastaa erityisesti siitä, että oikeusviranomainen vastaanottaa toimijalle tämän lain 6 §:n II momentissa säädetyn menettelyn mukaisesti hakemukset, joiden tarkoituksena on varmistaa niiden nopea käsittely;</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Niiden on asetettava helposti yleisön saataville tarjoamansa palvelun yleiset käyttöehdot;</w:t>
      </w:r>
      <w:r>
        <w:rPr>
          <w:sz w:val="21"/>
          <w:rFonts w:ascii="Times-Roman" w:hAnsi="Times-Roman"/>
        </w:rPr>
        <w:t xml:space="preserve"> </w:t>
      </w:r>
      <w:r>
        <w:rPr>
          <w:sz w:val="21"/>
          <w:rFonts w:ascii="Times-Roman" w:hAnsi="Times-Roman"/>
        </w:rPr>
        <w:t xml:space="preserve">niihin on sisällytettävä säännöksiä, joilla kielletään tämän artiklan ensimmäisessä alakohdassa tarkoitetun sisällön julkaiseminen verkossa;</w:t>
      </w:r>
      <w:r>
        <w:rPr>
          <w:sz w:val="21"/>
          <w:rFonts w:ascii="Times-Roman" w:hAnsi="Times-Roman"/>
        </w:rPr>
        <w:t xml:space="preserve"> </w:t>
      </w:r>
      <w:r>
        <w:rPr>
          <w:sz w:val="21"/>
          <w:rFonts w:ascii="Times-Roman" w:hAnsi="Times-Roman"/>
        </w:rPr>
        <w:t xml:space="preserve">niiden on kuvailtava siinä selkeästi ja täsmällisesti sisällönvalvontajärjestelyt, joiden tarkoituksena on tarvittaessa tunnistaa ja käsitellä tällaista sisältöä, ja esitettävä yksityiskohtaiset tiedot tähän tarkoitukseen käytetyistä menettelyistä ja inhimillisistä tai automatisoiduista keinoista sekä niiden toteuttamista toimenpiteistä, jotka vaikuttavat tällaisen sisällön saatavuuteen, näkyvyyteen ja saavutettavuuteen;</w:t>
      </w:r>
      <w:r>
        <w:rPr>
          <w:sz w:val="21"/>
          <w:rFonts w:ascii="Times-Roman" w:hAnsi="Times-Roman"/>
        </w:rPr>
        <w:t xml:space="preserve"> </w:t>
      </w:r>
      <w:r>
        <w:rPr>
          <w:sz w:val="21"/>
          <w:rFonts w:ascii="Times-Roman" w:hAnsi="Times-Roman"/>
        </w:rPr>
        <w:t xml:space="preserve">niiden on ilmoitettava siinä toimenpiteet, joita ne toteuttavat niiden käyttäjien osalta, jotka ovat asettaneet tämän sisällön saataville verkossa, sekä näiden käyttäjien käytettävissä olevat kansalliset ja muut oikeussuojakeinot;</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Niiden on tiedotettava Ranskan alueella sijaitseville käyttäjille ensimmäisessä kohdassa tarkoitetun sisällön levittämisen estämiseen käytetyistä keinoista ja toimenpiteistä audiovisuaalisen alan korkean neuvoston vahvistamien menettelyjen ja määräaikojen mukaisesti, ja annettava audiovisuaalisen alan korkean neuvoston määräämät tiedot ja määrälliset indikaattorit, jotka liittyvät erityisesti oikeus- tai hallintoviranomaisten esittämien kieltojen tai tietopyyntöjen käsittelyyn sekä tiedot vastaanotetuista ilmoituksista ja sisäisten oikeussuojakeinojen valinnasta sekä tarvittaessa tiedot siitä, millä perusteilla sellaisia luotettavia kolmannen osapuolen kumppaneita valitaan, joiden ilmoitukset katsotaan ensisijaisiksi, sekä näiden kumppaneiden kanssa tehtyyn yhteistyöhön sovellettavat ehdot;</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Niiden on pantava täytäntöön helposti saatavilla oleva ja helppokäyttöinen menettely, jonka avulla kuka tahansa voi sähköisesti ilmoittaa ensimmäisessä kohdassa mainittujen säännösten vastaiseksi katsotusta sisällöstä ja täsmentää selkeästi sen sijaintipaikka ja syyt, joiden vuoksi tätä sisältöä olisi pidettävä laittomana, sekä antaa tiedot, joiden avulla voidaan ottaa yhteyttä ja ilmoittaa seuraamuksista, joita on aiheutunut virheellisestä ilmoituksesta;</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Niiden on toteutettava oikeasuhteisia inhimillisiä ja teknologisia menettelyjä ja keinoja, joiden avulla ne voivat:</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a) </w:t>
      </w:r>
      <w:r>
        <w:rPr>
          <w:sz w:val="21"/>
          <w:rFonts w:ascii="Times-Roman" w:hAnsi="Times-Roman"/>
        </w:rPr>
        <w:t xml:space="preserve">vahvistaa viipymättä, että ensimmäisessä kohdassa tarkoitettuun sisältöön liittyvät ilmoitukset vastaanotetaan turvallisesti edellyttäen, että on tarpeen ottaa yhteyttä tekijään;</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b) </w:t>
      </w:r>
      <w:r>
        <w:rPr>
          <w:sz w:val="21"/>
          <w:rFonts w:ascii="Times-Roman" w:hAnsi="Times-Roman"/>
        </w:rPr>
        <w:t xml:space="preserve">varmistaa näiden ilmoitusten asianmukainen analysointi hyvissä ajoin;</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c) </w:t>
      </w:r>
      <w:r>
        <w:rPr>
          <w:sz w:val="21"/>
          <w:rFonts w:ascii="Times-Roman" w:hAnsi="Times-Roman"/>
        </w:rPr>
        <w:t xml:space="preserve">tiedottaa tekijälle toimista, joihin ne ovat ryhtyneet, sekä käytettävissä olevista kotimaisista ja oikeussuojakeinoista edellyttäen, että heillä on tarvittavat tiedot yhteyden saamiseksi;</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d) </w:t>
      </w:r>
      <w:r>
        <w:rPr>
          <w:sz w:val="21"/>
          <w:rFonts w:ascii="Times-Roman" w:hAnsi="Times-Roman"/>
        </w:rPr>
        <w:t xml:space="preserve">jos ensimmäisessä kohdassa tarkoitettujen säännösten noudattamatta jättämisen perusteella päätetään poistaa sisältö tai ottaa se pois saatavilta, ilmoittaa käyttäjälle julkaisun lähteessä edellyttäen, että sillä on tarvittavat tiedot yhteydenottoon, seuraavaa:</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päätöksen perustelut;</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täsmennys siitä, tehtiinkö päätös automatisoidulla välineellä;</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tiedot hänen käytettävissään olevista kansallisista oikeussuojakeinoista ja muista oikeussuojakeinoista;</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ja ilmoitus siitä, että laittoman sisällön julkaisemisesta aiheutuu siviili- ja rikosoikeudellisia seuraamuksia;</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Niiden on käytettävä sisäisiä korjaavia keinoja, joiden avulla</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a) </w:t>
      </w:r>
      <w:r>
        <w:rPr>
          <w:sz w:val="21"/>
          <w:rFonts w:ascii="Times-Roman" w:hAnsi="Times-Roman"/>
        </w:rPr>
        <w:t xml:space="preserve">ensimmäisessä alakohdassa tarkoitetun sisältöä koskevan ilmoituksen tekijä voi riitauttaa toimijan kyseisen ilmoituksen johdosta tekemän päätöksen;</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b) </w:t>
      </w:r>
      <w:r>
        <w:rPr>
          <w:sz w:val="21"/>
          <w:rFonts w:ascii="Times-Roman" w:hAnsi="Times-Roman"/>
        </w:rPr>
        <w:t xml:space="preserve">käyttäjä, joka on sellaisen sisällön julkaisemisen alullepanija, josta on tehty 6 momentin d kohdassa tarkoitettu päätös, voi riitauttaa kyseisen päätöksen;</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i/>
          <w:rFonts w:ascii="Times-Italic" w:hAnsi="Times-Italic"/>
        </w:rPr>
        <w:t xml:space="preserve">c) </w:t>
      </w:r>
      <w:r>
        <w:rPr>
          <w:sz w:val="21"/>
          <w:rFonts w:ascii="Times-Roman" w:hAnsi="Times-Roman"/>
        </w:rPr>
        <w:t xml:space="preserve">käyttäjä, josta on tehty</w:t>
      </w:r>
      <w:r>
        <w:rPr>
          <w:sz w:val="21"/>
        </w:rPr>
        <w:t xml:space="preserve"> 8 momentin</w:t>
      </w:r>
      <w:r>
        <w:rPr>
          <w:sz w:val="21"/>
          <w:i/>
          <w:rFonts w:ascii="Times-Italic" w:hAnsi="Times-Italic"/>
        </w:rPr>
        <w:t xml:space="preserve">a) </w:t>
      </w:r>
      <w:r>
        <w:rPr>
          <w:sz w:val="21"/>
          <w:rFonts w:ascii="Times-Roman" w:hAnsi="Times-Roman"/>
        </w:rPr>
        <w:t xml:space="preserve">tai </w:t>
      </w:r>
      <w:r>
        <w:rPr>
          <w:sz w:val="21"/>
          <w:i/>
          <w:rFonts w:ascii="Times-Italic" w:hAnsi="Times-Italic"/>
        </w:rPr>
        <w:t xml:space="preserve"> b) </w:t>
      </w:r>
      <w:r>
        <w:rPr>
          <w:sz w:val="21"/>
        </w:rPr>
        <w:t xml:space="preserve">kohdassa tarkoitettu päätös, voi </w:t>
      </w:r>
      <w:r>
        <w:rPr>
          <w:sz w:val="21"/>
          <w:rFonts w:ascii="Times-Roman" w:hAnsi="Times-Roman"/>
        </w:rPr>
        <w:t xml:space="preserve">riitauttaa kyseisen päätöksen</w:t>
      </w:r>
      <w:r>
        <w:rPr>
          <w:sz w:val="21"/>
          <w:rFonts w:ascii="Times-Roman" w:hAnsi="Times-Roman"/>
        </w:rPr>
        <w:t xml:space="preserve">.</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Niiden on varmistettava, että nämä järjestelmät ovat helposti saatavilla ja helppokäyttöisiä ja että ne mahdollistavat muutoksenhaun asianmukaisen ja nopean käsittelyn, joka ei perustu pelkästään automaattisten keinojen käyttöön, ilmoittamalla käyttäjälle viipymättä tehdystä päätöksestä ja peruuttamalla viipymättä kyseiseen sisältöön tai käyttäjään liittyvät toimenpiteet, kun se muutoksenhaun perusteella katsoo, että riidanalainen päätös ei ollut perusteltu;</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Päättäessään tällaisten menettelyjen täytäntöönpanosta niiden on esitettävä käyttöehdoissaan selkeät ja täsmälliset menettelyt, jotka johtavat</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a) </w:t>
      </w:r>
      <w:r>
        <w:rPr>
          <w:sz w:val="21"/>
          <w:rFonts w:ascii="Times-Roman" w:hAnsi="Times-Roman"/>
        </w:rPr>
        <w:t xml:space="preserve">sellaisten käyttäjien tilin keskeyttämiseen tai lopettamiseen, jotka ovat toistuvasti ladanneet sisältöä tämän artiklan ensimmäisessä kohdassa tarkoitettujen säännösten vastaisesti;</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b) </w:t>
      </w:r>
      <w:r>
        <w:rPr>
          <w:sz w:val="21"/>
          <w:rFonts w:ascii="Times-Roman" w:hAnsi="Times-Roman"/>
        </w:rPr>
        <w:t xml:space="preserve">sellaisten käyttäjien ilmoitusmekanismiin pääsyn keskeyttämiseen, jotka ovat toistuvasti tehneet selvästi perusteettomia ilmoituksia samassa ensimmäisessä alakohdassa tarkoitetusta sisällöstä.</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Kun tällaisia menettelyjä pannaan täytäntöön, on toteutettava tapauskohtainen analyysi, jolla pyritään objektiivisesti luonnehtimaan tämän 8 momentin </w:t>
      </w:r>
      <w:r>
        <w:rPr>
          <w:sz w:val="21"/>
          <w:i/>
          <w:rFonts w:ascii="Times-Italic" w:hAnsi="Times-Italic"/>
        </w:rPr>
        <w:t xml:space="preserve">a </w:t>
      </w:r>
      <w:r>
        <w:rPr>
          <w:sz w:val="21"/>
          <w:rFonts w:ascii="Times-Roman" w:hAnsi="Times-Roman"/>
        </w:rPr>
        <w:t xml:space="preserve">tai </w:t>
      </w:r>
      <w:r>
        <w:rPr>
          <w:sz w:val="21"/>
          <w:i/>
          <w:rFonts w:ascii="Times-Italic" w:hAnsi="Times-Italic"/>
        </w:rPr>
        <w:t xml:space="preserve">b </w:t>
      </w:r>
      <w:r>
        <w:rPr>
          <w:sz w:val="21"/>
        </w:rPr>
        <w:t xml:space="preserve">kohdassa </w:t>
      </w:r>
      <w:r>
        <w:rPr>
          <w:sz w:val="21"/>
          <w:rFonts w:ascii="Times-Roman" w:hAnsi="Times-Roman"/>
        </w:rPr>
        <w:t xml:space="preserve">tarkoitetun käyttäytymisen olemassaoloa, ja siinä otetaan huomioon erityisesti:</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tämän pykälän ensimmäisessä momentissa tarkoitetun laittoman sisällön määrä tai käyttäjältä kuluneen vuoden aikana tehtyjen ilmeisen perusteettomien ilmoitusten määrä sekä absoluuttisesti että suhteessa niiden ilmoitusten kokonaismäärään, joista käyttäjä oli vastuussa;</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ja näiden väärinkäytösten vakavuus ja seuraukset.</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Näissä menettelyissä säädetään, että 8 momentin a ja b kohdassa tarkoitettujen toimenpiteiden on oltava luonteeltaan oikeassa suhteessa kyseisen menettelyn vakavuuteen ja, jos kyseessä on keskeyttäminen, että se määrätään kohtuulliseksi ajaksi.</w:t>
      </w:r>
      <w:r>
        <w:rPr>
          <w:sz w:val="21"/>
          <w:rFonts w:ascii="Times-Roman" w:hAnsi="Times-Roman"/>
        </w:rPr>
        <w:t xml:space="preserve"> </w:t>
      </w:r>
      <w:r>
        <w:rPr>
          <w:sz w:val="21"/>
          <w:rFonts w:ascii="Times-Roman" w:hAnsi="Times-Roman"/>
        </w:rPr>
        <w:t xml:space="preserve">Käyttäjälle on annettava varoitus ja tiedot käytettävissä olevista kansallisista ja muista oikeussuojakeinoista;</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Tämän pykälän 1 momentissa mainittujen ylläpitäjien, joiden toiminta Ranskan alueella ylittää asetuksessa määrätyn yhteyksien määrän ja jotka ovat suurempia kuin samassa ensimmäisessä kohdassa mainitut, on</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arvioitava vuosittain niiden palvelujen toimintaan ja käyttöön liittyviä järjestelmäriskejä ensimmäisessä kohdassa tarkoitetun sisällön levittämisen osalta sekä perusoikeuksien, sananvapaus mukaan luettuna, loukkausten osalta.</w:t>
      </w:r>
      <w:r>
        <w:rPr>
          <w:sz w:val="21"/>
          <w:rFonts w:ascii="Times-Roman" w:hAnsi="Times-Roman"/>
        </w:rPr>
        <w:t xml:space="preserve"> </w:t>
      </w:r>
      <w:r>
        <w:rPr>
          <w:sz w:val="21"/>
          <w:rFonts w:ascii="Times-Roman" w:hAnsi="Times-Roman"/>
        </w:rPr>
        <w:t xml:space="preserve">Arvioinnissa on otettava huomioon näiden palvelujen ominaispiirteet ja erityisesti niiden vaikutukset edellä mainitun sisällön leviämiseen tai levitykseen;</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toteutettava kohtuullisia, tehokkaita ja oikeasuhteisia toimenpiteitä, jotka koskevat erityisesti niiden palvelujen ominaispiirteitä sekä 9 momentin a kohdassa tarkoitetun arvioinnin lopussa havaittujen riskien laajuutta ja vakavuutta ja joilla pyritään lieventämään tällaisen sisällön levittämiseen liittyviä riskejä, jotka voivat liittyä erityisesti niihin menettelyihin ja niihin liittyviin inhimillisiin ja teknisiin keinoihin, joita käytetään sisällön havaitsemiseksi, tunnistamiseksi ja käsittelemiseksi, samalla kun estetään perusteettoman poistumisen riskit sovellettavan lainsäädännön ja niiden käyttöehtojen mukaisesti;</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raportoitava yleisölle audiovisuaalisen alan korkean neuvoston vahvistamien menettelyjen ja määräaikojen mukaisesti näiden järjestelmäriskien arvioinnista ja toteutetuista riskinhallintatoimenpiteistä;</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Edellä 1 momentissa mainittujen toimijoiden on raportoitava audiovisuaalisen alan korkean tason neuvostolle tämän pykälän soveltamisessa käytetyistä menettelyistä ja keinoista edellä mainituin 30 päivänä syyskuuta 1986 annetun lain nro 86-1067 62 §:ssä säädetyin edellytyksin.</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Muutetaan viestintävapaudesta 30.9.1986 annettua lakia nro 86-1067 seuraavasti:</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Korvataan 19 §:n I momentin 1 kohdan kolmannessa alakohdassa ilmaisu</w:t>
      </w:r>
      <w:r>
        <w:rPr>
          <w:sz w:val="21"/>
          <w:rFonts w:ascii="Times-Roman" w:hAnsi="Times-Roman"/>
        </w:rPr>
        <w:t xml:space="preserve"> </w:t>
      </w:r>
      <w:r>
        <w:rPr>
          <w:sz w:val="21"/>
          <w:rFonts w:ascii="Times-Roman" w:hAnsi="Times-Roman"/>
        </w:rPr>
        <w:t xml:space="preserve">Korvataan ilmaisu ”sekä videonjakoalustoilla” ilmaisulla</w:t>
      </w:r>
      <w:r>
        <w:rPr>
          <w:sz w:val="21"/>
          <w:rFonts w:ascii="Times-Roman" w:hAnsi="Times-Roman"/>
        </w:rPr>
        <w:t xml:space="preserve"> </w:t>
      </w:r>
      <w:r>
        <w:rPr>
          <w:sz w:val="21"/>
          <w:rFonts w:ascii="Times-Roman" w:hAnsi="Times-Roman"/>
        </w:rPr>
        <w:t xml:space="preserve">”62 pykälässä tarkoitetut videonjakoalustat sekä verkkoalustan ylläpitäjät”;</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Korvataan 42-7 §:n 1 momentissa oleva viittaus</w:t>
      </w:r>
      <w:r>
        <w:rPr>
          <w:sz w:val="21"/>
          <w:rFonts w:ascii="Times-Roman" w:hAnsi="Times-Roman"/>
        </w:rPr>
        <w:t xml:space="preserve"> </w:t>
      </w:r>
      <w:r>
        <w:rPr>
          <w:sz w:val="21"/>
          <w:rFonts w:ascii="Times-Roman" w:hAnsi="Times-Roman"/>
        </w:rPr>
        <w:t xml:space="preserve">”ja 48-3” viittauksilla</w:t>
      </w:r>
      <w:r>
        <w:rPr>
          <w:sz w:val="21"/>
          <w:rFonts w:ascii="Times-Roman" w:hAnsi="Times-Roman"/>
        </w:rPr>
        <w:t xml:space="preserve"> </w:t>
      </w:r>
      <w:r>
        <w:rPr>
          <w:sz w:val="21"/>
          <w:rFonts w:ascii="Times-Roman" w:hAnsi="Times-Roman"/>
        </w:rPr>
        <w:t xml:space="preserve">”, 48-3 ja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Lisätään IV osaan III luku seuraavasti:</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III LUKU</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Verkkoalustoihin sovellettavat vihasisältöä torjuvat säännökset</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”62 §.</w:t>
      </w:r>
      <w:r>
        <w:rPr>
          <w:sz w:val="21"/>
          <w:i/>
          <w:rFonts w:ascii="Times-Italic" w:hAnsi="Times-Italic"/>
        </w:rPr>
        <w:t xml:space="preserve"> </w:t>
      </w:r>
      <w:r>
        <w:rPr>
          <w:sz w:val="21"/>
          <w:rFonts w:ascii="Times-Roman" w:hAnsi="Times-Roman"/>
        </w:rPr>
        <w:t xml:space="preserve">– I. – Audiovisuaalisen alan korkean neuvoston on varmistettava, että luottamuksesta digitaalitalouteen 21.6.2004 annetun lain nro 2004-575 6-5 §:n 1 momentissa tarkoitetut verkkoalustojen ylläpitäjät noudattavat 6-5 §:n säännöksiä, ottaen huomioon jokaisen kunkin ylläpitäjän tarjoaman palvelun osalta palvelun ominaispiirteet ja ylläpitäjän keinojen riittävyys suhteessa erityisesti 6-5 §:n 1 momentissa tarkoitetun sisällön levittämiseen palvelussa liittyvien riskien ja sovellettavaan lakiin ja operaattorin käyttöehtoihin perustuvaan aiheettomaan poistoon liittyvien riskien laajuuteen ja vakavuuteen.</w:t>
      </w:r>
      <w:r>
        <w:rPr>
          <w:sz w:val="21"/>
          <w:rFonts w:ascii="Times-Roman" w:hAnsi="Times-Roman"/>
        </w:rPr>
        <w:t xml:space="preserve"> </w:t>
      </w:r>
      <w:r>
        <w:rPr>
          <w:sz w:val="21"/>
          <w:rFonts w:ascii="Times-Roman" w:hAnsi="Times-Roman"/>
        </w:rPr>
        <w:t xml:space="preserve">Sen on annettava näille verkkopalvelujen ylläpitäjille ohjeet 6-5 §:n soveltamiseksi.</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Sen on kerättävä tällaisilta verkkopalvelujen ylläpitäjiltä tämän lain 19 §:ssä säädetyin edellytyksin tiedot, jotka ovat tarpeen niiden velvollisuuksien valvomiseksi.</w:t>
      </w:r>
      <w:r>
        <w:rPr>
          <w:sz w:val="21"/>
          <w:rFonts w:ascii="Times-Roman" w:hAnsi="Times-Roman"/>
        </w:rPr>
        <w:t xml:space="preserve"> </w:t>
      </w:r>
      <w:r>
        <w:rPr>
          <w:sz w:val="21"/>
          <w:rFonts w:ascii="Times-Roman" w:hAnsi="Times-Roman"/>
        </w:rPr>
        <w:t xml:space="preserve">Edellä mainitun 21 päivänä kesäkuuta 2004 annetun lain nro 2004-575 6-5 §:n 9 momentissa mainitut toimijat antavat mahdollisuuden tutustua näiden velvoitteiden täyttämisessä käytettävien automatisoitujen välineiden toimintaperiaatteisiin, näiden välineiden käyttämiin parametreihin, niiden suorituskyvyn arviointiin ja parantamiseen käytettäviin menetelmiin ja tietoihin sekä kaikkiin muihin tietoihin, joiden avulla se voi arvioida niiden tehokkuutta henkilötietojen suojaa koskevien säännösten mukaisesti.</w:t>
      </w:r>
      <w:r>
        <w:rPr>
          <w:sz w:val="21"/>
          <w:rFonts w:ascii="Times-Roman" w:hAnsi="Times-Roman"/>
        </w:rPr>
        <w:t xml:space="preserve"> </w:t>
      </w:r>
      <w:r>
        <w:rPr>
          <w:sz w:val="21"/>
          <w:rFonts w:ascii="Times-Roman" w:hAnsi="Times-Roman"/>
        </w:rPr>
        <w:t xml:space="preserve">Näiden säännösten mukaisesti audiovisuaalisen alan korkea neuvosto voi lähettää oikeasuhteisia pyyntöjä, jotka koskevat pääsyä erityisten ohjelmointirajapintojen kautta kaikkiin tietoihin, jotka ovat merkityksellisiä niiden tehokkuuden arvioimiseksi.</w:t>
      </w:r>
      <w:r>
        <w:rPr>
          <w:sz w:val="21"/>
          <w:rFonts w:ascii="Times-Roman" w:hAnsi="Times-Roman"/>
        </w:rPr>
        <w:t xml:space="preserve"> </w:t>
      </w:r>
      <w:r>
        <w:rPr>
          <w:sz w:val="21"/>
          <w:rFonts w:ascii="Times-Roman" w:hAnsi="Times-Roman"/>
        </w:rPr>
        <w:t xml:space="preserve">Näiden säännösten mukaisesti ja samaa tarkoitusta varten audiovisuaalisen alan korkea neuvosto voi ottaa käyttöön oikeasuhteisia menetelmiä yleisesti saatavilla olevien tietojen automaattiseen keruuseen tarvittavien tietojen saamiseksi.</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Se määrittelee ne tiedot ja määrälliset indikaattorit, jotka näiden toimijoiden on julkaistava 6-5 §:n 4 momentin mukaisesti, sekä tämän julkaisemisen yksityiskohtaiset säännöt ja määräajat.</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Se julkaisee vuosittain 6-5 §:n säännösten soveltamista koskevan katsauksen.</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Audiovisuaalisia asioita käsittelevä korkea neuvosto voi kehottaa ylläpitäjiä noudattamaan edellä mainitun 21 päivänä kesäkuuta 2004 annetun lain nro 2004-575 6-5 §:n säännöksiä antamalla virallisen ilmoituksen ja asettamassaan määräajassa.</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Jos ylläpitäjä ei noudata vastaanotettua ilmoitusta, audiovisuaalisen alan korkein neuvosto voi tämän lain 42-7 §:ssä säädetyin edellytyksin määrätä sakon, jonka määrässä on otettava huomioon noudattamatta jättämisen vakavuus ja tarvittaessa sen toistuminen ja joka on enintään 20 miljoonaa euroa tai kuusi prosenttia edellisen vuoden vuotuisesta kokonaisliikevaihdosta sen mukaan, kumpi on suurempi.</w:t>
      </w:r>
      <w:r>
        <w:rPr>
          <w:sz w:val="21"/>
          <w:rFonts w:ascii="Times-Roman" w:hAnsi="Times-Roman"/>
        </w:rPr>
        <w:t xml:space="preserve"> </w:t>
      </w:r>
      <w:r>
        <w:rPr>
          <w:sz w:val="21"/>
          <w:rFonts w:ascii="Times-Roman" w:hAnsi="Times-Roman"/>
        </w:rPr>
        <w:t xml:space="preserve">Jos samasta rikkomuksesta on toisessa valtiossa määrätty samansuuruinen taloudellinen seuraamus, tämän momentin nojalla määrättävä seuraamus on otettava huomioon.</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Poiketen siitä, mitä tämän II §:n 2 momentissa säädetään, seuraamuksen määrä ei saa ylittää yhtä prosenttia edellisen tilikauden vuotuisesta kokonaisliikevaihdosta, jos sääntelyviranomaisen I §:n 2 momentin nojalla pyytämiä tietoja kieltäydytään luovuttamasta tai jos toimitetaan vääriä tai harhaanjohtavia tietoja.</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Audiovisuaalisen alan korkea neuvosto voi julkistaa ilmoitukset ja määrätyt seuraamukset.</w:t>
      </w:r>
      <w:r>
        <w:rPr>
          <w:sz w:val="21"/>
          <w:rFonts w:ascii="Times-Roman" w:hAnsi="Times-Roman"/>
        </w:rPr>
        <w:t xml:space="preserve"> </w:t>
      </w:r>
      <w:r>
        <w:rPr>
          <w:sz w:val="21"/>
          <w:rFonts w:ascii="Times-Roman" w:hAnsi="Times-Roman"/>
        </w:rPr>
        <w:t xml:space="preserve">Se määrittelee päätöksessään tällaisen julkistamisen yksityiskohdat, joiden on oltava oikeassa suhteessa rikkomuksen vakavuuteen.</w:t>
      </w:r>
      <w:r>
        <w:rPr>
          <w:sz w:val="21"/>
          <w:rFonts w:ascii="Times-Roman" w:hAnsi="Times-Roman"/>
        </w:rPr>
        <w:t xml:space="preserve"> </w:t>
      </w:r>
      <w:r>
        <w:rPr>
          <w:sz w:val="21"/>
          <w:rFonts w:ascii="Times-Roman" w:hAnsi="Times-Roman"/>
        </w:rPr>
        <w:t xml:space="preserve">Se voi myös määrätä, että päätös sisällytetään nimettyihin julkaisuihin, sanomalehtiin ja tiedotusvälineisiin virallisen ilmoituksen tai seuraamuksen kohteena olevien verkkopalveluiden ylläpitäjien kustannuksella.</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Sakot peritään muina kuin valtion saatavina verovelkoina ja omaisuusvelkoina.</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Ilmaisun</w:t>
      </w:r>
      <w:r>
        <w:rPr>
          <w:sz w:val="21"/>
          <w:rFonts w:ascii="Times-Roman" w:hAnsi="Times-Roman"/>
        </w:rPr>
        <w:t xml:space="preserve"> </w:t>
      </w:r>
      <w:r>
        <w:rPr>
          <w:sz w:val="21"/>
          <w:rFonts w:ascii="Times-Roman" w:hAnsi="Times-Roman"/>
        </w:rPr>
        <w:t xml:space="preserve">”johtuvat” jälkeen 108 §:n ensimmäisen momentin loppu kuuluu seuraavasti:</w:t>
      </w:r>
      <w:r>
        <w:rPr>
          <w:sz w:val="21"/>
          <w:rFonts w:ascii="Times-Roman" w:hAnsi="Times-Roman"/>
        </w:rPr>
        <w:t xml:space="preserve"> </w:t>
      </w:r>
      <w:r>
        <w:rPr>
          <w:sz w:val="21"/>
          <w:rFonts w:ascii="Times-Roman" w:hAnsi="Times-Roman"/>
        </w:rPr>
        <w:t xml:space="preserve">” päivänä  annetusta laista nro , joka koskee tasavallan periaatteiden noudattamisen vahvistamista.”</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Tämän artiklan säännöksiä sovelletaan 31 päivään joulukuuta 2023 asti.</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