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87B" w14:textId="77777777" w:rsidR="00A31ACD" w:rsidRPr="00A31ACD" w:rsidRDefault="00A31ACD" w:rsidP="00A31AC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2021 m. rugpjūčio 24 d. ĮSTATYMAS Nr. 2021-1109 dėl Respublikos (1) teisinių principų laikymosi</w:t>
      </w:r>
    </w:p>
    <w:p w14:paraId="64CA8548"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 antraštinė dalis: ATSIŽVELGIMO Į RESPUBLIKOS PRINCIPUS IR BŪTNIAUSIUS SOCIALINIO GYVENIMO REIKALAVIMUS GARANTAVIMAS (1–67 straipsniai)</w:t>
      </w:r>
    </w:p>
    <w:p w14:paraId="486809C0"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 antraštinė dalis: LAISVĖS ATLIKTI KULTO APEIGAS GARANTAVIMAS (68–88 straipsniai)</w:t>
      </w:r>
    </w:p>
    <w:p w14:paraId="5A4AE87C"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III antraštinė dalis: ĮVAIRIOS NUOSTATOS (89–90 straipsniai)</w:t>
      </w:r>
    </w:p>
    <w:p w14:paraId="06C5BFCE"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IV antraštinė dalis: SU UŽJŪRIO DEPARTMENTAIS [OUTRE-MER] SUSIJUSIOS NUOSTATOS (91–103 straipsniai)</w:t>
      </w:r>
    </w:p>
    <w:p w14:paraId="6B5C04BF" w14:textId="77777777" w:rsidR="00A31ACD" w:rsidRPr="00A31ACD" w:rsidRDefault="00A31ACD" w:rsidP="00A31AC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 antraštinė dalis: ATSIŽVELGIMO Į RESPUBLIKOS PRINCIPUS IR BŪTNIAUSIUS SOCIALINIO GYVENIMO REIKALAVIMUS GARANTAVIMAS (1–67 straipsniai)</w:t>
      </w:r>
    </w:p>
    <w:p w14:paraId="442EF518" w14:textId="77777777" w:rsidR="00A31ACD" w:rsidRPr="00A31ACD" w:rsidRDefault="00A31ACD" w:rsidP="00A31ACD">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IV skyrius: Nuostatos dėl kovos su neapykantą kurstančiomis kalbomis ir neteisėtu turiniu internete (36–48 straipsniai)</w:t>
      </w:r>
    </w:p>
    <w:p w14:paraId="587D6E29"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39 straipsnis</w:t>
      </w:r>
    </w:p>
    <w:p w14:paraId="5EF80FEE"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2004 m. birželio 21 d. Įstatymo Nr. 2004-575 dėl pasitikėjimo skaitmenine ekonomika I antraštinės dalies II skyrius iš dalies keičiamas taip, kaip nurodyta toliau.</w:t>
      </w:r>
      <w:r>
        <w:rPr>
          <w:rFonts w:ascii="Times New Roman" w:hAnsi="Times New Roman"/>
          <w:sz w:val="24"/>
        </w:rPr>
        <w:br/>
        <w:t>1. 6 straipsnio I dalies 8 punktas iš dalies</w:t>
      </w:r>
      <w:r>
        <w:rPr>
          <w:rFonts w:ascii="Times New Roman" w:hAnsi="Times New Roman"/>
          <w:sz w:val="24"/>
        </w:rPr>
        <w:br/>
        <w:t>keičiamas taip: a) Pradžios tekstas išdėstomas taip: „8. Teismo pirmininkas, veikdamas pagal pagreitintą procedūrą dėl bylos esmės, gali paskirti bet kurį asmenį, galintį prisidėti prie bylos nagrinėjimo... (kita dalis nepakeista).“;</w:t>
      </w:r>
      <w:r>
        <w:rPr>
          <w:rFonts w:ascii="Times New Roman" w:hAnsi="Times New Roman"/>
          <w:sz w:val="24"/>
        </w:rPr>
        <w:br/>
        <w:t>b) Įterpiama ši dalis, kuri išdėstoma taip:</w:t>
      </w:r>
      <w:r>
        <w:rPr>
          <w:rFonts w:ascii="Times New Roman" w:hAnsi="Times New Roman"/>
          <w:sz w:val="24"/>
        </w:rPr>
        <w:br/>
        <w:t>„Ji nustato asmenis arba asmenų, kuriems administracinė institucija gali pateikti prašymą 6 straipsnio 3 dalyje nustatytomis sąlygomis, kategorijas.“;</w:t>
      </w:r>
      <w:r>
        <w:rPr>
          <w:rFonts w:ascii="Times New Roman" w:hAnsi="Times New Roman"/>
          <w:sz w:val="24"/>
        </w:rPr>
        <w:br/>
        <w:t>2. Po 6-2 straipsnio įterpiamas 6-3 straipsnis, kuris išdėstomas taip:</w:t>
      </w:r>
    </w:p>
    <w:p w14:paraId="6D881305" w14:textId="1ED29AC0"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bookmarkStart w:id="0" w:name="_Hlk95736734"/>
      <w:r>
        <w:rPr>
          <w:rFonts w:ascii="Times New Roman" w:hAnsi="Times New Roman"/>
          <w:sz w:val="24"/>
        </w:rPr>
        <w:t>„</w:t>
      </w:r>
      <w:bookmarkEnd w:id="0"/>
      <w:r>
        <w:rPr>
          <w:rFonts w:ascii="Times New Roman" w:hAnsi="Times New Roman"/>
          <w:sz w:val="24"/>
        </w:rPr>
        <w:t>6-3</w:t>
      </w:r>
      <w:r w:rsidR="00591CBF">
        <w:rPr>
          <w:rFonts w:ascii="Times New Roman" w:hAnsi="Times New Roman"/>
          <w:sz w:val="24"/>
        </w:rPr>
        <w:t>.</w:t>
      </w:r>
      <w:r>
        <w:rPr>
          <w:rFonts w:ascii="Times New Roman" w:hAnsi="Times New Roman"/>
          <w:sz w:val="24"/>
        </w:rPr>
        <w:t xml:space="preserve"> straipsnis </w:t>
      </w:r>
      <w:r w:rsidR="00591CBF">
        <w:rPr>
          <w:rFonts w:ascii="Times New Roman" w:hAnsi="Times New Roman"/>
          <w:sz w:val="24"/>
        </w:rPr>
        <w:t>-</w:t>
      </w:r>
      <w:r>
        <w:rPr>
          <w:rFonts w:ascii="Times New Roman" w:hAnsi="Times New Roman"/>
          <w:sz w:val="24"/>
        </w:rPr>
        <w:t xml:space="preserve"> Kai vykdytinu teismo sprendimu nurodoma imtis bet kokių priemonių, kuriomis užkertamas kelias prieigai prie internetinės viešosios komunikacijos paslaugos, kurios turinys priskiriamas 6 straipsnio I dalies 7 punkte numatytai nusikalstami veikai, administracinė institucija, jeigu jos paprašytų bet kuris susijęs asmuo, gali prašyti bet kurio 6 straipsnio I dalies 1 punkte arba 2 punkte ar bet kokio susijusio asmens arba tame teisminės institucijos sprendime nurodyto asmens gali prašyti laikotarpiui, kuris neviršija minėtame teismo sprendime nurodyto likusio laikotarpio, kad būtų užkirstas kelias prieigai prie bet kokios internetinės viešosios komunikacijos paslaugos, kurios atžvilgiu ši institucija anksčiau yra nustačiusi, kad į ją įtrauktas visas ar esminis svetainės turinys.</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 xml:space="preserve">Tomis pačiomis sąlygomis ir tam pačiam laikotarpiui administracinė institucija taip pat gali prašyti, kad bet kuris paslaugos, pagrįstos siūlomo turinio klasifikavimu arba jo nurodymu naudojant kompiuterio algoritmus, arba jeigu jį </w:t>
      </w:r>
      <w:r>
        <w:rPr>
          <w:rFonts w:ascii="Times New Roman" w:hAnsi="Times New Roman"/>
          <w:sz w:val="24"/>
        </w:rPr>
        <w:lastRenderedPageBreak/>
        <w:t>pateikia internete trečiosios šalys, teikėjas nutrauktų žiniatinklio adresų, kuriais suteikiama galimybė naudotis šio straipsnio pirmoje dalyje nurodytomis internetinėmis ryšių paslaugomis, nuorodų teikimą.</w:t>
      </w:r>
      <w:r>
        <w:rPr>
          <w:rFonts w:ascii="Times New Roman" w:hAnsi="Times New Roman"/>
          <w:sz w:val="24"/>
        </w:rPr>
        <w:br/>
        <w:t>„Administracinė institucija nuolat atnaujina šio straipsnio pirmoje pastraipoje nurodytų internetinių ryšių paslaugų, dėl kurių pagal tą pačią pirmą pastraipą prašoma pagal minėtą pirmąją dalį blokuoti prieigą, sąrašą ir žiniatinklio adresus, kuriais suteikiama galimybė naudotis tokiomis paslaugomis, ir sudaro sąlygas reklamuotojams, jų agentams ir BMK 299 straipsnio II dalies 2 punkte nurodytoms tarnyboms susipažinti su šiuo sąrašu. Paslaugos įtraukiamos į šį sąrašą likusiam teisminės institucijos nustatytų priemonių galiojimo laikotarpiui. Per visą registracijos į šį sąrašą laikotarpį reklamuotojai, jų atstovai ir Bendrojo mokesčių kodekso 299 straipsnio II dalies 2 punkte nurodytos tarnybos, kurios palaiko komercinius santykius, be kita ko, siekdamos vykdyti reklamą, su į šį sąrašą įtrauktomis viešųjų ryšių internetu paslaugomis privalo bent kartą per metus savo interneto svetainėje viešai paskelbti apie šiuos santykius ir nurodyti juos savo metinėje ataskaitoje, jei jie privalo juos sudaryti.</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Jeigu tokios paslaugos nebuvo užblokuotos ar atidėtos pagal šį straipsnį, teismo pirmininkas, vadovaudamasis pagreitinta procedūra dėl bylos esmės, gali nustatyti bet kokią priemonę, kuria siekiama nutraukti prieigą prie šių paslaugų turinio.“</w:t>
      </w:r>
    </w:p>
    <w:p w14:paraId="184EA6CC" w14:textId="77777777" w:rsidR="00E7401A" w:rsidRPr="00A31ACD" w:rsidRDefault="00E7401A"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p w14:paraId="1C619CE1"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42 straipsnis</w:t>
      </w:r>
    </w:p>
    <w:p w14:paraId="67CC2320"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2004 m. birželio 21 d. Įstatymo Nr. 2004-575 dėl pasitikėjimo skaitmenine ekonomika I antraštinės dalies II skyrius iš dalies keičiamas taip, kaip nurodyta toliau.</w:t>
      </w:r>
      <w:r>
        <w:rPr>
          <w:rFonts w:ascii="Times New Roman" w:hAnsi="Times New Roman"/>
          <w:sz w:val="24"/>
        </w:rPr>
        <w:br/>
        <w:t>1. 6 straipsnio I dalies 7 punkto 4 papunktis iš dalies keičiamas taip, kaip nurodyta toliau.</w:t>
      </w:r>
      <w:r>
        <w:rPr>
          <w:rFonts w:ascii="Times New Roman" w:hAnsi="Times New Roman"/>
          <w:sz w:val="24"/>
        </w:rPr>
        <w:br/>
        <w:t>a) Pirmame sakinyje įterpiami žodžiai: „ir viešai paskelbia priemones, kurias jie skiria kovai su neteisėta veikla, nurodyta šios 7 dalies trečiojoje pastraipoje“.</w:t>
      </w:r>
      <w:r>
        <w:rPr>
          <w:rFonts w:ascii="Times New Roman" w:hAnsi="Times New Roman"/>
          <w:sz w:val="24"/>
        </w:rPr>
        <w:br/>
        <w:t>b) Po to paties pirmo sakinio įterpiamas šis sakinys: „Šie įpareigojimai netaikomi operatoriams, nurodytiems 6-5 straipsnio pirmoje pastraipoje siekiant kovoti su toje pačioje pirmoje pastraipoje nurodyto turinio sklaida.“;</w:t>
      </w:r>
      <w:r>
        <w:rPr>
          <w:rFonts w:ascii="Times New Roman" w:hAnsi="Times New Roman"/>
          <w:sz w:val="24"/>
        </w:rPr>
        <w:br/>
        <w:t>c) Antras sakinys iš dalies keičiamas taip:</w:t>
      </w:r>
    </w:p>
    <w:p w14:paraId="1D6C7618" w14:textId="6ADEFA3D"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591CBF">
        <w:rPr>
          <w:rFonts w:ascii="Times New Roman" w:hAnsi="Times New Roman"/>
          <w:sz w:val="24"/>
        </w:rPr>
        <w:t>-</w:t>
      </w:r>
      <w:r>
        <w:rPr>
          <w:rFonts w:ascii="Times New Roman" w:hAnsi="Times New Roman"/>
          <w:sz w:val="24"/>
        </w:rPr>
        <w:t xml:space="preserve"> pradžioje žodis: „Jie“ pakeičiamas žodžiais: „1 ir 2 punktuose nurodyti asmenys“;</w:t>
      </w:r>
      <w:r>
        <w:rPr>
          <w:rFonts w:ascii="Times New Roman" w:hAnsi="Times New Roman"/>
          <w:sz w:val="24"/>
        </w:rPr>
        <w:br/>
      </w:r>
      <w:r w:rsidR="00591CBF">
        <w:rPr>
          <w:rFonts w:ascii="Times New Roman" w:hAnsi="Times New Roman"/>
          <w:sz w:val="24"/>
        </w:rPr>
        <w:t>-</w:t>
      </w:r>
      <w:r>
        <w:rPr>
          <w:rFonts w:ascii="Times New Roman" w:hAnsi="Times New Roman"/>
          <w:sz w:val="24"/>
        </w:rPr>
        <w:t xml:space="preserve"> žodžiai „, viena vertus,“ išbraukiami; </w:t>
      </w:r>
      <w:r>
        <w:rPr>
          <w:rFonts w:ascii="Times New Roman" w:hAnsi="Times New Roman"/>
          <w:sz w:val="24"/>
        </w:rPr>
        <w:br/>
      </w:r>
      <w:r w:rsidR="00591CBF">
        <w:rPr>
          <w:rFonts w:ascii="Times New Roman" w:hAnsi="Times New Roman"/>
          <w:sz w:val="24"/>
        </w:rPr>
        <w:t>-</w:t>
      </w:r>
      <w:r>
        <w:rPr>
          <w:rFonts w:ascii="Times New Roman" w:hAnsi="Times New Roman"/>
          <w:sz w:val="24"/>
        </w:rPr>
        <w:t xml:space="preserve"> žodžiai: „ankstesnės pastraipos“ pakeičiami žodžiais: „šio 7 straipsnio trečiojoje pastraipoje“;</w:t>
      </w:r>
      <w:r>
        <w:rPr>
          <w:rFonts w:ascii="Times New Roman" w:hAnsi="Times New Roman"/>
          <w:sz w:val="24"/>
        </w:rPr>
        <w:br/>
      </w:r>
      <w:r w:rsidR="00591CBF">
        <w:rPr>
          <w:rFonts w:ascii="Times New Roman" w:hAnsi="Times New Roman"/>
          <w:sz w:val="24"/>
        </w:rPr>
        <w:t>-</w:t>
      </w:r>
      <w:r>
        <w:rPr>
          <w:rFonts w:ascii="Times New Roman" w:hAnsi="Times New Roman"/>
          <w:sz w:val="24"/>
        </w:rPr>
        <w:t xml:space="preserve"> po žodžio „paslaugos“, pabaiga išbraukiama. </w:t>
      </w:r>
    </w:p>
    <w:p w14:paraId="64FB26AC"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2. Po 6-4 straipsnio įterpiamas 6-2 straipsnis, kuris išdėstomas taip:</w:t>
      </w:r>
    </w:p>
    <w:p w14:paraId="120777EB" w14:textId="687E718C"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„6-4 straipsnis - I. - Vartotojų kodekso L. 111-7 straipsnyje apibrėžtų interneto platformų, kurios visuomenei teikia internetinę ryšių paslaugą, grindžiamą trečiųjų </w:t>
      </w:r>
      <w:r>
        <w:rPr>
          <w:rFonts w:ascii="Times New Roman" w:hAnsi="Times New Roman"/>
          <w:sz w:val="24"/>
        </w:rPr>
        <w:lastRenderedPageBreak/>
        <w:t>asmenų internete pateikto turinio klasifikavimu, nuorodomis ar bendrinimu, operatoriai, kurių veikla Prancūzijos teritorijoje viršija dekretu nustatytą jungimosi skaičiaus ribą, neatsižvelgiant į tai, ar jie įsisteigę Prancūzijos teritorijoje, prisideda prie kovos su viešu turinio platinimu, prieštaraujančiu šio įstatymo 6 straipsnio I dalies 7 punkto nuostatoms s ir 1881 m. liepos 29 d. Įstatymo dėl spaudos laisvės 33 straipsnio trečiojoje ir ketvirtoje pastraipose. Šiuo atžvilgiu:</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 xml:space="preserve">1) jie įgyvendina proporcingas žmogiškąsias ir technologines procedūras ir priemones, kurios suteiks galimybę: </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a) kuo greičiau informuoti teismines arba administracines institucijas apie veiksmus, kurių jie ėmėsi dėl šių institucijų paskelbtų draudimų, susijusių su šios dalies pirmoje pastraipoje nurodytu turiniu;</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b) nedelsiant patvirtinti, kad teisminės ar administracinės institucijos saugiai gauna prašymus perduoti turimus duomenis, kad būtų galima nustatyti toje pačioje pirmoje pastraipoje nurodytą turinį įkėlusius naudotojus, ir kuo greičiau informuoti tas institucijas apie tolesnius veiksmus, susijusius su tokiais prašymais;</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c) Jeigu jie prisideda išlaikydami turinį, laikinai išlaikydami turinį, apie kurį jiems buvo pranešta kaip prieštaraujantį pirmoje pastraipoje nurodytoms nuostatoms ir kurį jie atsiėmė arba padarė neprieinamą, kad galėtų su jais susipažinti teisės institucijoms nusikalstamų veikų tyrimo, nustatymo ir baudžiamojo persekiojimo už jas tikslais; šio turinio saugojimo trukmė ir sąlygos nustatomos Valstybės tarybos dekretu, atsižvelgiant į Nacionalinės informacinių technologijų ir laisvių komisijos nuomonę;</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2) jie paskiria vieną bendrą kontaktinį punktą, fizinį asmenį, atsakingą už ryšių su valdžios institucijomis, įgyvendinančiomis šio straipsnio nuostatas, palaikymą, kuriam visų pirma visi prašymai, kuriuos pagal 1986 m. rugsėjo 30 d. Įstatymo Nr. 86-1067 dėl komunikacijos laisvės 62 straipsnį pateikė Aukščiausioji audiovizualinių reikalų taryba, gali būti siunčiami elektroninėmis priemonėmis. Šis vienas bendras kontaktinis punktas visų pirma atsakingas už prašymų, kuriuos teisminė institucija pateikė operatoriui, priėmimą šio įstatymo 6 straipsnio II dalyje nustatyta tvarka, siekiant užtikrinti jų skubų nagrinėjimą;</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3) jie lengvai prieinamu būdu pateikia visuomenei savo siūlomos paslaugos naudojimo bendrąsias sąlygas;  į jas jie įtraukia nuostatas, kuriomis draudžiama internete skelbti šios dalies pirmoje pastraipoje nurodytą neteisėtą turinį; jose jie aiškiai ir tiksliai apibūdina savo moderavimo tvarką, kuria prireikus siekiama nustatyti ir tvarkyti tokį turinį, išsamiai nurodant procedūras ir šiam tikslui naudojamas žmogiškąsias arba automatizuotas priemones bei jų įgyvendinamas priemones, darančias poveikį tokio turinio prieinamumui, matomumui ir prieinamumui; jose jie nurodo priemones, kurias jos įgyvendina dėl naudotojų, pateikusių šį turinį internete, taip pat nurodo vidaus ir teisines teisių gynimo priemones, kuriomis gali naudotis tokie naudotojai;</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4) jie informuoja visuomenę apie taikytas priemones, taip pat priemones, priimtas siekiant kovoti su šios I pirmoje pastraipoje nurodyto neteisėto turinio sklaida Prancūzijos teritorijoje esantiems naudotojams, pagal Aukščiausiosios audiovizualinių reikalų tarybos nustatytas procedūras ir terminus skelbdami informaciją ir kiekybinius minėtos tarybos nustatytus rodiklius, visų pirma susijusius su draudimų ar prašymų suteikti informaciją, gautų iš teisminių ar administracinių institucijų, tvarkymu, gautais pranešimais ir vidaus teisių gynimo priemonių parinkimu, taip pat, kai taikytina, patikimų trečiųjų šalių, kurių pranešimams taikoma pirmumo tvarka, atrankos kriterijais ir bendradarbiavimo su šiomis trečiosiomis šalimis sąlygomis;</w:t>
      </w:r>
      <w:r>
        <w:rPr>
          <w:rFonts w:ascii="Times New Roman" w:hAnsi="Times New Roman"/>
          <w:sz w:val="24"/>
        </w:rPr>
        <w:br/>
      </w:r>
      <w:r w:rsidR="00591CBF" w:rsidRPr="00591CBF">
        <w:rPr>
          <w:rFonts w:ascii="Times New Roman" w:hAnsi="Times New Roman"/>
          <w:sz w:val="24"/>
        </w:rPr>
        <w:lastRenderedPageBreak/>
        <w:t>„</w:t>
      </w:r>
      <w:r>
        <w:rPr>
          <w:rFonts w:ascii="Times New Roman" w:hAnsi="Times New Roman"/>
          <w:sz w:val="24"/>
        </w:rPr>
        <w:t>5) jie įgyvendina lengvai prieinamą ir paprastą taikyti procedūrą, pagal kurią bet kuris asmuo galės elektroninėmis priemonėmis pranešti ir nurodydamas 6 straipsnio I 5 dalyje pateiktus elementus apie bet kokį turinį, kurį jie laiko prieštaraujančiu šios I pirmoje pastraipoje nurodytoms nuostatoms;</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6) jos užtikrina, kad subjektų, kuriuos jos pripažįsta patikimomis trečiosiomis šalimis, pateiktiems pranešimams dėl šio I dalies pirmoje pastraipoje nurodyto neteisėto turinio būtų teikiama pirmenybė.</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Patikimų trečiųjų šalių statusas suteikiamas Aukštosios audiovizualinės klausimų tarybos nustatyta tvarka skaidriomis, nediskriminacinėmis sąlygomis ir jų prašymu subjektams, turintiems specialių žinių ir kompetencijos nustatyti, identifikuoti ir pranešti apie neteisėtą turinį, nurodytą pirmoje pastraipoje, kurie atstovauja kolektyviniams interesams ir suteikia stropumo ir objektyvumo garantijas;</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7) jie įgyvendina proporcingas žmogiškąsias ir technologines procedūras ir priemones, kurios suteikia galimybę:</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a) skubiai patvirtinti, kad saugiai gaunami pranešimai, susiję šios I pirmoje pastraipoje nurodytu neteisėtu turiniu, atsižvelgiant į informaciją, reikalingą susisiekti su autoriumi;</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b) laiku užtikrinti tinkamą šių pranešimų analizę;</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c) norėdami informuoti autorių apie veiksmus, kurių buvo imtasi, ir apie galimas vidaus ir teisines teisių gynimo priemones, jei turite reikiamą informaciją, kad su jais būtų galima susisiekti;</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d) jeigu jei nusprendžiama pašalinti turinį arba padaryti jį neprieinamą dėl to, kad nesilaikoma šioje pirmoje pastraipoje nurodytų nuostatų, informuoti naudotoją jo paskelbimo kilmės vietoje, jei pateikta informacija, reikalinga norint su juo susisiekti:</w:t>
      </w:r>
    </w:p>
    <w:p w14:paraId="43902745" w14:textId="16D6E72F"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591CBF" w:rsidRPr="00591CBF">
        <w:rPr>
          <w:rFonts w:ascii="Times New Roman" w:hAnsi="Times New Roman"/>
          <w:sz w:val="24"/>
        </w:rPr>
        <w:t>„</w:t>
      </w:r>
      <w:r w:rsidR="00591CBF">
        <w:rPr>
          <w:rFonts w:ascii="Times New Roman" w:hAnsi="Times New Roman"/>
          <w:sz w:val="24"/>
        </w:rPr>
        <w:t>-</w:t>
      </w:r>
      <w:r>
        <w:rPr>
          <w:rFonts w:ascii="Times New Roman" w:hAnsi="Times New Roman"/>
          <w:sz w:val="24"/>
        </w:rPr>
        <w:t xml:space="preserve"> nurodant sprendimo priežastis;</w:t>
      </w:r>
      <w:r>
        <w:rPr>
          <w:rFonts w:ascii="Times New Roman" w:hAnsi="Times New Roman"/>
          <w:sz w:val="24"/>
        </w:rPr>
        <w:br/>
      </w:r>
      <w:r w:rsidR="00591CBF" w:rsidRPr="00591CBF">
        <w:rPr>
          <w:rFonts w:ascii="Times New Roman" w:hAnsi="Times New Roman"/>
          <w:sz w:val="24"/>
        </w:rPr>
        <w:t>„</w:t>
      </w:r>
      <w:r w:rsidR="00591CBF">
        <w:rPr>
          <w:rFonts w:ascii="Times New Roman" w:hAnsi="Times New Roman"/>
          <w:sz w:val="24"/>
        </w:rPr>
        <w:t>-</w:t>
      </w:r>
      <w:r>
        <w:rPr>
          <w:rFonts w:ascii="Times New Roman" w:hAnsi="Times New Roman"/>
          <w:sz w:val="24"/>
        </w:rPr>
        <w:t xml:space="preserve"> nurodant, ar šis sprendimas buvo priimtas naudojant automatizuotą priemonę;</w:t>
      </w:r>
      <w:r>
        <w:rPr>
          <w:rFonts w:ascii="Times New Roman" w:hAnsi="Times New Roman"/>
          <w:sz w:val="24"/>
        </w:rPr>
        <w:br/>
      </w:r>
      <w:r w:rsidR="00591CBF" w:rsidRPr="00591CBF">
        <w:rPr>
          <w:rFonts w:ascii="Times New Roman" w:hAnsi="Times New Roman"/>
          <w:sz w:val="24"/>
        </w:rPr>
        <w:t>„</w:t>
      </w:r>
      <w:r w:rsidR="00591CBF">
        <w:rPr>
          <w:rFonts w:ascii="Times New Roman" w:hAnsi="Times New Roman"/>
          <w:sz w:val="24"/>
        </w:rPr>
        <w:t>-</w:t>
      </w:r>
      <w:r>
        <w:rPr>
          <w:rFonts w:ascii="Times New Roman" w:hAnsi="Times New Roman"/>
          <w:sz w:val="24"/>
        </w:rPr>
        <w:t xml:space="preserve"> informuojant juos apie jų turimas nacionalines ir teisių gynimo priemones;</w:t>
      </w:r>
      <w:r>
        <w:rPr>
          <w:rFonts w:ascii="Times New Roman" w:hAnsi="Times New Roman"/>
          <w:sz w:val="24"/>
        </w:rPr>
        <w:br/>
      </w:r>
      <w:r w:rsidR="00591CBF" w:rsidRPr="00591CBF">
        <w:rPr>
          <w:rFonts w:ascii="Times New Roman" w:hAnsi="Times New Roman"/>
          <w:sz w:val="24"/>
        </w:rPr>
        <w:t>„</w:t>
      </w:r>
      <w:r w:rsidR="00591CBF">
        <w:rPr>
          <w:rFonts w:ascii="Times New Roman" w:hAnsi="Times New Roman"/>
          <w:sz w:val="24"/>
        </w:rPr>
        <w:t>-</w:t>
      </w:r>
      <w:r>
        <w:rPr>
          <w:rFonts w:ascii="Times New Roman" w:hAnsi="Times New Roman"/>
          <w:sz w:val="24"/>
        </w:rPr>
        <w:t xml:space="preserve"> pranešant, kad už neteisėto turinio paskelbimą taikomos civilinės ir baudžiamosios sankcijos.</w:t>
      </w:r>
    </w:p>
    <w:p w14:paraId="0C3F650D" w14:textId="0F2C6712"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591CBF" w:rsidRPr="00591CBF">
        <w:rPr>
          <w:rFonts w:ascii="Times New Roman" w:hAnsi="Times New Roman"/>
          <w:sz w:val="24"/>
        </w:rPr>
        <w:t>„</w:t>
      </w:r>
      <w:r>
        <w:rPr>
          <w:rFonts w:ascii="Times New Roman" w:hAnsi="Times New Roman"/>
          <w:sz w:val="24"/>
        </w:rPr>
        <w:t>Šis d punktas netaikomas, kai to prašo valdžios institucija viešosios tvarkos sumetimais arba nusikalstamų veikų prevencijos, nustatymo, tyrimo ir baudžiamojo persekiojimo už jas tikslais;</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8) jie įgyvendina vidaus taisomąsias priemones, kurios suteikia galimybę:</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a) Pranešimo apie neteisėtą turinį, nurodyto šios I pirmoje pastraipoje, autoriui ginčyti operatoriaus sprendimą, priimtą atsakant į šį pranešimą;</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b) naudotojui, paskelbusiam turinį, dėl kurio buvo priimtas 7 dalies d punkte nurodytas sprendimas, užginčyti tą sprendimą;</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c) vartotojui, dėl kurio buvo priimtas 9 dalies a arba b punkte nurodytas sprendimas, užginčyti tą sprendimą.</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Jie užtikrina, kad šios sistemos būtų lengvai prieinamos ir paprastos naudoti ir kad leistų tinkamai ir greitai išnagrinėti apeliacinius skundus, kurie nėra pagrįsti vien tik automatizuotomis priemonėmis, nedelsdami informuoja naudotoją apie priimtą sprendimą ir nedelsdami panaikina priemones, susijusias su atitinkamu turiniu arba naudotoju, kai apeliacinis skundas leidžia manyti, kad ginčijamas sprendimas yra nepagrįstas;</w:t>
      </w:r>
      <w:r>
        <w:rPr>
          <w:rFonts w:ascii="Times New Roman" w:hAnsi="Times New Roman"/>
          <w:sz w:val="24"/>
        </w:rPr>
        <w:br/>
      </w:r>
      <w:r w:rsidR="00591CBF" w:rsidRPr="00591CBF">
        <w:rPr>
          <w:rFonts w:ascii="Times New Roman" w:hAnsi="Times New Roman"/>
          <w:sz w:val="24"/>
        </w:rPr>
        <w:lastRenderedPageBreak/>
        <w:t>„</w:t>
      </w:r>
      <w:r>
        <w:rPr>
          <w:rFonts w:ascii="Times New Roman" w:hAnsi="Times New Roman"/>
          <w:sz w:val="24"/>
        </w:rPr>
        <w:t>9) nuspręsdami įgyvendinti tokias procedūras, jie aiškiai ir tiksliai savo naudojimo sąlygose nustato tvarką, pagal kurią:</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a) laikinai sustabdoma arba rimtesniais atvejais uždaroma naudotojų, pakartotinai įkėlusių turinį, kuriuo pažeidžiamos šios I pirmoje pastraipoje nurodytos nuostatos, paskyra;</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b) prieigos prie pranešimo mechanizmo sustabdymas naudotojams, pakartotinai pateikusiems akivaizdžiai nepagrįstus pranešimus, susijusius su toje pačioje pirmoje pastraipoje nurodytu turiniu.</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Kai tokios procedūros įgyvendinamos, turi būti atlikta kiekvieno konkretaus atvejo analizė, kurios tikslas – objektyviai apibūdinti 9 dalies a arba b punkte nurodytą elgesį, ypač atsižvelgiant į:</w:t>
      </w:r>
    </w:p>
    <w:p w14:paraId="7714552C" w14:textId="4D90D02D"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591CBF" w:rsidRPr="00591CBF">
        <w:rPr>
          <w:rFonts w:ascii="Times New Roman" w:hAnsi="Times New Roman"/>
          <w:sz w:val="24"/>
        </w:rPr>
        <w:t>„</w:t>
      </w:r>
      <w:r w:rsidR="00591CBF">
        <w:rPr>
          <w:rFonts w:ascii="Times New Roman" w:hAnsi="Times New Roman"/>
          <w:sz w:val="24"/>
        </w:rPr>
        <w:t>-</w:t>
      </w:r>
      <w:r>
        <w:rPr>
          <w:rFonts w:ascii="Times New Roman" w:hAnsi="Times New Roman"/>
          <w:sz w:val="24"/>
        </w:rPr>
        <w:t xml:space="preserve"> šio straipsnio pirmoje pastraipoje nurodytas neteisėto turinio kiekis arba per praėjusius metus naudotojo pateiktų akivaizdžiai nepagrįstų pranešimų skaičius, vertinant absoliučiais skaičiais ir proporcingai bendram turinio ar pranešimų, už kuriuos jis ar ji buvo atsakingas skaičiui;</w:t>
      </w:r>
      <w:r>
        <w:rPr>
          <w:rFonts w:ascii="Times New Roman" w:hAnsi="Times New Roman"/>
          <w:sz w:val="24"/>
        </w:rPr>
        <w:br/>
      </w:r>
      <w:r w:rsidR="00591CBF" w:rsidRPr="00591CBF">
        <w:rPr>
          <w:rFonts w:ascii="Times New Roman" w:hAnsi="Times New Roman"/>
          <w:sz w:val="24"/>
        </w:rPr>
        <w:t>„</w:t>
      </w:r>
      <w:r w:rsidR="00591CBF">
        <w:rPr>
          <w:rFonts w:ascii="Times New Roman" w:hAnsi="Times New Roman"/>
          <w:sz w:val="24"/>
        </w:rPr>
        <w:t>-</w:t>
      </w:r>
      <w:r>
        <w:rPr>
          <w:rFonts w:ascii="Times New Roman" w:hAnsi="Times New Roman"/>
          <w:sz w:val="24"/>
        </w:rPr>
        <w:t xml:space="preserve"> tokio piktnaudžiavimo rimtumą ir pasekmes.</w:t>
      </w:r>
    </w:p>
    <w:p w14:paraId="621474B0" w14:textId="4ED3CC1B"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591CBF" w:rsidRPr="00591CBF">
        <w:rPr>
          <w:rFonts w:ascii="Times New Roman" w:hAnsi="Times New Roman"/>
          <w:sz w:val="24"/>
        </w:rPr>
        <w:t>„</w:t>
      </w:r>
      <w:r>
        <w:rPr>
          <w:rFonts w:ascii="Times New Roman" w:hAnsi="Times New Roman"/>
          <w:sz w:val="24"/>
        </w:rPr>
        <w:t>Įgyvendinant šias procedūras numatyta, kad 9 dalies a ir b punktuose nurodytos priemonės savo pobūdžiu turi būti proporcingos atitinkamo elgesio rimtumui, o sustabdymo atveju – kad jos būtų patvirtintos pagrįstam laikotarpiui. Naudotojui pateikiamas įspėjimas ir informacija apie prieinamas galimas vidaus ir teisių gynimo priemones.</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 xml:space="preserve">II. </w:t>
      </w:r>
      <w:r w:rsidR="00591CBF">
        <w:rPr>
          <w:rFonts w:ascii="Times New Roman" w:hAnsi="Times New Roman"/>
          <w:sz w:val="24"/>
        </w:rPr>
        <w:t>-</w:t>
      </w:r>
      <w:r>
        <w:rPr>
          <w:rFonts w:ascii="Times New Roman" w:hAnsi="Times New Roman"/>
          <w:sz w:val="24"/>
        </w:rPr>
        <w:t xml:space="preserve"> Šios I pirmoje pastraipoje minimi operatoriai, kurių veikla Prancūzijos teritorijoje viršija dekretu nustatytą jungčių skaičiaus ribą ir yra platesnio masto, nei nurodyta toje pačioje pirmoje pastraipoje:</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1) kasmet atlieka sisteminės rizikos, susijusios su jų paslaugų teikimu ir naudojimu, vertinimą, kiek tai susiję su pirmoje pastraipoje nurodyto turinio sklaida ir pagrindinių teisių, įskaitant saviraiškos laisvę, pažeidimais. Atliekant šį vertinimą atsižvelgiama į šių paslaugų ypatybes, visų pirma į jų poveikį minėto turinio platinimui arba masinei sklaidai;</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2) įgyvendina pagrįstas, veiksmingas ir proporcingas priemones, visų pirma susijusias su jų paslaugų ypatybėmis ir rizikos, nustatytos II dalies 1 punkte nurodyto rizikos vertinimo pabaigoje, mastu ir dydžiu, kuriomis siekiama sumažinti tokio turinio sklaidos riziką, kuri visų pirma gali būti susijusi su procedūromis ir žmogiškosiomis bei technologinėmis priemonėmis, kurios naudojamos tokiam turiniui aptikti, nustatyti ir apdoroti, kartu užkertant kelią nepagrįsto pašalinimo pagal taikytiną teisę ir naudojimo sąlygas rizikai;</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3) pagal Aukščiausiosios audiovizualinių reikalų tarybos nustatytas procedūras ir terminus praneša visuomenei apie šios sisteminės rizikos įvertinimą ir įgyvendintas rizikos mažinimo priemones.</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 xml:space="preserve">III. </w:t>
      </w:r>
      <w:r w:rsidR="00591CBF">
        <w:rPr>
          <w:rFonts w:ascii="Times New Roman" w:hAnsi="Times New Roman"/>
          <w:sz w:val="24"/>
        </w:rPr>
        <w:t>-</w:t>
      </w:r>
      <w:r>
        <w:rPr>
          <w:rFonts w:ascii="Times New Roman" w:hAnsi="Times New Roman"/>
          <w:sz w:val="24"/>
        </w:rPr>
        <w:t xml:space="preserve"> I pirmoje pastraipoje minimi operatoriai Aukščiausiajai audiovizualinių reikalų tarybai praneša apie šio straipsnio taikymo tvarką ir priemones pagal pirmiau minėto 1986 m. rugsėjo 30 d. Įstatymo Nr. 86-1067 62 straipsnyje nustatytas sąlygas.“</w:t>
      </w:r>
    </w:p>
    <w:p w14:paraId="45CD7FF2"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1986 m. rugsėjo 30 d. Įstatymas Nr. 86-1067 dėl komunikacijos laisvės iš dalies </w:t>
      </w:r>
      <w:r>
        <w:rPr>
          <w:rFonts w:ascii="Times New Roman" w:hAnsi="Times New Roman"/>
          <w:sz w:val="24"/>
        </w:rPr>
        <w:lastRenderedPageBreak/>
        <w:t>keičiamas taip, kaip nurodyta toliau.</w:t>
      </w:r>
      <w:r>
        <w:rPr>
          <w:rFonts w:ascii="Times New Roman" w:hAnsi="Times New Roman"/>
          <w:sz w:val="24"/>
        </w:rPr>
        <w:br/>
        <w:t xml:space="preserve">1. 19 straipsnio I dalies 1 punkto trečiojoje pastraipoje žodžiai „taip pat vaizdo medžiagos bendrinimo platformos“ pakeičiami žodžiais „, vaizdo medžiagos bendrinimo platformos bei 62 straipsnyje nurodyti interneto platformų operatoriai“.  </w:t>
      </w:r>
      <w:r>
        <w:rPr>
          <w:rFonts w:ascii="Times New Roman" w:hAnsi="Times New Roman"/>
          <w:sz w:val="24"/>
        </w:rPr>
        <w:br/>
        <w:t xml:space="preserve">2. 42-7 straipsnio pirmoje pastraipoje nuoroda „ir 48-3“ pakeičiama nuorodomis „, 48-3 ir 62“.  </w:t>
      </w:r>
      <w:r>
        <w:rPr>
          <w:rFonts w:ascii="Times New Roman" w:hAnsi="Times New Roman"/>
          <w:sz w:val="24"/>
        </w:rPr>
        <w:br/>
        <w:t>3. IV antraštinėje dalyje įterpiamas III skyrius, kuris išdėstomas taip:</w:t>
      </w:r>
    </w:p>
    <w:p w14:paraId="77B231FD" w14:textId="445FCC7B"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„III SKYRIUS</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Interneto platformoms taikomos kovos su neapykantos turiniu nuostatos</w:t>
      </w:r>
    </w:p>
    <w:p w14:paraId="0A34B744" w14:textId="70873212"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„62 straipsnis. </w:t>
      </w:r>
      <w:r w:rsidR="00591CBF">
        <w:rPr>
          <w:rFonts w:ascii="Times New Roman" w:hAnsi="Times New Roman"/>
          <w:sz w:val="24"/>
        </w:rPr>
        <w:t>-</w:t>
      </w:r>
      <w:r>
        <w:rPr>
          <w:rFonts w:ascii="Times New Roman" w:hAnsi="Times New Roman"/>
          <w:sz w:val="24"/>
        </w:rPr>
        <w:t xml:space="preserve"> I.</w:t>
      </w:r>
      <w:r w:rsidR="00591CBF">
        <w:rPr>
          <w:rFonts w:ascii="Times New Roman" w:hAnsi="Times New Roman"/>
          <w:sz w:val="24"/>
        </w:rPr>
        <w:t>-</w:t>
      </w:r>
      <w:r>
        <w:rPr>
          <w:rFonts w:ascii="Times New Roman" w:hAnsi="Times New Roman"/>
          <w:sz w:val="24"/>
        </w:rPr>
        <w:t xml:space="preserve"> Aukščiausioji audiovizualinių reikalų taryba užtikrina, kad interneto platformos operatoriai, nurodyti 2004 m. birželio 21 d. Įstatymo Nr. 2004-575 dėl pasitikėjimo skaitmenine ekonomika 6-4 straipsnio pirmoje pastraipoje, laikytųsi to paties 6-4 straipsnio nuostatų, atsižvelgdami į kiekvieną savo siūlomą paslaugą, paslaugos ypatybes ir operatoriaus taikomų priemonių tinkamumą, visų pirma į minėto 6-4 straipsnio pirmoje pastraipoje nurodyto turinio sklaidos rizikos mastą ir sunkumą, taip pat į nepagrįsto pašalinimo pagal taikytiną teisę ir jo naudojimo sąlygas riziką. Šiems platformos operatoriams ji pateikia to paties 6-4 straipsnio taikymo gaires.</w:t>
      </w:r>
      <w:r>
        <w:rPr>
          <w:rFonts w:ascii="Times New Roman" w:hAnsi="Times New Roman"/>
          <w:sz w:val="24"/>
        </w:rPr>
        <w:br/>
        <w:t>„Aukščiausioji audiovizualinių reikalų taryba šio įstatymo 19 straipsnyje nustatytomis sąlygomis ji renka šių operatorių informaciją, būtiną jų įsipareigojimams stebėti. Todėl 2004 m. birželio 21 d. Įstatymo Nr. 2004-575 6-4 straipsnio II dalyje nurodyti operatoriai suteikia galimybę susipažinti su automatizuotų priemonių, naudojamų šiems įpareigojimams įvykdyti, veikimo principais, šių priemonių naudojamais parametrais, metodais ir duomenimis, naudojamais vertinant ir tobulinant jų veikimą, ir bet kokia kita informacija ar duomenimis, leidžiančiais įvertinti jų veiksmingumą, pagal asmens duomenų apsaugos nuostatas. Laikydamasi šių nuostatų Aukščiausioji audiovizualinių reikalų taryba gali siųsti proporcingus prašymus dėl prieigos prie duomenų, susijusių su šių priemonių veiksmingumo vertinimu, naudodamasi specialiomis programavimo sąsajomis. Laikydamasi šių nuostatų ir siekdama tų pačių tikslų, Aukščiausioji audiovizualinių reikalų taryba gali įgyvendinti proporcingus viešai prieinamų duomenų automatizuoto rinkimo metodus, kad būtų galima gauti reikiamus duomenis, įskaitant tuos atvejus, jeigu norint gauti prieigą prie šių duomenų būtinas leidimas prisijungti prie paskyros.</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Ji apibrėžia informaciją ir kiekybinius rodiklius, kuriuos šie operatoriai privalo skelbti pagal 6-4 straipsnio I dalies 4 punktą, taip pat šio paskelbimo sąlygas ir terminus.</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Ji kasmet skelbia 6-4 straipsnio nuostatų taikymo apžvalgą.</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 xml:space="preserve">II. </w:t>
      </w:r>
      <w:r w:rsidR="00591CBF">
        <w:rPr>
          <w:rFonts w:ascii="Times New Roman" w:hAnsi="Times New Roman"/>
          <w:sz w:val="24"/>
        </w:rPr>
        <w:t>-</w:t>
      </w:r>
      <w:r>
        <w:rPr>
          <w:rFonts w:ascii="Times New Roman" w:hAnsi="Times New Roman"/>
          <w:sz w:val="24"/>
        </w:rPr>
        <w:t xml:space="preserve"> Aukštoji garso ir vaizdo reikalų taryba skatina interneto platformų operatorius, nurodytus minėto 2004 m. birželio 21 d. Įstatymo Nr. 2004–575 6-4 straipsnio I dalies pirmoje pastraipoje, įgyvendinti:</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1) platformos operatorių bendradarbiavimo ir keitimosi informacija atviro formato, atitinkančio jo rekomendacijas, priemonės, skirtos kovoti su 6-4 straipsnyje nurodytais pažeidimais;</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 xml:space="preserve">2) proporcingas technines priemones, kurios, kol bus išnagrinėtas 6-4 straipsnyje nurodytas pranešimas apie turinį, suteikia galimybę apriboti to turinio dalijimąsi ir </w:t>
      </w:r>
      <w:r>
        <w:rPr>
          <w:rFonts w:ascii="Times New Roman" w:hAnsi="Times New Roman"/>
          <w:sz w:val="24"/>
        </w:rPr>
        <w:lastRenderedPageBreak/>
        <w:t>jo poveikį visuomenei;</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3) bendrieji techniniai internetinių viešųjų ryšių paslaugų sąveikumo standartai, atitinkantys naujausius technikos laimėjimus, kurie yra dokumentuojami ir stabilūs, siekiant sudaryti palankesnes sąlygas naudotojams laisvai rinktis iš skirtingų platformų.</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III. Aukščiausioji audiovizualinių reikalų taryba gali pateikti operatoriui pranešimą, kad jis per jos nustatytą terminą laikytųsi 2004 m. birželio 21 d. Įstatymo Nr. 2004-575 6-4 straipsnio nuostatų ir atsakytų į prašymą pateikti informaciją, kuri jam buvo nusiųsta pagal šio straipsnio I antrą pastraipą.</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Jeigu operatorius nesilaiko gauto pranešimo nuostatų, Aukščiausioji audiovizualinių reikalų taryba šio įstatymo 42-7 straipsnyje nustatytomis sąlygomis gali skirti baudą, kurios dydis nustatomas atsižvelgiant į reikalavimų nesilaikymo rimtumą ir, kai tinkama, pasikartojantį pobūdį, kuri neviršytų 20 mln. EUR arba 6 % bendros metinės apyvartos praėjusiais metais, atsižvelgiant į tai, kuri suma yra didesnė. Jeigu už tą patį pažeidimą kitoje valstybėje tuo pačiu pagrindu apskaičiuota finansinė bauda, nustatant pagal šią dalį paskirtą baudą atsižvelgiama į tos baudos dydį.</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Nukrypstant nuo šios III dalies antros pastraipos, jei atsisakoma atskleisti informaciją, kurios reikalauja reguliavimo institucija pagal I dalies antrą pastraipą, arba kai pateikiama neteisinga ar klaidinanti informacija, skirtos nuobaudos suma negali viršyti 1 proc. bendros metinės pasaulinės apyvartos praėjusiais finansiniais metais.</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Aukščiausioji audiovizualinių reikalų taryba gali viešai skelbti pranešimus ir paskirtas sankcijas. Savo sprendime ji nustato tokio paskelbimo detales, kurios turi būti proporcingos pažeidimo sunkumui. Ji taip pat gali nurodyti savo sprendimą įtraukti į tam skirtus leidinius, laikraščius ir žiniasklaidos priemones operatorių, kuriems taikomas oficialus pranešimas arba sankcijos, sąskaita.</w:t>
      </w:r>
      <w:r>
        <w:rPr>
          <w:rFonts w:ascii="Times New Roman" w:hAnsi="Times New Roman"/>
          <w:sz w:val="24"/>
        </w:rPr>
        <w:br/>
      </w:r>
      <w:r w:rsidR="00591CBF" w:rsidRPr="00591CBF">
        <w:rPr>
          <w:rFonts w:ascii="Times New Roman" w:hAnsi="Times New Roman"/>
          <w:sz w:val="24"/>
        </w:rPr>
        <w:t>„</w:t>
      </w:r>
      <w:r>
        <w:rPr>
          <w:rFonts w:ascii="Times New Roman" w:hAnsi="Times New Roman"/>
          <w:sz w:val="24"/>
        </w:rPr>
        <w:t>Baudos surenkamos kaip neapmokestinamosios ir neturtinės skolos valstybei.“</w:t>
      </w:r>
    </w:p>
    <w:p w14:paraId="23676506" w14:textId="11714DCE"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4. Po žodžių „iš to kylančiam“ 108 straipsnio pirmos pastraipos pabaiga išdėstoma taip: „iš 2021 m. rugpjūčio 24 d. d. Įstatymo Nr. 2021-1109 dėl Respublikos teisinių principų įgyvendinimo.“</w:t>
      </w:r>
      <w:r>
        <w:rPr>
          <w:rFonts w:ascii="Times New Roman" w:hAnsi="Times New Roman"/>
          <w:sz w:val="24"/>
        </w:rPr>
        <w:br/>
        <w:t xml:space="preserve">III. </w:t>
      </w:r>
      <w:r w:rsidR="00591CBF">
        <w:rPr>
          <w:rFonts w:ascii="Times New Roman" w:hAnsi="Times New Roman"/>
          <w:sz w:val="24"/>
        </w:rPr>
        <w:t>-</w:t>
      </w:r>
      <w:r>
        <w:rPr>
          <w:rFonts w:ascii="Times New Roman" w:hAnsi="Times New Roman"/>
          <w:sz w:val="24"/>
        </w:rPr>
        <w:t xml:space="preserve"> A. </w:t>
      </w:r>
      <w:r w:rsidR="00591CBF">
        <w:rPr>
          <w:rFonts w:ascii="Times New Roman" w:hAnsi="Times New Roman"/>
          <w:sz w:val="24"/>
        </w:rPr>
        <w:t>-</w:t>
      </w:r>
      <w:r>
        <w:rPr>
          <w:rFonts w:ascii="Times New Roman" w:hAnsi="Times New Roman"/>
          <w:sz w:val="24"/>
        </w:rPr>
        <w:t xml:space="preserve"> Šio straipsnio nuostatos taikomos iki 2023 m. gruodžio 31 d.</w:t>
      </w:r>
      <w:r>
        <w:rPr>
          <w:rFonts w:ascii="Times New Roman" w:hAnsi="Times New Roman"/>
          <w:sz w:val="24"/>
        </w:rPr>
        <w:br/>
        <w:t xml:space="preserve">B. </w:t>
      </w:r>
      <w:r w:rsidR="00591CBF">
        <w:rPr>
          <w:rFonts w:ascii="Times New Roman" w:hAnsi="Times New Roman"/>
          <w:sz w:val="24"/>
        </w:rPr>
        <w:t>-</w:t>
      </w:r>
      <w:r>
        <w:rPr>
          <w:rFonts w:ascii="Times New Roman" w:hAnsi="Times New Roman"/>
          <w:sz w:val="24"/>
        </w:rPr>
        <w:t xml:space="preserve"> Nukrypstant nuo šios III straipsnio A dalies, šis straipsnis nuo 2022 m. birželio 7 d. netaikomas kovai su teroristinio turinio vieša sklaida, kaip apibrėžta 2021 m. balandžio 29 d. Europos Parlamento ir Tarybos reglamento (ES) 2021/784 dėl teroristinio turinio sklaidos internete problemos sprendimo 7 straipsnio 2 dalyje.</w:t>
      </w:r>
    </w:p>
    <w:p w14:paraId="509B6F4B" w14:textId="77777777" w:rsidR="0067021E" w:rsidRPr="00A31ACD" w:rsidRDefault="0067021E"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034C9"/>
    <w:rsid w:val="00054B06"/>
    <w:rsid w:val="000D276F"/>
    <w:rsid w:val="001B29CB"/>
    <w:rsid w:val="002225AA"/>
    <w:rsid w:val="00591CBF"/>
    <w:rsid w:val="0067021E"/>
    <w:rsid w:val="00897AF7"/>
    <w:rsid w:val="00A31ACD"/>
    <w:rsid w:val="00C95584"/>
    <w:rsid w:val="00D4016E"/>
    <w:rsid w:val="00E7401A"/>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7750"/>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2230</Words>
  <Characters>18577</Characters>
  <Application>Microsoft Office Word</Application>
  <DocSecurity>0</DocSecurity>
  <Lines>379</Lines>
  <Paragraphs>182</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Ines Varvodic</cp:lastModifiedBy>
  <cp:revision>2</cp:revision>
  <dcterms:created xsi:type="dcterms:W3CDTF">2022-02-14T12:19:00Z</dcterms:created>
  <dcterms:modified xsi:type="dcterms:W3CDTF">2022-02-14T12:19:00Z</dcterms:modified>
</cp:coreProperties>
</file>