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E293F" w14:textId="77777777" w:rsidR="0055267E" w:rsidRPr="004445F4" w:rsidRDefault="0055267E">
      <w:pPr>
        <w:jc w:val="right"/>
        <w:rPr>
          <w:sz w:val="16"/>
          <w:szCs w:val="16"/>
        </w:rPr>
      </w:pPr>
    </w:p>
    <w:p w14:paraId="69FE2940" w14:textId="77777777" w:rsidR="0055267E" w:rsidRPr="004445F4" w:rsidRDefault="0055267E">
      <w:pPr>
        <w:jc w:val="both"/>
      </w:pPr>
    </w:p>
    <w:tbl>
      <w:tblPr>
        <w:tblW w:w="5000" w:type="pct"/>
        <w:tblCellMar>
          <w:left w:w="70" w:type="dxa"/>
          <w:right w:w="70" w:type="dxa"/>
        </w:tblCellMar>
        <w:tblLook w:val="0000" w:firstRow="0" w:lastRow="0" w:firstColumn="0" w:lastColumn="0" w:noHBand="0" w:noVBand="0"/>
      </w:tblPr>
      <w:tblGrid>
        <w:gridCol w:w="9072"/>
      </w:tblGrid>
      <w:tr w:rsidR="006D6750" w:rsidRPr="006D6750" w14:paraId="4C7CC5CE" w14:textId="77777777" w:rsidTr="006D6750">
        <w:tc>
          <w:tcPr>
            <w:tcW w:w="5000" w:type="pct"/>
          </w:tcPr>
          <w:p w14:paraId="7DB3FCFC" w14:textId="0F45AB35" w:rsidR="006D6750" w:rsidRPr="00565E6D" w:rsidRDefault="006D6750" w:rsidP="00E82EA4">
            <w:pPr>
              <w:jc w:val="both"/>
              <w:rPr>
                <w:rFonts w:asciiTheme="minorHAnsi" w:hAnsiTheme="minorHAnsi" w:cstheme="minorHAnsi"/>
                <w:b/>
                <w:bCs/>
              </w:rPr>
            </w:pPr>
            <w:r>
              <w:rPr>
                <w:rFonts w:asciiTheme="minorHAnsi" w:hAnsiTheme="minorHAnsi"/>
                <w:b/>
              </w:rPr>
              <w:t>Osnutek kraljeve uredbe o določitvi postopkov za vpogled v centralni kreditni register posameznikov s strani komisije za igre na srečo in o spremembi določb o omejevanju spletnih iger na srečo</w:t>
            </w:r>
          </w:p>
          <w:p w14:paraId="1434920F" w14:textId="6F0714C0" w:rsidR="006D6750" w:rsidRPr="00565E6D" w:rsidRDefault="006D6750" w:rsidP="00E82EA4">
            <w:pPr>
              <w:jc w:val="both"/>
              <w:rPr>
                <w:rFonts w:asciiTheme="minorHAnsi" w:hAnsiTheme="minorHAnsi" w:cstheme="minorHAnsi"/>
                <w:b/>
                <w:bCs/>
                <w:lang w:val="fr-FR"/>
              </w:rPr>
            </w:pPr>
          </w:p>
        </w:tc>
      </w:tr>
      <w:tr w:rsidR="006D6750" w:rsidRPr="006D6750" w14:paraId="69FE295D" w14:textId="77777777" w:rsidTr="006D6750">
        <w:tc>
          <w:tcPr>
            <w:tcW w:w="5000" w:type="pct"/>
          </w:tcPr>
          <w:p w14:paraId="69FE2955" w14:textId="77777777" w:rsidR="006D6750" w:rsidRPr="004445F4" w:rsidRDefault="006D6750" w:rsidP="009E2456">
            <w:pPr>
              <w:jc w:val="both"/>
              <w:rPr>
                <w:rFonts w:asciiTheme="minorHAnsi" w:hAnsiTheme="minorHAnsi" w:cstheme="minorHAnsi"/>
                <w:b/>
                <w:bCs/>
              </w:rPr>
            </w:pPr>
            <w:r>
              <w:rPr>
                <w:rFonts w:asciiTheme="minorHAnsi" w:hAnsiTheme="minorHAnsi"/>
                <w:b/>
              </w:rPr>
              <w:t>FILIP, kralj Belgijcev,</w:t>
            </w:r>
          </w:p>
          <w:p w14:paraId="69FE2956" w14:textId="77777777" w:rsidR="006D6750" w:rsidRPr="004445F4" w:rsidRDefault="006D6750" w:rsidP="009E2456">
            <w:pPr>
              <w:jc w:val="both"/>
              <w:rPr>
                <w:rFonts w:asciiTheme="minorHAnsi" w:hAnsiTheme="minorHAnsi" w:cstheme="minorHAnsi"/>
                <w:b/>
                <w:bCs/>
                <w:lang w:val="fr-FR"/>
              </w:rPr>
            </w:pPr>
          </w:p>
          <w:p w14:paraId="5E422DD3" w14:textId="77777777" w:rsidR="006D6750" w:rsidRDefault="006D6750" w:rsidP="009E2456">
            <w:pPr>
              <w:jc w:val="both"/>
              <w:rPr>
                <w:rFonts w:asciiTheme="minorHAnsi" w:hAnsiTheme="minorHAnsi"/>
                <w:b/>
              </w:rPr>
            </w:pPr>
            <w:r>
              <w:rPr>
                <w:rFonts w:asciiTheme="minorHAnsi" w:hAnsiTheme="minorHAnsi"/>
                <w:b/>
              </w:rPr>
              <w:t>pozdravljam vse prisotne in prihajajoče.</w:t>
            </w:r>
          </w:p>
          <w:p w14:paraId="69FE2957" w14:textId="77777777" w:rsidR="005E0B80" w:rsidRPr="004445F4" w:rsidRDefault="005E0B80" w:rsidP="009E2456">
            <w:pPr>
              <w:jc w:val="both"/>
              <w:rPr>
                <w:rFonts w:asciiTheme="minorHAnsi" w:hAnsiTheme="minorHAnsi" w:cstheme="minorHAnsi"/>
                <w:b/>
                <w:bCs/>
                <w:lang w:val="fr-FR"/>
              </w:rPr>
            </w:pPr>
          </w:p>
        </w:tc>
      </w:tr>
      <w:tr w:rsidR="006D6750" w:rsidRPr="006D6750" w14:paraId="69FE2963" w14:textId="77777777" w:rsidTr="006D6750">
        <w:tc>
          <w:tcPr>
            <w:tcW w:w="5000" w:type="pct"/>
            <w:shd w:val="clear" w:color="auto" w:fill="auto"/>
          </w:tcPr>
          <w:p w14:paraId="50BA5695" w14:textId="121B1587" w:rsidR="006D6750" w:rsidRPr="004445F4" w:rsidRDefault="006D6750" w:rsidP="009E2456">
            <w:pPr>
              <w:autoSpaceDE w:val="0"/>
              <w:autoSpaceDN w:val="0"/>
              <w:adjustRightInd w:val="0"/>
              <w:jc w:val="both"/>
              <w:rPr>
                <w:rFonts w:asciiTheme="minorHAnsi" w:hAnsiTheme="minorHAnsi" w:cstheme="minorHAnsi"/>
              </w:rPr>
            </w:pPr>
            <w:r>
              <w:rPr>
                <w:rFonts w:asciiTheme="minorHAnsi" w:hAnsiTheme="minorHAnsi"/>
              </w:rPr>
              <w:t>Ob upoštevanju člena 55/1 Zakona z dne 7. maja 1999 o igrah na srečo, stavah, igralnicah in varstvu igralcev, vstavljenega z Zakonom z dne 7. maja 2019;</w:t>
            </w:r>
          </w:p>
          <w:p w14:paraId="69FE295F" w14:textId="77777777" w:rsidR="006D6750" w:rsidRPr="004445F4" w:rsidRDefault="006D6750" w:rsidP="009E2456">
            <w:pPr>
              <w:jc w:val="both"/>
              <w:rPr>
                <w:rFonts w:asciiTheme="minorHAnsi" w:hAnsiTheme="minorHAnsi" w:cstheme="minorHAnsi"/>
                <w:lang w:val="fr-FR"/>
              </w:rPr>
            </w:pPr>
          </w:p>
        </w:tc>
      </w:tr>
      <w:tr w:rsidR="006D6750" w:rsidRPr="006D6750" w14:paraId="69FE2968" w14:textId="77777777" w:rsidTr="006D6750">
        <w:tc>
          <w:tcPr>
            <w:tcW w:w="5000" w:type="pct"/>
            <w:shd w:val="clear" w:color="auto" w:fill="auto"/>
          </w:tcPr>
          <w:p w14:paraId="1E56E25F" w14:textId="54FA8C9F" w:rsidR="006D6750" w:rsidRPr="004445F4" w:rsidRDefault="006D6750" w:rsidP="00CB0098">
            <w:pPr>
              <w:jc w:val="both"/>
              <w:rPr>
                <w:rFonts w:asciiTheme="minorHAnsi" w:hAnsiTheme="minorHAnsi" w:cstheme="minorHAnsi"/>
              </w:rPr>
            </w:pPr>
            <w:r>
              <w:rPr>
                <w:rFonts w:asciiTheme="minorHAnsi" w:hAnsiTheme="minorHAnsi"/>
              </w:rPr>
              <w:t>ob upoštevanju Kraljeve uredbe z dne 25. oktobra 2018 o načinih prirejanja iger na srečo in stav, ki se izvajajo s pomočjo storitev informacijske družbe;</w:t>
            </w:r>
          </w:p>
          <w:p w14:paraId="69FE2964" w14:textId="50F69249" w:rsidR="006D6750" w:rsidRPr="004445F4" w:rsidRDefault="006D6750" w:rsidP="00CB0098">
            <w:pPr>
              <w:jc w:val="both"/>
              <w:rPr>
                <w:rFonts w:asciiTheme="minorHAnsi" w:hAnsiTheme="minorHAnsi" w:cstheme="minorHAnsi"/>
                <w:lang w:val="fr-FR"/>
              </w:rPr>
            </w:pPr>
          </w:p>
        </w:tc>
      </w:tr>
      <w:tr w:rsidR="006D6750" w:rsidRPr="006D6750" w14:paraId="69FE296D" w14:textId="77777777" w:rsidTr="006D6750">
        <w:tc>
          <w:tcPr>
            <w:tcW w:w="5000" w:type="pct"/>
            <w:shd w:val="clear" w:color="auto" w:fill="auto"/>
          </w:tcPr>
          <w:p w14:paraId="0459D751" w14:textId="211E9380" w:rsidR="006D6750" w:rsidRPr="004445F4" w:rsidRDefault="006D6750" w:rsidP="00CB0098">
            <w:pPr>
              <w:jc w:val="both"/>
              <w:rPr>
                <w:rFonts w:asciiTheme="minorHAnsi" w:hAnsiTheme="minorHAnsi" w:cstheme="minorHAnsi"/>
              </w:rPr>
            </w:pPr>
            <w:r>
              <w:rPr>
                <w:rFonts w:asciiTheme="minorHAnsi" w:hAnsiTheme="minorHAnsi"/>
              </w:rPr>
              <w:t>ob upoštevanju mnenja komisije za igre na srečo z dne 20. januarja 2021;</w:t>
            </w:r>
          </w:p>
          <w:p w14:paraId="69FE2969" w14:textId="0CDC8EAA" w:rsidR="006D6750" w:rsidRPr="004445F4" w:rsidRDefault="006D6750" w:rsidP="00CB0098">
            <w:pPr>
              <w:jc w:val="both"/>
              <w:rPr>
                <w:rFonts w:asciiTheme="minorHAnsi" w:hAnsiTheme="minorHAnsi" w:cstheme="minorHAnsi"/>
                <w:lang w:val="fr-FR"/>
              </w:rPr>
            </w:pPr>
          </w:p>
        </w:tc>
      </w:tr>
      <w:tr w:rsidR="006D6750" w:rsidRPr="006D6750" w14:paraId="69FE2973" w14:textId="77777777" w:rsidTr="006D6750">
        <w:tc>
          <w:tcPr>
            <w:tcW w:w="5000" w:type="pct"/>
            <w:shd w:val="clear" w:color="auto" w:fill="auto"/>
          </w:tcPr>
          <w:p w14:paraId="4CECFDAE" w14:textId="0C7917FF" w:rsidR="006D6750" w:rsidRPr="004445F4" w:rsidRDefault="006D6750" w:rsidP="00CB0098">
            <w:pPr>
              <w:jc w:val="both"/>
              <w:rPr>
                <w:rFonts w:asciiTheme="minorHAnsi" w:hAnsiTheme="minorHAnsi" w:cstheme="minorHAnsi"/>
              </w:rPr>
            </w:pPr>
            <w:r>
              <w:rPr>
                <w:rFonts w:asciiTheme="minorHAnsi" w:hAnsiTheme="minorHAnsi"/>
              </w:rPr>
              <w:t>ob upoštevanju mnenja finančnega inšpektorja z dne 27. aprila 2021 in 5. julija 2021;</w:t>
            </w:r>
          </w:p>
          <w:p w14:paraId="69FE296F" w14:textId="77777777" w:rsidR="006D6750" w:rsidRPr="004445F4" w:rsidRDefault="006D6750" w:rsidP="00CB0098">
            <w:pPr>
              <w:jc w:val="both"/>
              <w:rPr>
                <w:rFonts w:asciiTheme="minorHAnsi" w:hAnsiTheme="minorHAnsi" w:cstheme="minorHAnsi"/>
                <w:lang w:val="fr-FR"/>
              </w:rPr>
            </w:pPr>
          </w:p>
        </w:tc>
      </w:tr>
      <w:tr w:rsidR="006D6750" w:rsidRPr="006D6750" w14:paraId="229FBB1A" w14:textId="77777777" w:rsidTr="006D6750">
        <w:tc>
          <w:tcPr>
            <w:tcW w:w="5000" w:type="pct"/>
            <w:shd w:val="clear" w:color="auto" w:fill="auto"/>
          </w:tcPr>
          <w:p w14:paraId="63E510E4" w14:textId="6503FF16" w:rsidR="006D6750" w:rsidRPr="004445F4" w:rsidRDefault="006D6750" w:rsidP="00CB0098">
            <w:pPr>
              <w:jc w:val="both"/>
              <w:rPr>
                <w:rFonts w:asciiTheme="minorHAnsi" w:hAnsiTheme="minorHAnsi" w:cstheme="minorHAnsi"/>
              </w:rPr>
            </w:pPr>
            <w:r>
              <w:rPr>
                <w:rFonts w:asciiTheme="minorHAnsi" w:hAnsiTheme="minorHAnsi"/>
              </w:rPr>
              <w:t>ob upoštevanju dogovora državnega sekretarja za proračun z dne 11. maja 2021 in 15. julija 2021;</w:t>
            </w:r>
          </w:p>
          <w:p w14:paraId="36E7A5D9" w14:textId="7FEA8B0B" w:rsidR="006D6750" w:rsidRPr="004445F4" w:rsidRDefault="006D6750" w:rsidP="00CB0098">
            <w:pPr>
              <w:jc w:val="both"/>
              <w:rPr>
                <w:rFonts w:asciiTheme="minorHAnsi" w:hAnsiTheme="minorHAnsi" w:cstheme="minorHAnsi"/>
                <w:lang w:val="fr-BE"/>
              </w:rPr>
            </w:pPr>
          </w:p>
        </w:tc>
      </w:tr>
      <w:tr w:rsidR="006D6750" w:rsidRPr="006D6750" w14:paraId="68E4DBC9" w14:textId="77777777" w:rsidTr="006D6750">
        <w:tc>
          <w:tcPr>
            <w:tcW w:w="5000" w:type="pct"/>
            <w:shd w:val="clear" w:color="auto" w:fill="auto"/>
          </w:tcPr>
          <w:p w14:paraId="2342D0E1" w14:textId="161C102C" w:rsidR="006D6750" w:rsidRPr="004445F4" w:rsidRDefault="006D6750" w:rsidP="00573EE3">
            <w:pPr>
              <w:pStyle w:val="BodyText"/>
              <w:rPr>
                <w:rFonts w:asciiTheme="minorHAnsi" w:hAnsiTheme="minorHAnsi" w:cstheme="minorHAnsi"/>
                <w:bCs/>
              </w:rPr>
            </w:pPr>
            <w:r>
              <w:rPr>
                <w:rFonts w:asciiTheme="minorHAnsi" w:hAnsiTheme="minorHAnsi"/>
              </w:rPr>
              <w:t>ob upoštevanju mnenja organa za varstvo podatkov št. 177/2021 z dne 4. oktobra 2021;</w:t>
            </w:r>
          </w:p>
          <w:p w14:paraId="0765C876" w14:textId="77777777" w:rsidR="006D6750" w:rsidRPr="004445F4" w:rsidRDefault="006D6750" w:rsidP="00573EE3">
            <w:pPr>
              <w:jc w:val="both"/>
              <w:rPr>
                <w:rFonts w:asciiTheme="minorHAnsi" w:hAnsiTheme="minorHAnsi" w:cstheme="minorHAnsi"/>
                <w:lang w:val="fr-BE"/>
              </w:rPr>
            </w:pPr>
          </w:p>
        </w:tc>
      </w:tr>
      <w:tr w:rsidR="006D6750" w:rsidRPr="006D6750" w14:paraId="69FE2979" w14:textId="77777777" w:rsidTr="006D6750">
        <w:tc>
          <w:tcPr>
            <w:tcW w:w="5000" w:type="pct"/>
          </w:tcPr>
          <w:p w14:paraId="69FE2974" w14:textId="77777777" w:rsidR="006D6750" w:rsidRPr="004445F4" w:rsidRDefault="006D6750" w:rsidP="00573EE3">
            <w:pPr>
              <w:pStyle w:val="BodyText"/>
              <w:rPr>
                <w:rFonts w:asciiTheme="minorHAnsi" w:hAnsiTheme="minorHAnsi" w:cstheme="minorHAnsi"/>
              </w:rPr>
            </w:pPr>
            <w:r>
              <w:rPr>
                <w:rFonts w:asciiTheme="minorHAnsi" w:hAnsiTheme="minorHAnsi"/>
              </w:rPr>
              <w:t>ob upoštevanju ocene učinka uredbe, opravljene v skladu s členoma 6 in 7 Zakona z dne 15. decembra 2013 o različnih določbah o upravni poenostavitvi;</w:t>
            </w:r>
          </w:p>
          <w:p w14:paraId="69FE2975" w14:textId="73C6F6CE" w:rsidR="006D6750" w:rsidRPr="004445F4" w:rsidRDefault="006D6750" w:rsidP="00573EE3">
            <w:pPr>
              <w:jc w:val="both"/>
              <w:rPr>
                <w:rFonts w:asciiTheme="minorHAnsi" w:hAnsiTheme="minorHAnsi" w:cstheme="minorHAnsi"/>
                <w:lang w:val="fr-FR"/>
              </w:rPr>
            </w:pPr>
          </w:p>
        </w:tc>
      </w:tr>
      <w:tr w:rsidR="006D6750" w:rsidRPr="006D6750" w14:paraId="69FE297D" w14:textId="77777777" w:rsidTr="006D6750">
        <w:tc>
          <w:tcPr>
            <w:tcW w:w="5000" w:type="pct"/>
          </w:tcPr>
          <w:p w14:paraId="5016ABDE" w14:textId="77777777" w:rsidR="006D6750" w:rsidRPr="004445F4" w:rsidRDefault="006D6750" w:rsidP="00573EE3">
            <w:pPr>
              <w:jc w:val="both"/>
              <w:rPr>
                <w:rFonts w:asciiTheme="minorHAnsi" w:hAnsiTheme="minorHAnsi" w:cstheme="minorHAnsi"/>
              </w:rPr>
            </w:pPr>
            <w:r>
              <w:rPr>
                <w:rFonts w:asciiTheme="minorHAnsi" w:hAnsiTheme="minorHAnsi"/>
              </w:rPr>
              <w:t xml:space="preserve">ob upoštevanju mnenja […] Državnega sveta, podanega dne […] v skladu s členom 84(1)(1)(2) zakonov o Državnem svetu, usklajenih 12. januarja 1973; </w:t>
            </w:r>
          </w:p>
          <w:p w14:paraId="69FE297A" w14:textId="06CEE2C1" w:rsidR="006D6750" w:rsidRPr="004445F4" w:rsidRDefault="006D6750" w:rsidP="00573EE3">
            <w:pPr>
              <w:jc w:val="both"/>
              <w:rPr>
                <w:rFonts w:asciiTheme="minorHAnsi" w:hAnsiTheme="minorHAnsi" w:cstheme="minorHAnsi"/>
                <w:lang w:val="fr-FR"/>
              </w:rPr>
            </w:pPr>
          </w:p>
        </w:tc>
      </w:tr>
      <w:tr w:rsidR="006D6750" w:rsidRPr="006D6750" w14:paraId="69FE2981" w14:textId="77777777" w:rsidTr="006D6750">
        <w:tc>
          <w:tcPr>
            <w:tcW w:w="5000" w:type="pct"/>
          </w:tcPr>
          <w:p w14:paraId="69FE297E" w14:textId="77777777" w:rsidR="006D6750" w:rsidRPr="006D6750" w:rsidRDefault="006D6750" w:rsidP="00573EE3">
            <w:pPr>
              <w:jc w:val="both"/>
              <w:rPr>
                <w:rFonts w:asciiTheme="minorHAnsi" w:hAnsiTheme="minorHAnsi" w:cstheme="minorHAnsi"/>
                <w:lang w:val="fr-BE"/>
              </w:rPr>
            </w:pPr>
          </w:p>
        </w:tc>
      </w:tr>
      <w:tr w:rsidR="006D6750" w:rsidRPr="006D6750" w14:paraId="69FE2986" w14:textId="77777777" w:rsidTr="006D6750">
        <w:tc>
          <w:tcPr>
            <w:tcW w:w="5000" w:type="pct"/>
          </w:tcPr>
          <w:p w14:paraId="2F3A7E78" w14:textId="77777777" w:rsidR="006D6750" w:rsidRDefault="006D6750" w:rsidP="00573EE3">
            <w:pPr>
              <w:jc w:val="both"/>
              <w:rPr>
                <w:rFonts w:asciiTheme="minorHAnsi" w:hAnsiTheme="minorHAnsi"/>
              </w:rPr>
            </w:pPr>
            <w:r>
              <w:rPr>
                <w:rFonts w:asciiTheme="minorHAnsi" w:hAnsiTheme="minorHAnsi"/>
              </w:rPr>
              <w:t>na predlog ministra za gospodarstvo, ministra za finance, ministra za javno zdravje, ministra za pravosodje, ministra za notranje zadeve in državnega sekretarja, pristojnega za državno loterijo, ter ob upoštevanju mnenja ministrov, ki so o tem razpravljali v Svetu,</w:t>
            </w:r>
          </w:p>
          <w:p w14:paraId="69FE2982" w14:textId="4FFFC71A" w:rsidR="008E3CEE" w:rsidRPr="004445F4" w:rsidRDefault="008E3CEE" w:rsidP="00573EE3">
            <w:pPr>
              <w:jc w:val="both"/>
              <w:rPr>
                <w:rFonts w:asciiTheme="minorHAnsi" w:hAnsiTheme="minorHAnsi" w:cstheme="minorHAnsi"/>
                <w:bCs/>
                <w:lang w:val="fr-FR"/>
              </w:rPr>
            </w:pPr>
          </w:p>
        </w:tc>
      </w:tr>
      <w:tr w:rsidR="006D6750" w:rsidRPr="006D6750" w14:paraId="69FE298C" w14:textId="77777777" w:rsidTr="006D6750">
        <w:tc>
          <w:tcPr>
            <w:tcW w:w="5000" w:type="pct"/>
          </w:tcPr>
          <w:p w14:paraId="69FE2987" w14:textId="77777777" w:rsidR="006D6750" w:rsidRPr="004445F4" w:rsidRDefault="006D6750" w:rsidP="00573EE3">
            <w:pPr>
              <w:jc w:val="both"/>
              <w:rPr>
                <w:rFonts w:asciiTheme="minorHAnsi" w:hAnsiTheme="minorHAnsi" w:cstheme="minorHAnsi"/>
                <w:b/>
                <w:bCs/>
              </w:rPr>
            </w:pPr>
            <w:r>
              <w:rPr>
                <w:rFonts w:asciiTheme="minorHAnsi" w:hAnsiTheme="minorHAnsi"/>
                <w:b/>
              </w:rPr>
              <w:t>SE ODREDI NASLEDNJE:</w:t>
            </w:r>
          </w:p>
          <w:p w14:paraId="69FE2988" w14:textId="77777777" w:rsidR="006D6750" w:rsidRPr="004445F4" w:rsidRDefault="006D6750" w:rsidP="00573EE3">
            <w:pPr>
              <w:jc w:val="both"/>
              <w:rPr>
                <w:rFonts w:asciiTheme="minorHAnsi" w:hAnsiTheme="minorHAnsi" w:cstheme="minorHAnsi"/>
                <w:lang w:val="fr-FR"/>
              </w:rPr>
            </w:pPr>
          </w:p>
        </w:tc>
      </w:tr>
      <w:tr w:rsidR="006D6750" w:rsidRPr="006D6750" w14:paraId="69FE299E" w14:textId="77777777" w:rsidTr="006D6750">
        <w:tc>
          <w:tcPr>
            <w:tcW w:w="5000" w:type="pct"/>
          </w:tcPr>
          <w:p w14:paraId="3FB29413" w14:textId="2C05D336" w:rsidR="006D6750" w:rsidRPr="004445F4" w:rsidRDefault="006D6750" w:rsidP="00BC48AD">
            <w:pPr>
              <w:jc w:val="both"/>
              <w:rPr>
                <w:rFonts w:asciiTheme="minorHAnsi" w:hAnsiTheme="minorHAnsi" w:cstheme="minorHAnsi"/>
                <w:b/>
              </w:rPr>
            </w:pPr>
            <w:r>
              <w:rPr>
                <w:rFonts w:asciiTheme="minorHAnsi" w:hAnsiTheme="minorHAnsi"/>
                <w:b/>
              </w:rPr>
              <w:t>POGLAVJE 1 – Postopki za vpogled v centralni kreditni register posameznikov Nacionalne banke Belgije s strani komisije za igre na srečo</w:t>
            </w:r>
          </w:p>
          <w:p w14:paraId="69FE299A" w14:textId="144F4263" w:rsidR="006D6750" w:rsidRPr="004445F4" w:rsidRDefault="006D6750" w:rsidP="00BC48AD">
            <w:pPr>
              <w:jc w:val="both"/>
              <w:rPr>
                <w:rFonts w:asciiTheme="minorHAnsi" w:hAnsiTheme="minorHAnsi" w:cstheme="minorHAnsi"/>
                <w:b/>
                <w:lang w:val="fr-BE"/>
              </w:rPr>
            </w:pPr>
          </w:p>
        </w:tc>
      </w:tr>
      <w:tr w:rsidR="006D6750" w:rsidRPr="004445F4" w14:paraId="59B4219A" w14:textId="77777777" w:rsidTr="006D6750">
        <w:tc>
          <w:tcPr>
            <w:tcW w:w="5000" w:type="pct"/>
          </w:tcPr>
          <w:p w14:paraId="66374E72" w14:textId="77777777" w:rsidR="006D6750" w:rsidRPr="004445F4" w:rsidRDefault="006D6750" w:rsidP="00573EE3">
            <w:pPr>
              <w:pStyle w:val="Heading5"/>
              <w:rPr>
                <w:rFonts w:asciiTheme="minorHAnsi" w:hAnsiTheme="minorHAnsi" w:cstheme="minorHAnsi"/>
              </w:rPr>
            </w:pPr>
            <w:r>
              <w:rPr>
                <w:rFonts w:asciiTheme="minorHAnsi" w:hAnsiTheme="minorHAnsi"/>
              </w:rPr>
              <w:t>Člen 1</w:t>
            </w:r>
          </w:p>
          <w:p w14:paraId="72C95A28" w14:textId="77777777" w:rsidR="006D6750" w:rsidRPr="004445F4" w:rsidRDefault="006D6750" w:rsidP="00573EE3">
            <w:pPr>
              <w:pStyle w:val="Heading5"/>
              <w:rPr>
                <w:rFonts w:asciiTheme="minorHAnsi" w:hAnsiTheme="minorHAnsi" w:cstheme="minorHAnsi"/>
                <w:lang w:val="fr-FR"/>
              </w:rPr>
            </w:pPr>
          </w:p>
        </w:tc>
      </w:tr>
      <w:tr w:rsidR="006D6750" w:rsidRPr="006D6750" w14:paraId="410D1932" w14:textId="77777777" w:rsidTr="006D6750">
        <w:tc>
          <w:tcPr>
            <w:tcW w:w="5000" w:type="pct"/>
          </w:tcPr>
          <w:p w14:paraId="3AACEF6A" w14:textId="15C45F00" w:rsidR="006D6750" w:rsidRPr="00565E6D" w:rsidRDefault="006D6750" w:rsidP="00D31BCD">
            <w:pPr>
              <w:jc w:val="both"/>
              <w:rPr>
                <w:rFonts w:asciiTheme="minorHAnsi" w:hAnsiTheme="minorHAnsi" w:cstheme="minorHAnsi"/>
              </w:rPr>
            </w:pPr>
            <w:r>
              <w:rPr>
                <w:rFonts w:asciiTheme="minorHAnsi" w:hAnsiTheme="minorHAnsi"/>
              </w:rPr>
              <w:t>Vpogled v centralni kreditni register posameznikov Nacionalne banke Belgije s strani komisije za igre na srečo temelji na namenih iz člena 6(1) Kraljeve uredbe z dne 25. oktobra 2018 o načinih prirejanja iger na srečo in stav, ki se izvajajo s pomočjo storitev informacijske družbe.</w:t>
            </w:r>
          </w:p>
        </w:tc>
      </w:tr>
      <w:tr w:rsidR="006D6750" w:rsidRPr="006D6750" w14:paraId="5E681C82" w14:textId="77777777" w:rsidTr="006D6750">
        <w:tc>
          <w:tcPr>
            <w:tcW w:w="5000" w:type="pct"/>
          </w:tcPr>
          <w:p w14:paraId="613AE267" w14:textId="220767F0" w:rsidR="006D6750" w:rsidRPr="006D6750" w:rsidRDefault="006D6750" w:rsidP="00573EE3">
            <w:pPr>
              <w:pStyle w:val="Heading5"/>
              <w:jc w:val="both"/>
              <w:rPr>
                <w:rFonts w:asciiTheme="minorHAnsi" w:hAnsiTheme="minorHAnsi" w:cstheme="minorHAnsi"/>
                <w:b w:val="0"/>
                <w:u w:val="none"/>
                <w:lang w:val="fr-BE"/>
              </w:rPr>
            </w:pPr>
          </w:p>
        </w:tc>
      </w:tr>
      <w:tr w:rsidR="006D6750" w:rsidRPr="004445F4" w14:paraId="74D3E781" w14:textId="77777777" w:rsidTr="006D6750">
        <w:tc>
          <w:tcPr>
            <w:tcW w:w="5000" w:type="pct"/>
          </w:tcPr>
          <w:p w14:paraId="6B060EBB" w14:textId="12C53141" w:rsidR="006D6750" w:rsidRPr="004445F4" w:rsidRDefault="006D6750" w:rsidP="00A910E8">
            <w:pPr>
              <w:keepNext/>
              <w:jc w:val="both"/>
              <w:rPr>
                <w:rFonts w:asciiTheme="minorHAnsi" w:hAnsiTheme="minorHAnsi" w:cstheme="minorHAnsi"/>
                <w:b/>
                <w:u w:val="single"/>
              </w:rPr>
            </w:pPr>
            <w:r>
              <w:rPr>
                <w:rFonts w:asciiTheme="minorHAnsi" w:hAnsiTheme="minorHAnsi"/>
                <w:b/>
                <w:u w:val="single"/>
              </w:rPr>
              <w:t>Člen 2</w:t>
            </w:r>
          </w:p>
          <w:p w14:paraId="2C115128" w14:textId="77777777" w:rsidR="006D6750" w:rsidRPr="004445F4" w:rsidRDefault="006D6750" w:rsidP="00573EE3">
            <w:pPr>
              <w:jc w:val="both"/>
              <w:rPr>
                <w:rFonts w:asciiTheme="minorHAnsi" w:hAnsiTheme="minorHAnsi" w:cstheme="minorHAnsi"/>
                <w:lang w:val="nl-BE"/>
              </w:rPr>
            </w:pPr>
          </w:p>
        </w:tc>
      </w:tr>
      <w:tr w:rsidR="006D6750" w:rsidRPr="006D6750" w14:paraId="5035965D" w14:textId="77777777" w:rsidTr="006D6750">
        <w:tc>
          <w:tcPr>
            <w:tcW w:w="5000" w:type="pct"/>
          </w:tcPr>
          <w:p w14:paraId="2A9C66C1" w14:textId="432D4B3A" w:rsidR="006D6750" w:rsidRPr="004445F4" w:rsidRDefault="006D6750" w:rsidP="00573EE3">
            <w:pPr>
              <w:jc w:val="both"/>
              <w:rPr>
                <w:rFonts w:asciiTheme="minorHAnsi" w:hAnsiTheme="minorHAnsi" w:cstheme="minorHAnsi"/>
              </w:rPr>
            </w:pPr>
            <w:r>
              <w:rPr>
                <w:rFonts w:asciiTheme="minorHAnsi" w:hAnsiTheme="minorHAnsi"/>
              </w:rPr>
              <w:t xml:space="preserve">Nacionalna banka Belgije določi tehnične postopke za vpogled v centralni kreditni register posameznikov Nacionalne banke Belgije s strani komisije za igre na srečo. </w:t>
            </w:r>
          </w:p>
          <w:p w14:paraId="15CF00B9" w14:textId="77777777" w:rsidR="006D6750" w:rsidRPr="004445F4" w:rsidRDefault="006D6750" w:rsidP="00573EE3">
            <w:pPr>
              <w:jc w:val="both"/>
              <w:rPr>
                <w:rFonts w:asciiTheme="minorHAnsi" w:hAnsiTheme="minorHAnsi" w:cstheme="minorHAnsi"/>
                <w:b/>
                <w:u w:val="single"/>
                <w:lang w:val="fr-FR"/>
              </w:rPr>
            </w:pPr>
          </w:p>
        </w:tc>
      </w:tr>
      <w:tr w:rsidR="006D6750" w:rsidRPr="004445F4" w14:paraId="25AB1968" w14:textId="77777777" w:rsidTr="006D6750">
        <w:tc>
          <w:tcPr>
            <w:tcW w:w="5000" w:type="pct"/>
          </w:tcPr>
          <w:p w14:paraId="1A635219" w14:textId="63BB25AB" w:rsidR="006D6750" w:rsidRPr="004445F4" w:rsidRDefault="006D6750" w:rsidP="00573EE3">
            <w:pPr>
              <w:jc w:val="both"/>
              <w:rPr>
                <w:rFonts w:asciiTheme="minorHAnsi" w:hAnsiTheme="minorHAnsi" w:cstheme="minorHAnsi"/>
                <w:b/>
                <w:u w:val="single"/>
              </w:rPr>
            </w:pPr>
            <w:r>
              <w:rPr>
                <w:rFonts w:asciiTheme="minorHAnsi" w:hAnsiTheme="minorHAnsi"/>
                <w:b/>
                <w:u w:val="single"/>
              </w:rPr>
              <w:t xml:space="preserve">Člen 3 </w:t>
            </w:r>
          </w:p>
          <w:p w14:paraId="7EF8643B" w14:textId="77777777" w:rsidR="006D6750" w:rsidRPr="004445F4" w:rsidRDefault="006D6750" w:rsidP="00573EE3">
            <w:pPr>
              <w:jc w:val="both"/>
              <w:rPr>
                <w:rFonts w:asciiTheme="minorHAnsi" w:hAnsiTheme="minorHAnsi" w:cstheme="minorHAnsi"/>
                <w:b/>
                <w:u w:val="single"/>
                <w:lang w:val="nl-BE"/>
              </w:rPr>
            </w:pPr>
          </w:p>
        </w:tc>
      </w:tr>
      <w:tr w:rsidR="006D6750" w:rsidRPr="006D6750" w14:paraId="6CF4AEC0" w14:textId="77777777" w:rsidTr="006D6750">
        <w:tc>
          <w:tcPr>
            <w:tcW w:w="5000" w:type="pct"/>
          </w:tcPr>
          <w:p w14:paraId="5C0796E6" w14:textId="5567999E" w:rsidR="006D6750" w:rsidRPr="00565E6D" w:rsidRDefault="006D6750" w:rsidP="00E703FB">
            <w:pPr>
              <w:jc w:val="both"/>
              <w:rPr>
                <w:rFonts w:asciiTheme="minorHAnsi" w:hAnsiTheme="minorHAnsi" w:cstheme="minorHAnsi"/>
              </w:rPr>
            </w:pPr>
            <w:r>
              <w:rPr>
                <w:rFonts w:asciiTheme="minorHAnsi" w:hAnsiTheme="minorHAnsi"/>
              </w:rPr>
              <w:t>Oddelek 1. Identifikacijski podatki</w:t>
            </w:r>
            <w:r>
              <w:t xml:space="preserve"> igralcev</w:t>
            </w:r>
            <w:r>
              <w:rPr>
                <w:rFonts w:asciiTheme="minorHAnsi" w:hAnsiTheme="minorHAnsi"/>
              </w:rPr>
              <w:t>, ki ne izpolnjujejo svojih plačilnih obveznosti v smislu člena VII.148 Zakonika o gospodarskem pravu, se lahko posredujejo Nacionalni banki Belgije, ki v centralnem kreditnem registru posameznikov preveri, ali igralec izpolnjuje svoje plačilne obveznosti.</w:t>
            </w:r>
          </w:p>
          <w:p w14:paraId="3495578E" w14:textId="2EEE5299" w:rsidR="006D6750" w:rsidRPr="00565E6D" w:rsidRDefault="006D6750" w:rsidP="002C2588">
            <w:pPr>
              <w:jc w:val="both"/>
              <w:rPr>
                <w:rFonts w:asciiTheme="minorHAnsi" w:hAnsiTheme="minorHAnsi" w:cstheme="minorHAnsi"/>
                <w:lang w:val="fr-FR"/>
              </w:rPr>
            </w:pPr>
          </w:p>
        </w:tc>
      </w:tr>
      <w:tr w:rsidR="006D6750" w:rsidRPr="006D6750" w14:paraId="6C08B47A" w14:textId="77777777" w:rsidTr="006D6750">
        <w:tc>
          <w:tcPr>
            <w:tcW w:w="5000" w:type="pct"/>
          </w:tcPr>
          <w:p w14:paraId="05C69597" w14:textId="77777777" w:rsidR="006D6750" w:rsidRPr="00565E6D" w:rsidRDefault="006D6750" w:rsidP="002C2588">
            <w:pPr>
              <w:jc w:val="both"/>
              <w:rPr>
                <w:rFonts w:asciiTheme="minorHAnsi" w:hAnsiTheme="minorHAnsi" w:cstheme="minorHAnsi"/>
              </w:rPr>
            </w:pPr>
            <w:r>
              <w:rPr>
                <w:rFonts w:asciiTheme="minorHAnsi" w:hAnsiTheme="minorHAnsi"/>
              </w:rPr>
              <w:t>Identifikacijski podatki iz prvega pododstavka vključujejo:</w:t>
            </w:r>
          </w:p>
          <w:p w14:paraId="2E81CB1F" w14:textId="77777777" w:rsidR="006D6750" w:rsidRPr="00565E6D" w:rsidRDefault="006D6750" w:rsidP="00E703FB">
            <w:pPr>
              <w:jc w:val="both"/>
              <w:rPr>
                <w:rFonts w:asciiTheme="minorHAnsi" w:hAnsiTheme="minorHAnsi" w:cstheme="minorHAnsi"/>
                <w:lang w:val="fr-FR"/>
              </w:rPr>
            </w:pPr>
          </w:p>
        </w:tc>
      </w:tr>
      <w:tr w:rsidR="006D6750" w:rsidRPr="006D6750" w14:paraId="0B4AF87D" w14:textId="77777777" w:rsidTr="006D6750">
        <w:tc>
          <w:tcPr>
            <w:tcW w:w="5000" w:type="pct"/>
          </w:tcPr>
          <w:p w14:paraId="45791653" w14:textId="77777777" w:rsidR="006D6750" w:rsidRPr="00565E6D" w:rsidRDefault="006D6750" w:rsidP="002C2588">
            <w:pPr>
              <w:jc w:val="both"/>
              <w:rPr>
                <w:rFonts w:asciiTheme="minorHAnsi" w:hAnsiTheme="minorHAnsi" w:cstheme="minorHAnsi"/>
              </w:rPr>
            </w:pPr>
            <w:r>
              <w:rPr>
                <w:rFonts w:asciiTheme="minorHAnsi" w:hAnsiTheme="minorHAnsi"/>
              </w:rPr>
              <w:t xml:space="preserve">1. nacionalno registracijsko številko igralca, če jo pridobitelju licence pozna; </w:t>
            </w:r>
          </w:p>
          <w:p w14:paraId="7F669882" w14:textId="77777777" w:rsidR="006D6750" w:rsidRPr="00565E6D" w:rsidRDefault="006D6750" w:rsidP="00E703FB">
            <w:pPr>
              <w:jc w:val="both"/>
              <w:rPr>
                <w:rFonts w:asciiTheme="minorHAnsi" w:hAnsiTheme="minorHAnsi" w:cstheme="minorHAnsi"/>
                <w:lang w:val="fr-FR"/>
              </w:rPr>
            </w:pPr>
          </w:p>
        </w:tc>
      </w:tr>
      <w:tr w:rsidR="006D6750" w:rsidRPr="006D6750" w14:paraId="1E14614F" w14:textId="77777777" w:rsidTr="006D6750">
        <w:tc>
          <w:tcPr>
            <w:tcW w:w="5000" w:type="pct"/>
          </w:tcPr>
          <w:p w14:paraId="7E81FD9F" w14:textId="77777777" w:rsidR="006D6750" w:rsidRPr="00565E6D" w:rsidRDefault="006D6750" w:rsidP="002C2588">
            <w:pPr>
              <w:jc w:val="both"/>
              <w:rPr>
                <w:rFonts w:asciiTheme="minorHAnsi" w:hAnsiTheme="minorHAnsi" w:cstheme="minorHAnsi"/>
              </w:rPr>
            </w:pPr>
            <w:r>
              <w:rPr>
                <w:rFonts w:asciiTheme="minorHAnsi" w:hAnsiTheme="minorHAnsi"/>
              </w:rPr>
              <w:t>2. priimek, ime in datum rojstva v primeru, da pridobitelj licence nacionalne registracijske številke igralca ne pozna.</w:t>
            </w:r>
          </w:p>
          <w:p w14:paraId="798400C1" w14:textId="77777777" w:rsidR="006D6750" w:rsidRPr="00565E6D" w:rsidRDefault="006D6750" w:rsidP="00E703FB">
            <w:pPr>
              <w:jc w:val="both"/>
              <w:rPr>
                <w:rFonts w:asciiTheme="minorHAnsi" w:hAnsiTheme="minorHAnsi" w:cstheme="minorHAnsi"/>
                <w:lang w:val="fr-FR"/>
              </w:rPr>
            </w:pPr>
          </w:p>
        </w:tc>
      </w:tr>
      <w:tr w:rsidR="006D6750" w:rsidRPr="006D6750" w14:paraId="0823AAD0" w14:textId="77777777" w:rsidTr="006D6750">
        <w:tc>
          <w:tcPr>
            <w:tcW w:w="5000" w:type="pct"/>
          </w:tcPr>
          <w:p w14:paraId="76713262" w14:textId="77777777" w:rsidR="006D6750" w:rsidRPr="006D6750" w:rsidRDefault="006D6750" w:rsidP="00095C9F">
            <w:pPr>
              <w:jc w:val="both"/>
              <w:rPr>
                <w:rFonts w:asciiTheme="minorHAnsi" w:hAnsiTheme="minorHAnsi" w:cstheme="minorHAnsi"/>
                <w:lang w:val="fr-BE"/>
              </w:rPr>
            </w:pPr>
          </w:p>
        </w:tc>
      </w:tr>
      <w:tr w:rsidR="006D6750" w:rsidRPr="006D6750" w14:paraId="5CFE6D61" w14:textId="77777777" w:rsidTr="006D6750">
        <w:tc>
          <w:tcPr>
            <w:tcW w:w="5000" w:type="pct"/>
          </w:tcPr>
          <w:p w14:paraId="68D2BA3B" w14:textId="6BFA1CF3" w:rsidR="006D6750" w:rsidRPr="004445F4" w:rsidRDefault="006D6750" w:rsidP="00DA1D75">
            <w:pPr>
              <w:jc w:val="both"/>
              <w:rPr>
                <w:rFonts w:asciiTheme="minorHAnsi" w:hAnsiTheme="minorHAnsi" w:cstheme="minorHAnsi"/>
              </w:rPr>
            </w:pPr>
            <w:r>
              <w:rPr>
                <w:rFonts w:asciiTheme="minorHAnsi" w:hAnsiTheme="minorHAnsi"/>
              </w:rPr>
              <w:t>Podatki o evidentiranih posojilih se ne posredujejo.</w:t>
            </w:r>
          </w:p>
        </w:tc>
      </w:tr>
      <w:tr w:rsidR="006D6750" w:rsidRPr="006D6750" w14:paraId="4E0E95DE" w14:textId="77777777" w:rsidTr="006D6750">
        <w:tc>
          <w:tcPr>
            <w:tcW w:w="5000" w:type="pct"/>
          </w:tcPr>
          <w:p w14:paraId="41571734" w14:textId="4521FA8F" w:rsidR="006D6750" w:rsidRPr="00565E6D" w:rsidRDefault="006D6750" w:rsidP="00095C9F">
            <w:pPr>
              <w:jc w:val="both"/>
              <w:rPr>
                <w:rFonts w:asciiTheme="minorHAnsi" w:hAnsiTheme="minorHAnsi" w:cstheme="minorHAnsi"/>
              </w:rPr>
            </w:pPr>
            <w:r>
              <w:rPr>
                <w:rFonts w:asciiTheme="minorHAnsi" w:hAnsiTheme="minorHAnsi"/>
              </w:rPr>
              <w:t>Oddelek 2. Nacionalna registracijska številka igralca se uporablja izključno za preverjanje, ali igralec izpolnjuje svoje plačilne obveznosti, v centralnem kreditnem registru posameznikov.</w:t>
            </w:r>
          </w:p>
          <w:p w14:paraId="75D3FE2F" w14:textId="77777777" w:rsidR="006D6750" w:rsidRPr="00565E6D" w:rsidRDefault="006D6750" w:rsidP="00DA1D75">
            <w:pPr>
              <w:jc w:val="both"/>
              <w:rPr>
                <w:rFonts w:asciiTheme="minorHAnsi" w:hAnsiTheme="minorHAnsi" w:cstheme="minorHAnsi"/>
                <w:lang w:val="fr-BE"/>
              </w:rPr>
            </w:pPr>
          </w:p>
        </w:tc>
      </w:tr>
      <w:tr w:rsidR="006D6750" w:rsidRPr="006D6750" w14:paraId="06070F40" w14:textId="77777777" w:rsidTr="006D6750">
        <w:tc>
          <w:tcPr>
            <w:tcW w:w="5000" w:type="pct"/>
          </w:tcPr>
          <w:p w14:paraId="4C79E482" w14:textId="28357319" w:rsidR="006D6750" w:rsidRPr="00565E6D" w:rsidRDefault="006D6750" w:rsidP="00DA1D75">
            <w:pPr>
              <w:jc w:val="both"/>
              <w:rPr>
                <w:rFonts w:asciiTheme="minorHAnsi" w:hAnsiTheme="minorHAnsi" w:cstheme="minorHAnsi"/>
              </w:rPr>
            </w:pPr>
            <w:r>
              <w:rPr>
                <w:rFonts w:asciiTheme="minorHAnsi" w:hAnsiTheme="minorHAnsi"/>
              </w:rPr>
              <w:t>Komisija za igre na srečo je na podlagi namenov iz člena 6(1) Kraljeve uredbe z dne 25. oktobra 2018 o načinih prirejanja iger na srečo in stav, ki se izvajajo s pomočjo storitev informacijske družbe, pooblaščena, da uporabi nacionalno registracijsko številko kot iskalno merilo v centralnem kreditnem registru posameznikov Nacionalne banke Belgije.</w:t>
            </w:r>
          </w:p>
          <w:p w14:paraId="31254EEA" w14:textId="77777777" w:rsidR="006D6750" w:rsidRPr="00565E6D" w:rsidDel="008C4A7C" w:rsidRDefault="006D6750" w:rsidP="00DA1D75">
            <w:pPr>
              <w:jc w:val="both"/>
              <w:rPr>
                <w:rFonts w:asciiTheme="minorHAnsi" w:hAnsiTheme="minorHAnsi" w:cstheme="minorHAnsi"/>
                <w:lang w:val="fr-FR"/>
              </w:rPr>
            </w:pPr>
          </w:p>
        </w:tc>
      </w:tr>
      <w:tr w:rsidR="006D6750" w:rsidRPr="006D6750" w14:paraId="4E6B106E" w14:textId="77777777" w:rsidTr="006D6750">
        <w:tc>
          <w:tcPr>
            <w:tcW w:w="5000" w:type="pct"/>
          </w:tcPr>
          <w:p w14:paraId="0E222FC3" w14:textId="68E386F9" w:rsidR="006D6750" w:rsidRPr="00565E6D" w:rsidRDefault="006D6750" w:rsidP="00DA1D75">
            <w:pPr>
              <w:jc w:val="both"/>
              <w:rPr>
                <w:rFonts w:asciiTheme="minorHAnsi" w:hAnsiTheme="minorHAnsi" w:cstheme="minorHAnsi"/>
              </w:rPr>
            </w:pPr>
            <w:r>
              <w:rPr>
                <w:rFonts w:asciiTheme="minorHAnsi" w:hAnsiTheme="minorHAnsi"/>
              </w:rPr>
              <w:t>Ob predložitvi zahteve za zvišanje omejitve za igre na srečo komisiji za igre na srečo pridobitelji licenc razreda A+, B+ ali F1+ pridobijo nacionalno registracijsko številko igralca in jo sporočijo komisiji za igre na srečo.</w:t>
            </w:r>
          </w:p>
        </w:tc>
      </w:tr>
      <w:tr w:rsidR="006D6750" w:rsidRPr="006D6750" w14:paraId="05B3D863" w14:textId="77777777" w:rsidTr="006D6750">
        <w:tc>
          <w:tcPr>
            <w:tcW w:w="5000" w:type="pct"/>
          </w:tcPr>
          <w:p w14:paraId="2FFA6633" w14:textId="381C5FA6" w:rsidR="006D6750" w:rsidRPr="006D6750" w:rsidRDefault="006D6750" w:rsidP="00DA1D75">
            <w:pPr>
              <w:jc w:val="both"/>
              <w:rPr>
                <w:rFonts w:asciiTheme="minorHAnsi" w:hAnsiTheme="minorHAnsi" w:cstheme="minorHAnsi"/>
                <w:highlight w:val="yellow"/>
                <w:lang w:val="fr-BE"/>
              </w:rPr>
            </w:pPr>
          </w:p>
        </w:tc>
      </w:tr>
      <w:tr w:rsidR="006D6750" w:rsidRPr="004445F4" w14:paraId="52185598" w14:textId="77777777" w:rsidTr="006D6750">
        <w:tc>
          <w:tcPr>
            <w:tcW w:w="5000" w:type="pct"/>
          </w:tcPr>
          <w:p w14:paraId="1B4F08F6" w14:textId="7C9C1075" w:rsidR="006D6750" w:rsidRPr="00565E6D" w:rsidRDefault="006D6750" w:rsidP="00DA1D75">
            <w:pPr>
              <w:jc w:val="both"/>
              <w:rPr>
                <w:rFonts w:asciiTheme="minorHAnsi" w:hAnsiTheme="minorHAnsi" w:cstheme="minorHAnsi"/>
                <w:b/>
                <w:u w:val="single"/>
              </w:rPr>
            </w:pPr>
            <w:r>
              <w:rPr>
                <w:rFonts w:asciiTheme="minorHAnsi" w:hAnsiTheme="minorHAnsi"/>
                <w:b/>
                <w:u w:val="single"/>
              </w:rPr>
              <w:t>Člen 4</w:t>
            </w:r>
          </w:p>
          <w:p w14:paraId="51967E00" w14:textId="7A153995" w:rsidR="006D6750" w:rsidRPr="00565E6D" w:rsidRDefault="006D6750" w:rsidP="00DA1D75">
            <w:pPr>
              <w:jc w:val="both"/>
              <w:rPr>
                <w:rFonts w:asciiTheme="minorHAnsi" w:hAnsiTheme="minorHAnsi" w:cstheme="minorHAnsi"/>
                <w:b/>
                <w:u w:val="single"/>
                <w:lang w:val="fr-BE"/>
              </w:rPr>
            </w:pPr>
          </w:p>
        </w:tc>
      </w:tr>
      <w:tr w:rsidR="006D6750" w:rsidRPr="006D6750" w14:paraId="5D5145E8" w14:textId="77777777" w:rsidTr="006D6750">
        <w:tc>
          <w:tcPr>
            <w:tcW w:w="5000" w:type="pct"/>
          </w:tcPr>
          <w:p w14:paraId="7C17CA52" w14:textId="6F0995A7" w:rsidR="006D6750" w:rsidRPr="00565E6D" w:rsidRDefault="006D6750" w:rsidP="00DA1D75">
            <w:pPr>
              <w:jc w:val="both"/>
              <w:rPr>
                <w:rFonts w:asciiTheme="minorHAnsi" w:hAnsiTheme="minorHAnsi" w:cstheme="minorHAnsi"/>
              </w:rPr>
            </w:pPr>
            <w:r>
              <w:rPr>
                <w:rFonts w:asciiTheme="minorHAnsi" w:hAnsiTheme="minorHAnsi"/>
              </w:rPr>
              <w:t>Komisija za igre na srečo hrani nacionalno registracijsko številko ali identifikacijske podatke igralca iz člena 4 za obdobje, ki je potrebno za mesečno preverjanje izpolnjevanja pogojev dovoljenja za zvišanje omejitve za igre na srečo.</w:t>
            </w:r>
          </w:p>
          <w:p w14:paraId="41E8D6AC" w14:textId="77777777" w:rsidR="006D6750" w:rsidRPr="00565E6D" w:rsidRDefault="006D6750" w:rsidP="00DA1D75">
            <w:pPr>
              <w:jc w:val="both"/>
              <w:rPr>
                <w:rFonts w:asciiTheme="minorHAnsi" w:hAnsiTheme="minorHAnsi" w:cstheme="minorHAnsi"/>
                <w:b/>
                <w:u w:val="single"/>
                <w:lang w:val="fr-BE"/>
              </w:rPr>
            </w:pPr>
          </w:p>
        </w:tc>
      </w:tr>
      <w:tr w:rsidR="006D6750" w:rsidRPr="004445F4" w14:paraId="6DB980FD" w14:textId="77777777" w:rsidTr="006D6750">
        <w:tc>
          <w:tcPr>
            <w:tcW w:w="5000" w:type="pct"/>
          </w:tcPr>
          <w:p w14:paraId="0395A791" w14:textId="77777777" w:rsidR="006D6750" w:rsidRPr="00565E6D" w:rsidRDefault="006D6750" w:rsidP="00DA1D75">
            <w:pPr>
              <w:jc w:val="both"/>
              <w:rPr>
                <w:rFonts w:asciiTheme="minorHAnsi" w:hAnsiTheme="minorHAnsi" w:cstheme="minorHAnsi"/>
                <w:b/>
                <w:u w:val="single"/>
              </w:rPr>
            </w:pPr>
            <w:r>
              <w:rPr>
                <w:rFonts w:asciiTheme="minorHAnsi" w:hAnsiTheme="minorHAnsi"/>
                <w:b/>
                <w:u w:val="single"/>
              </w:rPr>
              <w:t>Člen 5</w:t>
            </w:r>
          </w:p>
          <w:p w14:paraId="41AB2BF1" w14:textId="0655E699" w:rsidR="006D6750" w:rsidRPr="00565E6D" w:rsidRDefault="006D6750" w:rsidP="00DA1D75">
            <w:pPr>
              <w:jc w:val="both"/>
              <w:rPr>
                <w:rFonts w:asciiTheme="minorHAnsi" w:hAnsiTheme="minorHAnsi" w:cstheme="minorHAnsi"/>
                <w:b/>
                <w:u w:val="single"/>
                <w:lang w:val="fr-BE"/>
              </w:rPr>
            </w:pPr>
          </w:p>
        </w:tc>
      </w:tr>
      <w:tr w:rsidR="006D6750" w:rsidRPr="006D6750" w14:paraId="3468D20D" w14:textId="77777777" w:rsidTr="006D6750">
        <w:tc>
          <w:tcPr>
            <w:tcW w:w="5000" w:type="pct"/>
          </w:tcPr>
          <w:p w14:paraId="618F0761" w14:textId="56C6EFB9" w:rsidR="006D6750" w:rsidRPr="00565E6D" w:rsidRDefault="006D6750" w:rsidP="00DA1D75">
            <w:pPr>
              <w:jc w:val="both"/>
              <w:rPr>
                <w:rFonts w:asciiTheme="minorHAnsi" w:hAnsiTheme="minorHAnsi" w:cstheme="minorHAnsi"/>
              </w:rPr>
            </w:pPr>
            <w:r>
              <w:rPr>
                <w:rFonts w:asciiTheme="minorHAnsi" w:hAnsiTheme="minorHAnsi"/>
              </w:rPr>
              <w:t xml:space="preserve">Oddelek 1. Komisija za igre na srečo ustvari dnevniške datoteke o vpogledih v centralni kreditni register posameznikov Nacionalne banke Belgije. </w:t>
            </w:r>
          </w:p>
          <w:p w14:paraId="50470140" w14:textId="784796E1" w:rsidR="006D6750" w:rsidRPr="00565E6D" w:rsidRDefault="006D6750" w:rsidP="00DA1D75">
            <w:pPr>
              <w:jc w:val="both"/>
              <w:rPr>
                <w:rFonts w:asciiTheme="minorHAnsi" w:hAnsiTheme="minorHAnsi" w:cstheme="minorHAnsi"/>
                <w:lang w:val="fr-BE"/>
              </w:rPr>
            </w:pPr>
          </w:p>
        </w:tc>
      </w:tr>
      <w:tr w:rsidR="006D6750" w:rsidRPr="006D6750" w14:paraId="639284BB" w14:textId="77777777" w:rsidTr="006D6750">
        <w:tc>
          <w:tcPr>
            <w:tcW w:w="5000" w:type="pct"/>
          </w:tcPr>
          <w:p w14:paraId="683F7EA4" w14:textId="05AB456F" w:rsidR="006D6750" w:rsidRPr="00565E6D" w:rsidRDefault="006D6750" w:rsidP="00DA1D75">
            <w:pPr>
              <w:jc w:val="both"/>
              <w:rPr>
                <w:rFonts w:asciiTheme="minorHAnsi" w:hAnsiTheme="minorHAnsi" w:cstheme="minorHAnsi"/>
              </w:rPr>
            </w:pPr>
            <w:r>
              <w:rPr>
                <w:rFonts w:asciiTheme="minorHAnsi" w:hAnsiTheme="minorHAnsi"/>
              </w:rPr>
              <w:t>Te dnevniške datoteke o vpogledih se uporabljajo za:</w:t>
            </w:r>
          </w:p>
          <w:p w14:paraId="71096EB1" w14:textId="77777777" w:rsidR="006D6750" w:rsidRPr="00565E6D" w:rsidRDefault="006D6750" w:rsidP="00DA1D75">
            <w:pPr>
              <w:jc w:val="both"/>
              <w:rPr>
                <w:rFonts w:asciiTheme="minorHAnsi" w:hAnsiTheme="minorHAnsi" w:cstheme="minorHAnsi"/>
                <w:lang w:val="fr-BE"/>
              </w:rPr>
            </w:pPr>
          </w:p>
        </w:tc>
      </w:tr>
      <w:tr w:rsidR="006D6750" w:rsidRPr="006D6750" w14:paraId="3485DDC6" w14:textId="77777777" w:rsidTr="006D6750">
        <w:tc>
          <w:tcPr>
            <w:tcW w:w="5000" w:type="pct"/>
          </w:tcPr>
          <w:p w14:paraId="7D1CCAA9" w14:textId="26669351" w:rsidR="006D6750" w:rsidRPr="00565E6D" w:rsidRDefault="006D6750" w:rsidP="00DA1D75">
            <w:pPr>
              <w:jc w:val="both"/>
              <w:rPr>
                <w:rFonts w:asciiTheme="minorHAnsi" w:hAnsiTheme="minorHAnsi" w:cstheme="minorHAnsi"/>
              </w:rPr>
            </w:pPr>
            <w:r>
              <w:rPr>
                <w:rFonts w:asciiTheme="minorHAnsi" w:hAnsiTheme="minorHAnsi"/>
              </w:rPr>
              <w:t>1. opredelitev datuma in časa vpogleda;</w:t>
            </w:r>
          </w:p>
          <w:p w14:paraId="69473C33" w14:textId="77777777" w:rsidR="006D6750" w:rsidRPr="00565E6D" w:rsidRDefault="006D6750" w:rsidP="00DA1D75">
            <w:pPr>
              <w:jc w:val="both"/>
              <w:rPr>
                <w:rFonts w:asciiTheme="minorHAnsi" w:hAnsiTheme="minorHAnsi" w:cstheme="minorHAnsi"/>
                <w:lang w:val="fr-BE"/>
              </w:rPr>
            </w:pPr>
          </w:p>
        </w:tc>
      </w:tr>
      <w:tr w:rsidR="006D6750" w:rsidRPr="006D6750" w14:paraId="2351AB13" w14:textId="77777777" w:rsidTr="006D6750">
        <w:tc>
          <w:tcPr>
            <w:tcW w:w="5000" w:type="pct"/>
          </w:tcPr>
          <w:p w14:paraId="72F1E742" w14:textId="358764DC" w:rsidR="006D6750" w:rsidRPr="00565E6D" w:rsidRDefault="006D6750" w:rsidP="00DA1D75">
            <w:pPr>
              <w:jc w:val="both"/>
              <w:rPr>
                <w:rFonts w:asciiTheme="minorHAnsi" w:hAnsiTheme="minorHAnsi" w:cstheme="minorHAnsi"/>
              </w:rPr>
            </w:pPr>
            <w:r>
              <w:rPr>
                <w:rFonts w:asciiTheme="minorHAnsi" w:hAnsiTheme="minorHAnsi"/>
              </w:rPr>
              <w:lastRenderedPageBreak/>
              <w:t>2. identifikacijo posameznega uporabnika ali, če to ni mogoče, procesa ali sistema, ki je dostopal do podatkov;</w:t>
            </w:r>
          </w:p>
          <w:p w14:paraId="42E9EAC8" w14:textId="77777777" w:rsidR="006D6750" w:rsidRPr="00565E6D" w:rsidRDefault="006D6750" w:rsidP="00DA1D75">
            <w:pPr>
              <w:jc w:val="both"/>
              <w:rPr>
                <w:rFonts w:asciiTheme="minorHAnsi" w:hAnsiTheme="minorHAnsi" w:cstheme="minorHAnsi"/>
                <w:lang w:val="fr-BE"/>
              </w:rPr>
            </w:pPr>
          </w:p>
        </w:tc>
      </w:tr>
      <w:tr w:rsidR="006D6750" w:rsidRPr="004445F4" w14:paraId="06ADDE02" w14:textId="77777777" w:rsidTr="006D6750">
        <w:tc>
          <w:tcPr>
            <w:tcW w:w="5000" w:type="pct"/>
          </w:tcPr>
          <w:p w14:paraId="13F39EBB" w14:textId="77777777" w:rsidR="006D6750" w:rsidRPr="00565E6D" w:rsidRDefault="006D6750" w:rsidP="00DA1D75">
            <w:pPr>
              <w:jc w:val="both"/>
              <w:rPr>
                <w:rFonts w:asciiTheme="minorHAnsi" w:hAnsiTheme="minorHAnsi" w:cstheme="minorHAnsi"/>
              </w:rPr>
            </w:pPr>
            <w:r>
              <w:rPr>
                <w:rFonts w:asciiTheme="minorHAnsi" w:hAnsiTheme="minorHAnsi"/>
              </w:rPr>
              <w:t xml:space="preserve">3. opredelitev vrste zahtevka; </w:t>
            </w:r>
          </w:p>
          <w:p w14:paraId="749E7490" w14:textId="45D3BBAC" w:rsidR="006D6750" w:rsidRPr="00565E6D" w:rsidRDefault="006D6750" w:rsidP="00DA1D75">
            <w:pPr>
              <w:jc w:val="both"/>
              <w:rPr>
                <w:rFonts w:asciiTheme="minorHAnsi" w:hAnsiTheme="minorHAnsi" w:cstheme="minorHAnsi"/>
              </w:rPr>
            </w:pPr>
          </w:p>
        </w:tc>
      </w:tr>
      <w:tr w:rsidR="006D6750" w:rsidRPr="006D6750" w14:paraId="72FBC45E" w14:textId="77777777" w:rsidTr="006D6750">
        <w:tc>
          <w:tcPr>
            <w:tcW w:w="5000" w:type="pct"/>
          </w:tcPr>
          <w:p w14:paraId="7AFD0FE6" w14:textId="77777777" w:rsidR="006D6750" w:rsidRPr="00565E6D" w:rsidRDefault="006D6750" w:rsidP="00DA1D75">
            <w:pPr>
              <w:jc w:val="both"/>
              <w:rPr>
                <w:rFonts w:asciiTheme="minorHAnsi" w:hAnsiTheme="minorHAnsi" w:cstheme="minorHAnsi"/>
              </w:rPr>
            </w:pPr>
            <w:r>
              <w:rPr>
                <w:rFonts w:asciiTheme="minorHAnsi" w:hAnsiTheme="minorHAnsi"/>
              </w:rPr>
              <w:t>4. opredelitev namena vpogleda.</w:t>
            </w:r>
          </w:p>
          <w:p w14:paraId="061E65D0" w14:textId="77777777" w:rsidR="006D6750" w:rsidRPr="00565E6D" w:rsidRDefault="006D6750" w:rsidP="00DA1D75">
            <w:pPr>
              <w:jc w:val="both"/>
              <w:rPr>
                <w:rFonts w:asciiTheme="minorHAnsi" w:hAnsiTheme="minorHAnsi" w:cstheme="minorHAnsi"/>
                <w:lang w:val="fr-BE"/>
              </w:rPr>
            </w:pPr>
          </w:p>
        </w:tc>
      </w:tr>
      <w:tr w:rsidR="006D6750" w:rsidRPr="006D6750" w14:paraId="78BF45AE" w14:textId="77777777" w:rsidTr="006D6750">
        <w:tc>
          <w:tcPr>
            <w:tcW w:w="5000" w:type="pct"/>
          </w:tcPr>
          <w:p w14:paraId="31058F53" w14:textId="4F080699" w:rsidR="006D6750" w:rsidRPr="00565E6D" w:rsidRDefault="006D6750" w:rsidP="00DA1D75">
            <w:pPr>
              <w:jc w:val="both"/>
              <w:rPr>
                <w:rFonts w:asciiTheme="minorHAnsi" w:hAnsiTheme="minorHAnsi" w:cstheme="minorHAnsi"/>
              </w:rPr>
            </w:pPr>
            <w:r>
              <w:rPr>
                <w:rFonts w:asciiTheme="minorHAnsi" w:hAnsiTheme="minorHAnsi"/>
              </w:rPr>
              <w:t>Oddelek 2. Nacionalna banka Belgije ustvari dnevniške datoteke za:</w:t>
            </w:r>
          </w:p>
          <w:p w14:paraId="31972E44" w14:textId="77777777" w:rsidR="006D6750" w:rsidRPr="00565E6D" w:rsidRDefault="006D6750" w:rsidP="00DA1D75">
            <w:pPr>
              <w:jc w:val="both"/>
              <w:rPr>
                <w:rFonts w:asciiTheme="minorHAnsi" w:hAnsiTheme="minorHAnsi" w:cstheme="minorHAnsi"/>
                <w:lang w:val="fr-BE"/>
              </w:rPr>
            </w:pPr>
          </w:p>
        </w:tc>
      </w:tr>
      <w:tr w:rsidR="006D6750" w:rsidRPr="006D6750" w14:paraId="1B061C40" w14:textId="77777777" w:rsidTr="006D6750">
        <w:tc>
          <w:tcPr>
            <w:tcW w:w="5000" w:type="pct"/>
          </w:tcPr>
          <w:p w14:paraId="7A3E5BA4" w14:textId="77777777" w:rsidR="006D6750" w:rsidRPr="00565E6D" w:rsidRDefault="006D6750" w:rsidP="00DA1D75">
            <w:pPr>
              <w:jc w:val="both"/>
              <w:rPr>
                <w:rFonts w:asciiTheme="minorHAnsi" w:hAnsiTheme="minorHAnsi" w:cstheme="minorHAnsi"/>
              </w:rPr>
            </w:pPr>
            <w:r>
              <w:rPr>
                <w:rFonts w:asciiTheme="minorHAnsi" w:hAnsiTheme="minorHAnsi"/>
              </w:rPr>
              <w:t xml:space="preserve">1. identifikacijo uporabnika, ki je dostopal do podatkov ali bil z njimi seznanjen; </w:t>
            </w:r>
          </w:p>
          <w:p w14:paraId="509228AE" w14:textId="77777777" w:rsidR="006D6750" w:rsidRPr="00565E6D" w:rsidRDefault="006D6750" w:rsidP="00DA1D75">
            <w:pPr>
              <w:jc w:val="both"/>
              <w:rPr>
                <w:rFonts w:asciiTheme="minorHAnsi" w:hAnsiTheme="minorHAnsi" w:cstheme="minorHAnsi"/>
                <w:lang w:val="fr-BE"/>
              </w:rPr>
            </w:pPr>
          </w:p>
        </w:tc>
      </w:tr>
      <w:tr w:rsidR="006D6750" w:rsidRPr="006D6750" w14:paraId="34CE527C" w14:textId="77777777" w:rsidTr="006D6750">
        <w:tc>
          <w:tcPr>
            <w:tcW w:w="5000" w:type="pct"/>
          </w:tcPr>
          <w:p w14:paraId="113C10DB" w14:textId="1DA7FFE8" w:rsidR="006D6750" w:rsidRPr="00565E6D" w:rsidRDefault="006D6750" w:rsidP="00DA1D75">
            <w:pPr>
              <w:jc w:val="both"/>
              <w:rPr>
                <w:rFonts w:asciiTheme="minorHAnsi" w:hAnsiTheme="minorHAnsi" w:cstheme="minorHAnsi"/>
              </w:rPr>
            </w:pPr>
            <w:r>
              <w:rPr>
                <w:rFonts w:asciiTheme="minorHAnsi" w:hAnsiTheme="minorHAnsi"/>
              </w:rPr>
              <w:t xml:space="preserve">2. opredelitev vrste podane zahteve; </w:t>
            </w:r>
          </w:p>
          <w:p w14:paraId="230E54E2" w14:textId="77777777" w:rsidR="006D6750" w:rsidRPr="00565E6D" w:rsidRDefault="006D6750" w:rsidP="00DA1D75">
            <w:pPr>
              <w:jc w:val="both"/>
              <w:rPr>
                <w:rFonts w:asciiTheme="minorHAnsi" w:hAnsiTheme="minorHAnsi" w:cstheme="minorHAnsi"/>
                <w:lang w:val="fr-BE"/>
              </w:rPr>
            </w:pPr>
          </w:p>
        </w:tc>
      </w:tr>
      <w:tr w:rsidR="006D6750" w:rsidRPr="006D6750" w14:paraId="26BFDCD2" w14:textId="77777777" w:rsidTr="006D6750">
        <w:tc>
          <w:tcPr>
            <w:tcW w:w="5000" w:type="pct"/>
          </w:tcPr>
          <w:p w14:paraId="21C90560" w14:textId="05DCFE55" w:rsidR="006D6750" w:rsidRPr="00565E6D" w:rsidRDefault="006D6750" w:rsidP="00DA1D75">
            <w:pPr>
              <w:jc w:val="both"/>
              <w:rPr>
                <w:rFonts w:asciiTheme="minorHAnsi" w:hAnsiTheme="minorHAnsi" w:cstheme="minorHAnsi"/>
              </w:rPr>
            </w:pPr>
            <w:r>
              <w:rPr>
                <w:rFonts w:asciiTheme="minorHAnsi" w:hAnsiTheme="minorHAnsi"/>
              </w:rPr>
              <w:t>3. opredelitev datuma in časa vpogleda ali komunikacije.</w:t>
            </w:r>
          </w:p>
          <w:p w14:paraId="21F27E53" w14:textId="77777777" w:rsidR="006D6750" w:rsidRPr="00565E6D" w:rsidRDefault="006D6750" w:rsidP="00DA1D75">
            <w:pPr>
              <w:jc w:val="both"/>
              <w:rPr>
                <w:rFonts w:asciiTheme="minorHAnsi" w:hAnsiTheme="minorHAnsi" w:cstheme="minorHAnsi"/>
                <w:lang w:val="fr-BE"/>
              </w:rPr>
            </w:pPr>
          </w:p>
        </w:tc>
      </w:tr>
      <w:tr w:rsidR="006D6750" w:rsidRPr="006D6750" w14:paraId="51D67BDC" w14:textId="77777777" w:rsidTr="006D6750">
        <w:tc>
          <w:tcPr>
            <w:tcW w:w="5000" w:type="pct"/>
          </w:tcPr>
          <w:p w14:paraId="51489C91" w14:textId="0A15C3D8" w:rsidR="006D6750" w:rsidRPr="00565E6D" w:rsidRDefault="006D6750" w:rsidP="00DA1D75">
            <w:pPr>
              <w:jc w:val="both"/>
              <w:rPr>
                <w:rFonts w:asciiTheme="minorHAnsi" w:hAnsiTheme="minorHAnsi" w:cstheme="minorHAnsi"/>
              </w:rPr>
            </w:pPr>
            <w:r>
              <w:rPr>
                <w:rFonts w:asciiTheme="minorHAnsi" w:hAnsiTheme="minorHAnsi"/>
              </w:rPr>
              <w:t>Oddelek 3. Komisija za igre na srečo in Nacionalna banka Belgije sprejmeta ustrezne ukrepe za zagotovitev varnosti dnevniških datotek in zlasti preprečevanje nepooblaščene obdelave ter zagotavljanje celovitosti obdelanih podatkov.</w:t>
            </w:r>
          </w:p>
          <w:p w14:paraId="3579A70D" w14:textId="61DC08C0" w:rsidR="006D6750" w:rsidRPr="00565E6D" w:rsidRDefault="006D6750" w:rsidP="00DA1D75">
            <w:pPr>
              <w:jc w:val="both"/>
              <w:rPr>
                <w:rFonts w:asciiTheme="minorHAnsi" w:hAnsiTheme="minorHAnsi" w:cstheme="minorHAnsi"/>
                <w:lang w:val="fr-BE"/>
              </w:rPr>
            </w:pPr>
          </w:p>
        </w:tc>
      </w:tr>
      <w:tr w:rsidR="006D6750" w:rsidRPr="006D6750" w14:paraId="4651C79C" w14:textId="77777777" w:rsidTr="006D6750">
        <w:tc>
          <w:tcPr>
            <w:tcW w:w="5000" w:type="pct"/>
          </w:tcPr>
          <w:p w14:paraId="286B980D" w14:textId="6605B038" w:rsidR="006D6750" w:rsidRPr="00565E6D" w:rsidRDefault="006D6750" w:rsidP="00DA1D75">
            <w:pPr>
              <w:jc w:val="both"/>
              <w:rPr>
                <w:rFonts w:asciiTheme="minorHAnsi" w:hAnsiTheme="minorHAnsi" w:cstheme="minorHAnsi"/>
              </w:rPr>
            </w:pPr>
            <w:r>
              <w:rPr>
                <w:rFonts w:asciiTheme="minorHAnsi" w:hAnsiTheme="minorHAnsi"/>
              </w:rPr>
              <w:t>Dnevniške datoteke se hranijo 10 let od datuma vpogleda.</w:t>
            </w:r>
          </w:p>
          <w:p w14:paraId="5AA2A87D" w14:textId="0E57A743" w:rsidR="006D6750" w:rsidRPr="00565E6D" w:rsidRDefault="006D6750" w:rsidP="00DA1D75">
            <w:pPr>
              <w:jc w:val="both"/>
              <w:rPr>
                <w:rFonts w:asciiTheme="minorHAnsi" w:hAnsiTheme="minorHAnsi" w:cstheme="minorHAnsi"/>
                <w:lang w:val="fr-BE"/>
              </w:rPr>
            </w:pPr>
          </w:p>
        </w:tc>
      </w:tr>
      <w:tr w:rsidR="006D6750" w:rsidRPr="006D6750" w14:paraId="699AD9F6" w14:textId="77777777" w:rsidTr="006D6750">
        <w:tc>
          <w:tcPr>
            <w:tcW w:w="5000" w:type="pct"/>
          </w:tcPr>
          <w:p w14:paraId="72B70189" w14:textId="5C07FF84" w:rsidR="006D6750" w:rsidRPr="00565E6D" w:rsidRDefault="006D6750" w:rsidP="00DA1D75">
            <w:pPr>
              <w:jc w:val="both"/>
              <w:rPr>
                <w:rFonts w:asciiTheme="minorHAnsi" w:hAnsiTheme="minorHAnsi" w:cstheme="minorHAnsi"/>
              </w:rPr>
            </w:pPr>
            <w:r>
              <w:rPr>
                <w:rFonts w:asciiTheme="minorHAnsi" w:hAnsiTheme="minorHAnsi"/>
              </w:rPr>
              <w:t>Dnevniške datoteke, ki jih hrani komisija za igre na srečo, se na prvo zahtevo posredujejo organu za varstvo podatkov.</w:t>
            </w:r>
          </w:p>
          <w:p w14:paraId="6977894F" w14:textId="4C8057D9" w:rsidR="006D6750" w:rsidRPr="00565E6D" w:rsidRDefault="006D6750" w:rsidP="00DA1D75">
            <w:pPr>
              <w:jc w:val="both"/>
              <w:rPr>
                <w:rFonts w:asciiTheme="minorHAnsi" w:hAnsiTheme="minorHAnsi" w:cstheme="minorHAnsi"/>
                <w:lang w:val="fr-BE"/>
              </w:rPr>
            </w:pPr>
          </w:p>
        </w:tc>
      </w:tr>
      <w:tr w:rsidR="006D6750" w:rsidRPr="004445F4" w14:paraId="1863A8A9" w14:textId="77777777" w:rsidTr="006D6750">
        <w:tc>
          <w:tcPr>
            <w:tcW w:w="5000" w:type="pct"/>
          </w:tcPr>
          <w:p w14:paraId="415B0A2E" w14:textId="6990C065" w:rsidR="006D6750" w:rsidRPr="00565E6D" w:rsidRDefault="006D6750" w:rsidP="00DA1D75">
            <w:pPr>
              <w:jc w:val="both"/>
              <w:rPr>
                <w:rFonts w:asciiTheme="minorHAnsi" w:hAnsiTheme="minorHAnsi" w:cstheme="minorHAnsi"/>
                <w:b/>
                <w:u w:val="single"/>
              </w:rPr>
            </w:pPr>
            <w:r>
              <w:rPr>
                <w:rFonts w:asciiTheme="minorHAnsi" w:hAnsiTheme="minorHAnsi"/>
                <w:b/>
                <w:u w:val="single"/>
              </w:rPr>
              <w:t>Člen 6</w:t>
            </w:r>
          </w:p>
          <w:p w14:paraId="565921D5" w14:textId="2FCF5E22" w:rsidR="006D6750" w:rsidRPr="00565E6D" w:rsidRDefault="006D6750" w:rsidP="00DA1D75">
            <w:pPr>
              <w:jc w:val="both"/>
              <w:rPr>
                <w:rFonts w:asciiTheme="minorHAnsi" w:hAnsiTheme="minorHAnsi" w:cstheme="minorHAnsi"/>
                <w:b/>
                <w:u w:val="single"/>
              </w:rPr>
            </w:pPr>
          </w:p>
        </w:tc>
      </w:tr>
      <w:tr w:rsidR="006D6750" w:rsidRPr="006D6750" w14:paraId="6D54AC83" w14:textId="77777777" w:rsidTr="006D6750">
        <w:tc>
          <w:tcPr>
            <w:tcW w:w="5000" w:type="pct"/>
          </w:tcPr>
          <w:p w14:paraId="7C3AD2B0" w14:textId="77777777" w:rsidR="006D6750" w:rsidRPr="00565E6D" w:rsidRDefault="006D6750" w:rsidP="00DA1D75">
            <w:pPr>
              <w:jc w:val="both"/>
              <w:rPr>
                <w:rFonts w:asciiTheme="minorHAnsi" w:hAnsiTheme="minorHAnsi" w:cstheme="minorHAnsi"/>
              </w:rPr>
            </w:pPr>
            <w:r>
              <w:rPr>
                <w:rFonts w:asciiTheme="minorHAnsi" w:hAnsiTheme="minorHAnsi"/>
              </w:rPr>
              <w:t xml:space="preserve">Zastopniki sekretariata komisije za igre na srečo, katerih funkcija zahteva dostop do centralnega kreditnega registra posameznikov Nacionalne banke Belgije, lahko dostopajo le do informacij o tem, ali igralec izpolnjuje svoje plačilne obveznosti v smislu člena VII.148 Zakonika o gospodarskem pravu, in sicer šele po avtentikaciji z elektronsko osebno izkaznico, bodisi v zvezi z vlogo komisije za igre na srečo bodisi v zvezi z vlogo Nacionalne banke Belgije. </w:t>
            </w:r>
          </w:p>
          <w:p w14:paraId="12174FEB" w14:textId="17B0FF32" w:rsidR="006D6750" w:rsidRPr="00565E6D" w:rsidRDefault="006D6750" w:rsidP="00DA1D75">
            <w:pPr>
              <w:jc w:val="both"/>
              <w:rPr>
                <w:rFonts w:asciiTheme="minorHAnsi" w:hAnsiTheme="minorHAnsi" w:cstheme="minorHAnsi"/>
                <w:lang w:val="fr-BE"/>
              </w:rPr>
            </w:pPr>
          </w:p>
        </w:tc>
      </w:tr>
      <w:tr w:rsidR="006D6750" w:rsidRPr="006D6750" w14:paraId="5A96940E" w14:textId="77777777" w:rsidTr="006D6750">
        <w:tc>
          <w:tcPr>
            <w:tcW w:w="5000" w:type="pct"/>
          </w:tcPr>
          <w:p w14:paraId="2A7F19B7" w14:textId="1DC7DE04" w:rsidR="006D6750" w:rsidRPr="00565E6D" w:rsidRDefault="006D6750" w:rsidP="00DA1D75">
            <w:pPr>
              <w:jc w:val="both"/>
              <w:rPr>
                <w:rFonts w:asciiTheme="minorHAnsi" w:hAnsiTheme="minorHAnsi" w:cstheme="minorHAnsi"/>
              </w:rPr>
            </w:pPr>
            <w:r>
              <w:rPr>
                <w:rFonts w:asciiTheme="minorHAnsi" w:hAnsiTheme="minorHAnsi"/>
              </w:rPr>
              <w:t>Komisija za igre na srečo na prvo zahtevo obvesti Nacionalno banko Belgije ali organ za varstvo podatkov o identiteti člana svojega osebja, ki je pregledal ali prebral osebne podatke iz prejšnjega pododstavka.</w:t>
            </w:r>
          </w:p>
          <w:p w14:paraId="3BCFBC1A" w14:textId="77777777" w:rsidR="006D6750" w:rsidRPr="00565E6D" w:rsidRDefault="006D6750" w:rsidP="00DA1D75">
            <w:pPr>
              <w:jc w:val="both"/>
              <w:rPr>
                <w:rFonts w:asciiTheme="minorHAnsi" w:hAnsiTheme="minorHAnsi" w:cstheme="minorHAnsi"/>
                <w:lang w:val="fr-BE"/>
              </w:rPr>
            </w:pPr>
          </w:p>
        </w:tc>
      </w:tr>
      <w:tr w:rsidR="006D6750" w:rsidRPr="004445F4" w14:paraId="28CAA371" w14:textId="77777777" w:rsidTr="006D6750">
        <w:tc>
          <w:tcPr>
            <w:tcW w:w="5000" w:type="pct"/>
          </w:tcPr>
          <w:p w14:paraId="4C7BB0D4" w14:textId="76A6BBFF" w:rsidR="006D6750" w:rsidRPr="00565E6D" w:rsidRDefault="006D6750" w:rsidP="00DA1D75">
            <w:pPr>
              <w:jc w:val="both"/>
              <w:rPr>
                <w:rFonts w:asciiTheme="minorHAnsi" w:hAnsiTheme="minorHAnsi" w:cstheme="minorHAnsi"/>
                <w:b/>
                <w:u w:val="single"/>
              </w:rPr>
            </w:pPr>
            <w:r>
              <w:rPr>
                <w:rFonts w:asciiTheme="minorHAnsi" w:hAnsiTheme="minorHAnsi"/>
                <w:b/>
                <w:u w:val="single"/>
              </w:rPr>
              <w:t>Člen 7</w:t>
            </w:r>
          </w:p>
        </w:tc>
      </w:tr>
      <w:tr w:rsidR="006D6750" w:rsidRPr="006D6750" w14:paraId="23EAEED6" w14:textId="77777777" w:rsidTr="006D6750">
        <w:tc>
          <w:tcPr>
            <w:tcW w:w="5000" w:type="pct"/>
          </w:tcPr>
          <w:p w14:paraId="384E2120" w14:textId="2957531C" w:rsidR="006D6750" w:rsidRPr="00565E6D" w:rsidRDefault="000C3BA6" w:rsidP="00DA1D75">
            <w:pPr>
              <w:jc w:val="both"/>
              <w:rPr>
                <w:rFonts w:asciiTheme="minorHAnsi" w:hAnsiTheme="minorHAnsi" w:cstheme="minorHAnsi"/>
              </w:rPr>
            </w:pPr>
            <w:r>
              <w:rPr>
                <w:rFonts w:asciiTheme="minorHAnsi" w:hAnsiTheme="minorHAnsi"/>
              </w:rPr>
              <w:t>Komisija za igre na srečo hrani osebne podatke, v zvezi s katerimi je bil opravljen vpogled v centralni kreditni register posameznikov Nacionalne banke Belgije, za obdobje, ki je potrebno za izpolnjevanje nalog iz člena 6(1) Kraljeve uredbe z dne 25. oktobra 2018 o načinih prirejanja iger na srečo in stav, ki se izvajajo s pomočjo storitev informacijske družbe.</w:t>
            </w:r>
          </w:p>
          <w:p w14:paraId="288CDA19" w14:textId="77777777" w:rsidR="006D6750" w:rsidRPr="00565E6D" w:rsidRDefault="006D6750" w:rsidP="00DA1D75">
            <w:pPr>
              <w:jc w:val="both"/>
              <w:rPr>
                <w:rFonts w:asciiTheme="minorHAnsi" w:hAnsiTheme="minorHAnsi" w:cstheme="minorHAnsi"/>
                <w:lang w:val="fr-BE"/>
              </w:rPr>
            </w:pPr>
          </w:p>
        </w:tc>
      </w:tr>
      <w:tr w:rsidR="006D6750" w:rsidRPr="004445F4" w14:paraId="540DE0BE" w14:textId="77777777" w:rsidTr="006D6750">
        <w:tc>
          <w:tcPr>
            <w:tcW w:w="5000" w:type="pct"/>
          </w:tcPr>
          <w:p w14:paraId="70C9ACE2" w14:textId="5B452C20" w:rsidR="006D6750" w:rsidRPr="004445F4" w:rsidRDefault="006D6750" w:rsidP="00DA1D75">
            <w:pPr>
              <w:jc w:val="both"/>
              <w:rPr>
                <w:rFonts w:asciiTheme="minorHAnsi" w:hAnsiTheme="minorHAnsi" w:cstheme="minorHAnsi"/>
                <w:b/>
                <w:u w:val="single"/>
              </w:rPr>
            </w:pPr>
            <w:r>
              <w:rPr>
                <w:rFonts w:asciiTheme="minorHAnsi" w:hAnsiTheme="minorHAnsi"/>
                <w:b/>
                <w:u w:val="single"/>
              </w:rPr>
              <w:t>Člen 8</w:t>
            </w:r>
          </w:p>
          <w:p w14:paraId="5F80FDB1" w14:textId="77777777" w:rsidR="006D6750" w:rsidRPr="004445F4" w:rsidRDefault="006D6750" w:rsidP="00DA1D75">
            <w:pPr>
              <w:jc w:val="both"/>
              <w:rPr>
                <w:rFonts w:asciiTheme="minorHAnsi" w:hAnsiTheme="minorHAnsi" w:cstheme="minorHAnsi"/>
                <w:b/>
                <w:u w:val="single"/>
                <w:lang w:val="nl-BE"/>
              </w:rPr>
            </w:pPr>
          </w:p>
        </w:tc>
      </w:tr>
      <w:tr w:rsidR="006D6750" w:rsidRPr="006D6750" w14:paraId="69FE29A4" w14:textId="77777777" w:rsidTr="006D6750">
        <w:trPr>
          <w:trHeight w:val="931"/>
        </w:trPr>
        <w:tc>
          <w:tcPr>
            <w:tcW w:w="5000" w:type="pct"/>
          </w:tcPr>
          <w:p w14:paraId="69FE29A0" w14:textId="3B6A9E30" w:rsidR="006D6750" w:rsidRPr="004445F4" w:rsidRDefault="006D6750" w:rsidP="00DA1D75">
            <w:pPr>
              <w:jc w:val="both"/>
              <w:rPr>
                <w:rFonts w:asciiTheme="minorHAnsi" w:hAnsiTheme="minorHAnsi" w:cstheme="minorHAnsi"/>
              </w:rPr>
            </w:pPr>
            <w:r>
              <w:rPr>
                <w:rFonts w:asciiTheme="minorHAnsi" w:hAnsiTheme="minorHAnsi"/>
              </w:rPr>
              <w:t>Stroški vpogleda v centralni kreditni register posameznikov Nacionalne banke Belgije se v celoti krijejo s sredstvi komisije za igre na srečo, kot je navedeno v členu 19(2) Zakona z dne 7. maja 1999 o igrah na srečo, stavah, igralnicah in varstvu igralcev.</w:t>
            </w:r>
          </w:p>
        </w:tc>
      </w:tr>
      <w:tr w:rsidR="006D6750" w:rsidRPr="006D6750" w14:paraId="2689BF07" w14:textId="77777777" w:rsidTr="006D6750">
        <w:tc>
          <w:tcPr>
            <w:tcW w:w="5000" w:type="pct"/>
          </w:tcPr>
          <w:p w14:paraId="3C762D43" w14:textId="57105C2C" w:rsidR="006D6750" w:rsidRPr="004445F4" w:rsidRDefault="006D6750" w:rsidP="00DA1D75">
            <w:pPr>
              <w:jc w:val="both"/>
              <w:rPr>
                <w:rFonts w:asciiTheme="minorHAnsi" w:hAnsiTheme="minorHAnsi" w:cstheme="minorHAnsi"/>
                <w:b/>
              </w:rPr>
            </w:pPr>
            <w:r>
              <w:lastRenderedPageBreak/>
              <w:br w:type="page"/>
            </w:r>
            <w:r>
              <w:br w:type="page"/>
            </w:r>
            <w:r>
              <w:rPr>
                <w:rFonts w:asciiTheme="minorHAnsi" w:hAnsiTheme="minorHAnsi"/>
                <w:b/>
              </w:rPr>
              <w:t>Poglavje II – Spremembe Kraljeve uredbe z dne 25. oktobra 2018 o načinih prirejanja iger na srečo in stav, ki se izvajajo s pomočjo storitev informacijske družbe</w:t>
            </w:r>
          </w:p>
          <w:p w14:paraId="4FF11E25" w14:textId="3BB6C610" w:rsidR="006D6750" w:rsidRPr="004445F4" w:rsidRDefault="006D6750" w:rsidP="00DA1D75">
            <w:pPr>
              <w:jc w:val="both"/>
              <w:rPr>
                <w:rFonts w:asciiTheme="minorHAnsi" w:hAnsiTheme="minorHAnsi" w:cstheme="minorHAnsi"/>
                <w:b/>
                <w:lang w:val="fr-BE"/>
              </w:rPr>
            </w:pPr>
          </w:p>
        </w:tc>
      </w:tr>
      <w:tr w:rsidR="006D6750" w:rsidRPr="004445F4" w14:paraId="2DB84B4E" w14:textId="77777777" w:rsidTr="006D6750">
        <w:tc>
          <w:tcPr>
            <w:tcW w:w="5000" w:type="pct"/>
            <w:shd w:val="clear" w:color="auto" w:fill="auto"/>
          </w:tcPr>
          <w:p w14:paraId="2A91C65F" w14:textId="5875BAAD" w:rsidR="006D6750" w:rsidRPr="004445F4" w:rsidRDefault="006D6750" w:rsidP="00DA1D75">
            <w:pPr>
              <w:jc w:val="both"/>
              <w:rPr>
                <w:rFonts w:asciiTheme="minorHAnsi" w:hAnsiTheme="minorHAnsi" w:cstheme="minorHAnsi"/>
                <w:b/>
                <w:u w:val="single"/>
              </w:rPr>
            </w:pPr>
            <w:r>
              <w:rPr>
                <w:rFonts w:asciiTheme="minorHAnsi" w:hAnsiTheme="minorHAnsi"/>
                <w:b/>
                <w:u w:val="single"/>
              </w:rPr>
              <w:t>Člen 9</w:t>
            </w:r>
          </w:p>
          <w:p w14:paraId="602390EC" w14:textId="77777777" w:rsidR="006D6750" w:rsidRPr="004445F4" w:rsidRDefault="006D6750" w:rsidP="00DA1D75">
            <w:pPr>
              <w:jc w:val="both"/>
              <w:rPr>
                <w:rFonts w:asciiTheme="minorHAnsi" w:hAnsiTheme="minorHAnsi" w:cstheme="minorHAnsi"/>
                <w:b/>
              </w:rPr>
            </w:pPr>
          </w:p>
        </w:tc>
      </w:tr>
      <w:tr w:rsidR="006D6750" w:rsidRPr="006D6750" w14:paraId="30578FAD" w14:textId="77777777" w:rsidTr="006D6750">
        <w:tc>
          <w:tcPr>
            <w:tcW w:w="5000" w:type="pct"/>
          </w:tcPr>
          <w:p w14:paraId="5EDE13F6" w14:textId="372F3ABF" w:rsidR="006D6750" w:rsidRPr="004445F4" w:rsidRDefault="006D6750" w:rsidP="00DA1D75">
            <w:pPr>
              <w:jc w:val="both"/>
              <w:rPr>
                <w:rFonts w:asciiTheme="minorHAnsi" w:hAnsiTheme="minorHAnsi" w:cstheme="minorHAnsi"/>
              </w:rPr>
            </w:pPr>
            <w:r>
              <w:rPr>
                <w:rFonts w:asciiTheme="minorHAnsi" w:hAnsiTheme="minorHAnsi"/>
              </w:rPr>
              <w:t>V členu 6(1)(1)(a) Kraljeve uredbe z dne 25. oktobra 2018 o načinih prirejanja iger na srečo in stav, ki se izvajajo s pomočjo storitev informacijske družbe, se številka „500“ nadomesti s številko „200“, besedilo „za vse igre na srečo in stave, v katerih sodeluje“ pa se črta. </w:t>
            </w:r>
          </w:p>
          <w:p w14:paraId="5793F906" w14:textId="77777777" w:rsidR="006D6750" w:rsidRPr="004445F4" w:rsidRDefault="006D6750" w:rsidP="00DA1D75">
            <w:pPr>
              <w:jc w:val="both"/>
              <w:rPr>
                <w:rFonts w:asciiTheme="minorHAnsi" w:hAnsiTheme="minorHAnsi" w:cstheme="minorHAnsi"/>
                <w:lang w:val="fr-BE"/>
              </w:rPr>
            </w:pPr>
          </w:p>
        </w:tc>
      </w:tr>
      <w:tr w:rsidR="006D6750" w:rsidRPr="004445F4" w14:paraId="173956E5" w14:textId="77777777" w:rsidTr="006D6750">
        <w:tc>
          <w:tcPr>
            <w:tcW w:w="5000" w:type="pct"/>
          </w:tcPr>
          <w:p w14:paraId="72129D27" w14:textId="77777777" w:rsidR="006D6750" w:rsidRDefault="006D6750" w:rsidP="00DA1D75">
            <w:pPr>
              <w:jc w:val="both"/>
              <w:rPr>
                <w:rFonts w:asciiTheme="minorHAnsi" w:hAnsiTheme="minorHAnsi"/>
                <w:b/>
              </w:rPr>
            </w:pPr>
            <w:r>
              <w:rPr>
                <w:rFonts w:asciiTheme="minorHAnsi" w:hAnsiTheme="minorHAnsi"/>
                <w:b/>
              </w:rPr>
              <w:t>POGLAVJE III – Končne določbe</w:t>
            </w:r>
          </w:p>
          <w:p w14:paraId="69C1A6D2" w14:textId="430ADE7F" w:rsidR="008E3CEE" w:rsidRPr="00662139" w:rsidRDefault="008E3CEE" w:rsidP="00DA1D75">
            <w:pPr>
              <w:jc w:val="both"/>
              <w:rPr>
                <w:rFonts w:asciiTheme="minorHAnsi" w:hAnsiTheme="minorHAnsi" w:cstheme="minorHAnsi"/>
                <w:b/>
              </w:rPr>
            </w:pPr>
          </w:p>
        </w:tc>
      </w:tr>
      <w:tr w:rsidR="006D6750" w:rsidRPr="004445F4" w14:paraId="716A353B" w14:textId="77777777" w:rsidTr="006D6750">
        <w:tc>
          <w:tcPr>
            <w:tcW w:w="5000" w:type="pct"/>
          </w:tcPr>
          <w:p w14:paraId="402DEB68" w14:textId="5F595E7C" w:rsidR="006D6750" w:rsidRPr="004445F4" w:rsidRDefault="006D6750" w:rsidP="00DA1D75">
            <w:pPr>
              <w:pStyle w:val="Heading5"/>
              <w:rPr>
                <w:rFonts w:asciiTheme="minorHAnsi" w:hAnsiTheme="minorHAnsi" w:cstheme="minorHAnsi"/>
                <w:bCs w:val="0"/>
              </w:rPr>
            </w:pPr>
            <w:r>
              <w:rPr>
                <w:rFonts w:asciiTheme="minorHAnsi" w:hAnsiTheme="minorHAnsi"/>
              </w:rPr>
              <w:t>Člen 10</w:t>
            </w:r>
          </w:p>
          <w:p w14:paraId="599DE083" w14:textId="52ED68A5" w:rsidR="006D6750" w:rsidRPr="004445F4" w:rsidRDefault="006D6750" w:rsidP="00DA1D75">
            <w:pPr>
              <w:jc w:val="both"/>
              <w:rPr>
                <w:rFonts w:asciiTheme="minorHAnsi" w:hAnsiTheme="minorHAnsi" w:cstheme="minorHAnsi"/>
                <w:lang w:val="nl-BE"/>
              </w:rPr>
            </w:pPr>
          </w:p>
        </w:tc>
      </w:tr>
      <w:tr w:rsidR="006D6750" w:rsidRPr="006D6750" w14:paraId="71A52779" w14:textId="77777777" w:rsidTr="006D6750">
        <w:tc>
          <w:tcPr>
            <w:tcW w:w="5000" w:type="pct"/>
          </w:tcPr>
          <w:p w14:paraId="6775501A" w14:textId="7EC5D350" w:rsidR="006D6750" w:rsidRPr="004445F4" w:rsidRDefault="006D6750" w:rsidP="00DA1D75">
            <w:pPr>
              <w:jc w:val="both"/>
              <w:rPr>
                <w:rFonts w:asciiTheme="minorHAnsi" w:hAnsiTheme="minorHAnsi" w:cstheme="minorHAnsi"/>
              </w:rPr>
            </w:pPr>
            <w:r>
              <w:rPr>
                <w:rFonts w:asciiTheme="minorHAnsi" w:hAnsiTheme="minorHAnsi"/>
              </w:rPr>
              <w:t>Člen 6(1)(1)(b) uredbe začne veljati isti dan kot ta uredba.</w:t>
            </w:r>
          </w:p>
          <w:p w14:paraId="34E92F27" w14:textId="1B347A62" w:rsidR="006D6750" w:rsidRPr="004445F4" w:rsidRDefault="006D6750" w:rsidP="00DA1D75">
            <w:pPr>
              <w:jc w:val="both"/>
              <w:rPr>
                <w:rFonts w:asciiTheme="minorHAnsi" w:hAnsiTheme="minorHAnsi" w:cstheme="minorHAnsi"/>
                <w:lang w:val="fr-BE"/>
              </w:rPr>
            </w:pPr>
          </w:p>
        </w:tc>
      </w:tr>
      <w:tr w:rsidR="006D6750" w:rsidRPr="006D6750" w14:paraId="13416A97" w14:textId="77777777" w:rsidTr="006D6750">
        <w:tc>
          <w:tcPr>
            <w:tcW w:w="5000" w:type="pct"/>
          </w:tcPr>
          <w:p w14:paraId="58B8A783" w14:textId="77777777" w:rsidR="006D6750" w:rsidRPr="006D6750" w:rsidRDefault="006D6750" w:rsidP="00DA1D75">
            <w:pPr>
              <w:jc w:val="both"/>
              <w:rPr>
                <w:rFonts w:asciiTheme="minorHAnsi" w:hAnsiTheme="minorHAnsi" w:cstheme="minorHAnsi"/>
                <w:lang w:val="fr-BE"/>
              </w:rPr>
            </w:pPr>
          </w:p>
        </w:tc>
      </w:tr>
      <w:tr w:rsidR="006D6750" w:rsidRPr="004445F4" w14:paraId="22606D6A" w14:textId="77777777" w:rsidTr="006D6750">
        <w:tc>
          <w:tcPr>
            <w:tcW w:w="5000" w:type="pct"/>
          </w:tcPr>
          <w:p w14:paraId="7627436F" w14:textId="1DCE687A" w:rsidR="006D6750" w:rsidRPr="004445F4" w:rsidRDefault="006D6750" w:rsidP="00DA1D75">
            <w:pPr>
              <w:rPr>
                <w:rFonts w:asciiTheme="minorHAnsi" w:hAnsiTheme="minorHAnsi" w:cstheme="minorHAnsi"/>
                <w:b/>
                <w:u w:val="single"/>
              </w:rPr>
            </w:pPr>
            <w:r>
              <w:rPr>
                <w:rFonts w:asciiTheme="minorHAnsi" w:hAnsiTheme="minorHAnsi"/>
                <w:b/>
                <w:u w:val="single"/>
              </w:rPr>
              <w:t>Člen 11</w:t>
            </w:r>
          </w:p>
          <w:p w14:paraId="6DD94AEA" w14:textId="77777777" w:rsidR="006D6750" w:rsidRPr="004445F4" w:rsidRDefault="006D6750" w:rsidP="00DA1D75">
            <w:pPr>
              <w:jc w:val="both"/>
              <w:rPr>
                <w:rFonts w:asciiTheme="minorHAnsi" w:hAnsiTheme="minorHAnsi" w:cstheme="minorHAnsi"/>
                <w:b/>
                <w:lang w:val="nl-BE"/>
              </w:rPr>
            </w:pPr>
          </w:p>
        </w:tc>
      </w:tr>
      <w:tr w:rsidR="006D6750" w:rsidRPr="006D6750" w14:paraId="78314E93" w14:textId="77777777" w:rsidTr="006D6750">
        <w:tc>
          <w:tcPr>
            <w:tcW w:w="5000" w:type="pct"/>
          </w:tcPr>
          <w:p w14:paraId="4AAD5746" w14:textId="5A018DD1" w:rsidR="006D6750" w:rsidRPr="00E22F2C" w:rsidRDefault="006D6750" w:rsidP="00E22F2C">
            <w:pPr>
              <w:jc w:val="both"/>
              <w:rPr>
                <w:rFonts w:asciiTheme="minorHAnsi" w:hAnsiTheme="minorHAnsi" w:cstheme="minorHAnsi"/>
              </w:rPr>
            </w:pPr>
            <w:r>
              <w:br w:type="page"/>
            </w:r>
            <w:r>
              <w:rPr>
                <w:rFonts w:asciiTheme="minorHAnsi" w:hAnsiTheme="minorHAnsi"/>
              </w:rPr>
              <w:t>Za izvajanje te uredbe so pristojni minister za gospodarstvo, minister za finance, minister za javno zdravje, minister za pravosodje, minister za notranje zadeve in državni sekretar, pristojen za državno loterijo.</w:t>
            </w:r>
          </w:p>
        </w:tc>
      </w:tr>
    </w:tbl>
    <w:p w14:paraId="69FE2AA1" w14:textId="77777777" w:rsidR="009E6A62" w:rsidRPr="006D6750" w:rsidRDefault="009E6A62">
      <w:pPr>
        <w:jc w:val="center"/>
        <w:rPr>
          <w:lang w:val="fr-BE"/>
        </w:rPr>
      </w:pPr>
    </w:p>
    <w:sectPr w:rsidR="009E6A62" w:rsidRPr="006D6750">
      <w:headerReference w:type="default" r:id="rId13"/>
      <w:pgSz w:w="11906" w:h="16838"/>
      <w:pgMar w:top="1417" w:right="1417" w:bottom="1260" w:left="141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FEA1E" w14:textId="77777777" w:rsidR="00E110F7" w:rsidRDefault="00E110F7">
      <w:r>
        <w:separator/>
      </w:r>
    </w:p>
  </w:endnote>
  <w:endnote w:type="continuationSeparator" w:id="0">
    <w:p w14:paraId="39DBFEBD" w14:textId="77777777" w:rsidR="00E110F7" w:rsidRDefault="00E11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97092" w14:textId="77777777" w:rsidR="00E110F7" w:rsidRDefault="00E110F7">
      <w:r>
        <w:separator/>
      </w:r>
    </w:p>
  </w:footnote>
  <w:footnote w:type="continuationSeparator" w:id="0">
    <w:p w14:paraId="791FF5DE" w14:textId="77777777" w:rsidR="00E110F7" w:rsidRDefault="00E110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E2AA6" w14:textId="37B9B95D" w:rsidR="007F6935" w:rsidRDefault="007F6935">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E3CEE">
      <w:rPr>
        <w:rStyle w:val="PageNumber"/>
      </w:rPr>
      <w:t>4</w:t>
    </w:r>
    <w:r>
      <w:rPr>
        <w:rStyle w:val="PageNumber"/>
      </w:rPr>
      <w:fldChar w:fldCharType="end"/>
    </w:r>
  </w:p>
  <w:p w14:paraId="69FE2AA7" w14:textId="77777777" w:rsidR="007F6935" w:rsidRDefault="007F69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6244"/>
    <w:multiLevelType w:val="hybridMultilevel"/>
    <w:tmpl w:val="A9A0F33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7272A7"/>
    <w:multiLevelType w:val="hybridMultilevel"/>
    <w:tmpl w:val="77E647E4"/>
    <w:lvl w:ilvl="0" w:tplc="FFFFFFFF">
      <w:start w:val="1"/>
      <w:numFmt w:val="bullet"/>
      <w:lvlText w:val=""/>
      <w:lvlJc w:val="left"/>
      <w:pPr>
        <w:tabs>
          <w:tab w:val="num" w:pos="720"/>
        </w:tabs>
        <w:ind w:left="720" w:hanging="360"/>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Times New Roman" w:hAnsi="Times New Roman" w:cs="Times New Roman" w:hint="default"/>
      </w:rPr>
    </w:lvl>
    <w:lvl w:ilvl="3" w:tplc="FFFFFFFF">
      <w:start w:val="1"/>
      <w:numFmt w:val="bullet"/>
      <w:lvlText w:val=""/>
      <w:lvlJc w:val="left"/>
      <w:pPr>
        <w:tabs>
          <w:tab w:val="num" w:pos="2880"/>
        </w:tabs>
        <w:ind w:left="2880" w:hanging="360"/>
      </w:pPr>
      <w:rPr>
        <w:rFonts w:ascii="Times New Roman" w:hAnsi="Times New Roman"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Times New Roman" w:hAnsi="Times New Roman" w:cs="Times New Roman" w:hint="default"/>
      </w:rPr>
    </w:lvl>
    <w:lvl w:ilvl="6" w:tplc="FFFFFFFF">
      <w:start w:val="1"/>
      <w:numFmt w:val="bullet"/>
      <w:lvlText w:val=""/>
      <w:lvlJc w:val="left"/>
      <w:pPr>
        <w:tabs>
          <w:tab w:val="num" w:pos="5040"/>
        </w:tabs>
        <w:ind w:left="5040" w:hanging="360"/>
      </w:pPr>
      <w:rPr>
        <w:rFonts w:ascii="Times New Roman" w:hAnsi="Times New Roman"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Times New Roman" w:hAnsi="Times New Roman" w:cs="Times New Roman" w:hint="default"/>
      </w:rPr>
    </w:lvl>
  </w:abstractNum>
  <w:abstractNum w:abstractNumId="2" w15:restartNumberingAfterBreak="0">
    <w:nsid w:val="11191E51"/>
    <w:multiLevelType w:val="hybridMultilevel"/>
    <w:tmpl w:val="EDB4D196"/>
    <w:lvl w:ilvl="0" w:tplc="FFFFFFFF">
      <w:start w:val="7"/>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15:restartNumberingAfterBreak="0">
    <w:nsid w:val="154F3AC8"/>
    <w:multiLevelType w:val="multilevel"/>
    <w:tmpl w:val="C0480F0E"/>
    <w:lvl w:ilvl="0">
      <w:start w:val="1"/>
      <w:numFmt w:val="decimal"/>
      <w:pStyle w:val="Standaardwetgeving"/>
      <w:lvlText w:val="Artikel %1."/>
      <w:lvlJc w:val="left"/>
      <w:pPr>
        <w:ind w:left="360" w:hanging="360"/>
      </w:pPr>
      <w:rPr>
        <w:b/>
        <w:bCs/>
      </w:rPr>
    </w:lvl>
    <w:lvl w:ilvl="1">
      <w:start w:val="1"/>
      <w:numFmt w:val="decimal"/>
      <w:lvlText w:val="%2°"/>
      <w:lvlJc w:val="left"/>
      <w:pPr>
        <w:ind w:left="720" w:hanging="360"/>
      </w:pPr>
    </w:lvl>
    <w:lvl w:ilvl="2">
      <w:start w:val="1"/>
      <w:numFmt w:val="bullet"/>
      <w:lvlText w:val="-"/>
      <w:lvlJc w:val="left"/>
      <w:pPr>
        <w:ind w:left="1080" w:hanging="360"/>
      </w:pPr>
      <w:rPr>
        <w:rFonts w:ascii="Courier New" w:hAnsi="Courier New" w:cs="Times New Roman" w:hint="default"/>
      </w:rPr>
    </w:lvl>
    <w:lvl w:ilvl="3">
      <w:start w:val="1"/>
      <w:numFmt w:val="bullet"/>
      <w:lvlText w:val="-"/>
      <w:lvlJc w:val="left"/>
      <w:pPr>
        <w:ind w:left="1440" w:hanging="360"/>
      </w:pPr>
      <w:rPr>
        <w:rFonts w:ascii="Courier New" w:hAnsi="Courier New" w:cs="Times New Roman"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32743DB"/>
    <w:multiLevelType w:val="hybridMultilevel"/>
    <w:tmpl w:val="A3AC90AC"/>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295970AD"/>
    <w:multiLevelType w:val="hybridMultilevel"/>
    <w:tmpl w:val="ED58066A"/>
    <w:lvl w:ilvl="0" w:tplc="FFFFFFFF">
      <w:start w:val="1"/>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Times New Roman" w:hAnsi="Times New Roman" w:cs="Times New Roman" w:hint="default"/>
      </w:rPr>
    </w:lvl>
    <w:lvl w:ilvl="3" w:tplc="FFFFFFFF">
      <w:start w:val="1"/>
      <w:numFmt w:val="bullet"/>
      <w:lvlText w:val=""/>
      <w:lvlJc w:val="left"/>
      <w:pPr>
        <w:tabs>
          <w:tab w:val="num" w:pos="2880"/>
        </w:tabs>
        <w:ind w:left="2880" w:hanging="360"/>
      </w:pPr>
      <w:rPr>
        <w:rFonts w:ascii="Times New Roman" w:hAnsi="Times New Roman"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Times New Roman" w:hAnsi="Times New Roman" w:cs="Times New Roman" w:hint="default"/>
      </w:rPr>
    </w:lvl>
    <w:lvl w:ilvl="6" w:tplc="FFFFFFFF">
      <w:start w:val="1"/>
      <w:numFmt w:val="bullet"/>
      <w:lvlText w:val=""/>
      <w:lvlJc w:val="left"/>
      <w:pPr>
        <w:tabs>
          <w:tab w:val="num" w:pos="5040"/>
        </w:tabs>
        <w:ind w:left="5040" w:hanging="360"/>
      </w:pPr>
      <w:rPr>
        <w:rFonts w:ascii="Times New Roman" w:hAnsi="Times New Roman"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Times New Roman" w:hAnsi="Times New Roman" w:cs="Times New Roman" w:hint="default"/>
      </w:rPr>
    </w:lvl>
  </w:abstractNum>
  <w:abstractNum w:abstractNumId="6" w15:restartNumberingAfterBreak="0">
    <w:nsid w:val="2F267360"/>
    <w:multiLevelType w:val="hybridMultilevel"/>
    <w:tmpl w:val="93629396"/>
    <w:lvl w:ilvl="0" w:tplc="FFFFFFFF">
      <w:start w:val="1"/>
      <w:numFmt w:val="lowerLetter"/>
      <w:lvlText w:val="%1)"/>
      <w:lvlJc w:val="left"/>
      <w:pPr>
        <w:tabs>
          <w:tab w:val="num" w:pos="1776"/>
        </w:tabs>
        <w:ind w:left="1776" w:hanging="360"/>
      </w:pPr>
      <w:rPr>
        <w:rFonts w:hint="default"/>
      </w:rPr>
    </w:lvl>
    <w:lvl w:ilvl="1" w:tplc="FFFFFFFF">
      <w:start w:val="1"/>
      <w:numFmt w:val="lowerLetter"/>
      <w:lvlText w:val="%2."/>
      <w:lvlJc w:val="left"/>
      <w:pPr>
        <w:tabs>
          <w:tab w:val="num" w:pos="2496"/>
        </w:tabs>
        <w:ind w:left="2496" w:hanging="360"/>
      </w:pPr>
    </w:lvl>
    <w:lvl w:ilvl="2" w:tplc="FFFFFFFF">
      <w:start w:val="1"/>
      <w:numFmt w:val="lowerRoman"/>
      <w:lvlText w:val="%3."/>
      <w:lvlJc w:val="right"/>
      <w:pPr>
        <w:tabs>
          <w:tab w:val="num" w:pos="3216"/>
        </w:tabs>
        <w:ind w:left="3216" w:hanging="180"/>
      </w:pPr>
    </w:lvl>
    <w:lvl w:ilvl="3" w:tplc="FFFFFFFF">
      <w:start w:val="1"/>
      <w:numFmt w:val="decimal"/>
      <w:lvlText w:val="%4."/>
      <w:lvlJc w:val="left"/>
      <w:pPr>
        <w:tabs>
          <w:tab w:val="num" w:pos="3936"/>
        </w:tabs>
        <w:ind w:left="3936" w:hanging="360"/>
      </w:pPr>
    </w:lvl>
    <w:lvl w:ilvl="4" w:tplc="FFFFFFFF">
      <w:start w:val="1"/>
      <w:numFmt w:val="lowerLetter"/>
      <w:lvlText w:val="%5."/>
      <w:lvlJc w:val="left"/>
      <w:pPr>
        <w:tabs>
          <w:tab w:val="num" w:pos="4656"/>
        </w:tabs>
        <w:ind w:left="4656" w:hanging="360"/>
      </w:pPr>
    </w:lvl>
    <w:lvl w:ilvl="5" w:tplc="FFFFFFFF">
      <w:start w:val="1"/>
      <w:numFmt w:val="lowerRoman"/>
      <w:lvlText w:val="%6."/>
      <w:lvlJc w:val="right"/>
      <w:pPr>
        <w:tabs>
          <w:tab w:val="num" w:pos="5376"/>
        </w:tabs>
        <w:ind w:left="5376" w:hanging="180"/>
      </w:pPr>
    </w:lvl>
    <w:lvl w:ilvl="6" w:tplc="FFFFFFFF">
      <w:start w:val="1"/>
      <w:numFmt w:val="decimal"/>
      <w:lvlText w:val="%7."/>
      <w:lvlJc w:val="left"/>
      <w:pPr>
        <w:tabs>
          <w:tab w:val="num" w:pos="6096"/>
        </w:tabs>
        <w:ind w:left="6096" w:hanging="360"/>
      </w:pPr>
    </w:lvl>
    <w:lvl w:ilvl="7" w:tplc="FFFFFFFF">
      <w:start w:val="1"/>
      <w:numFmt w:val="lowerLetter"/>
      <w:lvlText w:val="%8."/>
      <w:lvlJc w:val="left"/>
      <w:pPr>
        <w:tabs>
          <w:tab w:val="num" w:pos="6816"/>
        </w:tabs>
        <w:ind w:left="6816" w:hanging="360"/>
      </w:pPr>
    </w:lvl>
    <w:lvl w:ilvl="8" w:tplc="FFFFFFFF">
      <w:start w:val="1"/>
      <w:numFmt w:val="lowerRoman"/>
      <w:lvlText w:val="%9."/>
      <w:lvlJc w:val="right"/>
      <w:pPr>
        <w:tabs>
          <w:tab w:val="num" w:pos="7536"/>
        </w:tabs>
        <w:ind w:left="7536" w:hanging="180"/>
      </w:pPr>
    </w:lvl>
  </w:abstractNum>
  <w:abstractNum w:abstractNumId="7" w15:restartNumberingAfterBreak="0">
    <w:nsid w:val="2FF62C53"/>
    <w:multiLevelType w:val="multilevel"/>
    <w:tmpl w:val="482A01E4"/>
    <w:lvl w:ilvl="0">
      <w:start w:val="1"/>
      <w:numFmt w:val="upperRoman"/>
      <w:lvlText w:val="%1."/>
      <w:lvlJc w:val="left"/>
      <w:pPr>
        <w:tabs>
          <w:tab w:val="num" w:pos="720"/>
        </w:tabs>
        <w:ind w:left="720" w:hanging="72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C177BD9"/>
    <w:multiLevelType w:val="hybridMultilevel"/>
    <w:tmpl w:val="DC36C6E4"/>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4E8205B8"/>
    <w:multiLevelType w:val="hybridMultilevel"/>
    <w:tmpl w:val="6B4A89C0"/>
    <w:lvl w:ilvl="0" w:tplc="FFFFFFFF">
      <w:start w:val="8300"/>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Times New Roman" w:hAnsi="Times New Roman" w:cs="Times New Roman" w:hint="default"/>
      </w:rPr>
    </w:lvl>
    <w:lvl w:ilvl="3" w:tplc="FFFFFFFF">
      <w:start w:val="1"/>
      <w:numFmt w:val="bullet"/>
      <w:lvlText w:val=""/>
      <w:lvlJc w:val="left"/>
      <w:pPr>
        <w:tabs>
          <w:tab w:val="num" w:pos="2880"/>
        </w:tabs>
        <w:ind w:left="2880" w:hanging="360"/>
      </w:pPr>
      <w:rPr>
        <w:rFonts w:ascii="Times New Roman" w:hAnsi="Times New Roman"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Times New Roman" w:hAnsi="Times New Roman" w:cs="Times New Roman" w:hint="default"/>
      </w:rPr>
    </w:lvl>
    <w:lvl w:ilvl="6" w:tplc="FFFFFFFF">
      <w:start w:val="1"/>
      <w:numFmt w:val="bullet"/>
      <w:lvlText w:val=""/>
      <w:lvlJc w:val="left"/>
      <w:pPr>
        <w:tabs>
          <w:tab w:val="num" w:pos="5040"/>
        </w:tabs>
        <w:ind w:left="5040" w:hanging="360"/>
      </w:pPr>
      <w:rPr>
        <w:rFonts w:ascii="Times New Roman" w:hAnsi="Times New Roman"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Times New Roman" w:hAnsi="Times New Roman" w:cs="Times New Roman" w:hint="default"/>
      </w:rPr>
    </w:lvl>
  </w:abstractNum>
  <w:abstractNum w:abstractNumId="10" w15:restartNumberingAfterBreak="0">
    <w:nsid w:val="4F0A79BE"/>
    <w:multiLevelType w:val="hybridMultilevel"/>
    <w:tmpl w:val="0D8C0CB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E5E05A7"/>
    <w:multiLevelType w:val="multilevel"/>
    <w:tmpl w:val="040C000F"/>
    <w:lvl w:ilvl="0">
      <w:start w:val="1"/>
      <w:numFmt w:val="decimal"/>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E751E90"/>
    <w:multiLevelType w:val="hybridMultilevel"/>
    <w:tmpl w:val="025E4CA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5"/>
  </w:num>
  <w:num w:numId="3">
    <w:abstractNumId w:val="6"/>
  </w:num>
  <w:num w:numId="4">
    <w:abstractNumId w:val="1"/>
  </w:num>
  <w:num w:numId="5">
    <w:abstractNumId w:val="9"/>
  </w:num>
  <w:num w:numId="6">
    <w:abstractNumId w:val="2"/>
  </w:num>
  <w:num w:numId="7">
    <w:abstractNumId w:val="11"/>
  </w:num>
  <w:num w:numId="8">
    <w:abstractNumId w:val="4"/>
  </w:num>
  <w:num w:numId="9">
    <w:abstractNumId w:val="8"/>
  </w:num>
  <w:num w:numId="10">
    <w:abstractNumId w:val="12"/>
  </w:num>
  <w:num w:numId="11">
    <w:abstractNumId w:val="3"/>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67E"/>
    <w:rsid w:val="000003D1"/>
    <w:rsid w:val="00002835"/>
    <w:rsid w:val="00007073"/>
    <w:rsid w:val="0000749B"/>
    <w:rsid w:val="000143DB"/>
    <w:rsid w:val="00015057"/>
    <w:rsid w:val="00016219"/>
    <w:rsid w:val="0001647E"/>
    <w:rsid w:val="0003531C"/>
    <w:rsid w:val="00036E33"/>
    <w:rsid w:val="00043739"/>
    <w:rsid w:val="00051A63"/>
    <w:rsid w:val="00057875"/>
    <w:rsid w:val="00060BF6"/>
    <w:rsid w:val="00060C6C"/>
    <w:rsid w:val="00062249"/>
    <w:rsid w:val="00063311"/>
    <w:rsid w:val="00063C53"/>
    <w:rsid w:val="0006676B"/>
    <w:rsid w:val="000703E2"/>
    <w:rsid w:val="0007249A"/>
    <w:rsid w:val="000763CF"/>
    <w:rsid w:val="000801B8"/>
    <w:rsid w:val="00080386"/>
    <w:rsid w:val="00082EA8"/>
    <w:rsid w:val="00095C9F"/>
    <w:rsid w:val="000A0778"/>
    <w:rsid w:val="000A07A9"/>
    <w:rsid w:val="000A083D"/>
    <w:rsid w:val="000A57BF"/>
    <w:rsid w:val="000A78C4"/>
    <w:rsid w:val="000B20C2"/>
    <w:rsid w:val="000B3C51"/>
    <w:rsid w:val="000C3BA6"/>
    <w:rsid w:val="000D05B5"/>
    <w:rsid w:val="000D2A49"/>
    <w:rsid w:val="000D2FC0"/>
    <w:rsid w:val="000E3B6E"/>
    <w:rsid w:val="000E40C6"/>
    <w:rsid w:val="000F46AC"/>
    <w:rsid w:val="000F7935"/>
    <w:rsid w:val="000F7D13"/>
    <w:rsid w:val="00124F6F"/>
    <w:rsid w:val="00127893"/>
    <w:rsid w:val="00133273"/>
    <w:rsid w:val="0013697C"/>
    <w:rsid w:val="0014038C"/>
    <w:rsid w:val="00146732"/>
    <w:rsid w:val="00147DD1"/>
    <w:rsid w:val="0015179D"/>
    <w:rsid w:val="0015323E"/>
    <w:rsid w:val="00154246"/>
    <w:rsid w:val="0015505F"/>
    <w:rsid w:val="0016343E"/>
    <w:rsid w:val="00164A61"/>
    <w:rsid w:val="00165C7E"/>
    <w:rsid w:val="0016681B"/>
    <w:rsid w:val="00175C13"/>
    <w:rsid w:val="00176436"/>
    <w:rsid w:val="0017714F"/>
    <w:rsid w:val="001826CA"/>
    <w:rsid w:val="00185735"/>
    <w:rsid w:val="00191261"/>
    <w:rsid w:val="00191A53"/>
    <w:rsid w:val="00193913"/>
    <w:rsid w:val="001A562F"/>
    <w:rsid w:val="001B2F1C"/>
    <w:rsid w:val="001B578F"/>
    <w:rsid w:val="001C3B01"/>
    <w:rsid w:val="001C4980"/>
    <w:rsid w:val="001C4C9D"/>
    <w:rsid w:val="001C559B"/>
    <w:rsid w:val="001D664B"/>
    <w:rsid w:val="001D6C4E"/>
    <w:rsid w:val="001E0139"/>
    <w:rsid w:val="001E07DD"/>
    <w:rsid w:val="001E0BBA"/>
    <w:rsid w:val="001E558B"/>
    <w:rsid w:val="001E5B6E"/>
    <w:rsid w:val="001E6E7A"/>
    <w:rsid w:val="001F2095"/>
    <w:rsid w:val="001F2441"/>
    <w:rsid w:val="001F2FC1"/>
    <w:rsid w:val="001F3A65"/>
    <w:rsid w:val="001F6307"/>
    <w:rsid w:val="002019D1"/>
    <w:rsid w:val="0020730A"/>
    <w:rsid w:val="00214D78"/>
    <w:rsid w:val="0022227E"/>
    <w:rsid w:val="002235D5"/>
    <w:rsid w:val="00224B07"/>
    <w:rsid w:val="00235F1A"/>
    <w:rsid w:val="00237DAB"/>
    <w:rsid w:val="00242968"/>
    <w:rsid w:val="0025387F"/>
    <w:rsid w:val="00254EEE"/>
    <w:rsid w:val="00266523"/>
    <w:rsid w:val="00275E8B"/>
    <w:rsid w:val="00281DE8"/>
    <w:rsid w:val="00284CA5"/>
    <w:rsid w:val="002872F9"/>
    <w:rsid w:val="00287A4A"/>
    <w:rsid w:val="00294083"/>
    <w:rsid w:val="002959EA"/>
    <w:rsid w:val="002A414C"/>
    <w:rsid w:val="002A707A"/>
    <w:rsid w:val="002B0E32"/>
    <w:rsid w:val="002B1C2F"/>
    <w:rsid w:val="002B1EDB"/>
    <w:rsid w:val="002C1C6B"/>
    <w:rsid w:val="002C1DF8"/>
    <w:rsid w:val="002C24AB"/>
    <w:rsid w:val="002C2588"/>
    <w:rsid w:val="002C557B"/>
    <w:rsid w:val="002C7B8C"/>
    <w:rsid w:val="002D1DB3"/>
    <w:rsid w:val="002D2ACB"/>
    <w:rsid w:val="002D4452"/>
    <w:rsid w:val="002D4B2B"/>
    <w:rsid w:val="002D4E42"/>
    <w:rsid w:val="002E124C"/>
    <w:rsid w:val="002E2992"/>
    <w:rsid w:val="002E40F6"/>
    <w:rsid w:val="002F151D"/>
    <w:rsid w:val="002F27C0"/>
    <w:rsid w:val="002F32DD"/>
    <w:rsid w:val="002F4F59"/>
    <w:rsid w:val="002F6D7F"/>
    <w:rsid w:val="002F718A"/>
    <w:rsid w:val="0030693E"/>
    <w:rsid w:val="00312CFB"/>
    <w:rsid w:val="00314F67"/>
    <w:rsid w:val="00315AB5"/>
    <w:rsid w:val="0032178B"/>
    <w:rsid w:val="00325DD6"/>
    <w:rsid w:val="003335C7"/>
    <w:rsid w:val="00333E5F"/>
    <w:rsid w:val="003340FD"/>
    <w:rsid w:val="00334107"/>
    <w:rsid w:val="003361C4"/>
    <w:rsid w:val="0033707E"/>
    <w:rsid w:val="00340156"/>
    <w:rsid w:val="0034480A"/>
    <w:rsid w:val="00356B0C"/>
    <w:rsid w:val="00356BB8"/>
    <w:rsid w:val="00357825"/>
    <w:rsid w:val="0036032F"/>
    <w:rsid w:val="00360998"/>
    <w:rsid w:val="003611EA"/>
    <w:rsid w:val="00361783"/>
    <w:rsid w:val="003635C6"/>
    <w:rsid w:val="00370DC2"/>
    <w:rsid w:val="0037563A"/>
    <w:rsid w:val="00381387"/>
    <w:rsid w:val="00382B71"/>
    <w:rsid w:val="0038764B"/>
    <w:rsid w:val="00390BE1"/>
    <w:rsid w:val="00391004"/>
    <w:rsid w:val="003920BC"/>
    <w:rsid w:val="003928C6"/>
    <w:rsid w:val="003935C7"/>
    <w:rsid w:val="003A2DD6"/>
    <w:rsid w:val="003A303F"/>
    <w:rsid w:val="003A3A7C"/>
    <w:rsid w:val="003A443E"/>
    <w:rsid w:val="003A461C"/>
    <w:rsid w:val="003A6163"/>
    <w:rsid w:val="003A6F18"/>
    <w:rsid w:val="003C1257"/>
    <w:rsid w:val="003C26FD"/>
    <w:rsid w:val="003C45DC"/>
    <w:rsid w:val="003C71AD"/>
    <w:rsid w:val="003D06CE"/>
    <w:rsid w:val="003D5A5B"/>
    <w:rsid w:val="003D6B80"/>
    <w:rsid w:val="003D751F"/>
    <w:rsid w:val="003E449F"/>
    <w:rsid w:val="003F4F69"/>
    <w:rsid w:val="003F516C"/>
    <w:rsid w:val="003F6043"/>
    <w:rsid w:val="003F6B70"/>
    <w:rsid w:val="00400E4D"/>
    <w:rsid w:val="004027A1"/>
    <w:rsid w:val="00402AF0"/>
    <w:rsid w:val="00405A1A"/>
    <w:rsid w:val="00406691"/>
    <w:rsid w:val="00410955"/>
    <w:rsid w:val="0042100D"/>
    <w:rsid w:val="00433507"/>
    <w:rsid w:val="00437C30"/>
    <w:rsid w:val="00443167"/>
    <w:rsid w:val="004445F4"/>
    <w:rsid w:val="00447A8D"/>
    <w:rsid w:val="004531DC"/>
    <w:rsid w:val="0045596F"/>
    <w:rsid w:val="00455B4F"/>
    <w:rsid w:val="0045629A"/>
    <w:rsid w:val="0046479A"/>
    <w:rsid w:val="00475015"/>
    <w:rsid w:val="00476B62"/>
    <w:rsid w:val="004818C7"/>
    <w:rsid w:val="00484CCB"/>
    <w:rsid w:val="00485206"/>
    <w:rsid w:val="0049053C"/>
    <w:rsid w:val="0049115B"/>
    <w:rsid w:val="00491D38"/>
    <w:rsid w:val="00495C07"/>
    <w:rsid w:val="00495D61"/>
    <w:rsid w:val="0049604B"/>
    <w:rsid w:val="004A333B"/>
    <w:rsid w:val="004A6FE1"/>
    <w:rsid w:val="004B51A1"/>
    <w:rsid w:val="004B5AE7"/>
    <w:rsid w:val="004B7330"/>
    <w:rsid w:val="004C287B"/>
    <w:rsid w:val="004C55EA"/>
    <w:rsid w:val="004C5C05"/>
    <w:rsid w:val="004C63DF"/>
    <w:rsid w:val="004D11F4"/>
    <w:rsid w:val="004D12BF"/>
    <w:rsid w:val="004D3ED4"/>
    <w:rsid w:val="004D4DF4"/>
    <w:rsid w:val="004D64FC"/>
    <w:rsid w:val="004D7B97"/>
    <w:rsid w:val="004F2087"/>
    <w:rsid w:val="004F3BF4"/>
    <w:rsid w:val="0050288A"/>
    <w:rsid w:val="0050697D"/>
    <w:rsid w:val="00506C86"/>
    <w:rsid w:val="00513FCC"/>
    <w:rsid w:val="00524734"/>
    <w:rsid w:val="005253F9"/>
    <w:rsid w:val="0052608A"/>
    <w:rsid w:val="00526C98"/>
    <w:rsid w:val="00535122"/>
    <w:rsid w:val="00544722"/>
    <w:rsid w:val="005448AD"/>
    <w:rsid w:val="00546773"/>
    <w:rsid w:val="005504C1"/>
    <w:rsid w:val="0055267E"/>
    <w:rsid w:val="00552D09"/>
    <w:rsid w:val="005552FB"/>
    <w:rsid w:val="005575BD"/>
    <w:rsid w:val="00557D4A"/>
    <w:rsid w:val="00561B0A"/>
    <w:rsid w:val="00562FB4"/>
    <w:rsid w:val="00563A07"/>
    <w:rsid w:val="005647F9"/>
    <w:rsid w:val="00565E6D"/>
    <w:rsid w:val="00573EE3"/>
    <w:rsid w:val="00581089"/>
    <w:rsid w:val="005832DA"/>
    <w:rsid w:val="00583F66"/>
    <w:rsid w:val="00587AC9"/>
    <w:rsid w:val="0059126F"/>
    <w:rsid w:val="005918EA"/>
    <w:rsid w:val="0059242B"/>
    <w:rsid w:val="0059320D"/>
    <w:rsid w:val="00595153"/>
    <w:rsid w:val="005A0F62"/>
    <w:rsid w:val="005A1411"/>
    <w:rsid w:val="005A761B"/>
    <w:rsid w:val="005A7C84"/>
    <w:rsid w:val="005B0D02"/>
    <w:rsid w:val="005B3601"/>
    <w:rsid w:val="005C1801"/>
    <w:rsid w:val="005C1D1C"/>
    <w:rsid w:val="005C35E1"/>
    <w:rsid w:val="005C492D"/>
    <w:rsid w:val="005C55A0"/>
    <w:rsid w:val="005C74DA"/>
    <w:rsid w:val="005D003E"/>
    <w:rsid w:val="005D0783"/>
    <w:rsid w:val="005D0FA5"/>
    <w:rsid w:val="005E0B80"/>
    <w:rsid w:val="005E63AA"/>
    <w:rsid w:val="005F0EFF"/>
    <w:rsid w:val="005F69E1"/>
    <w:rsid w:val="006063FD"/>
    <w:rsid w:val="00613E29"/>
    <w:rsid w:val="00617461"/>
    <w:rsid w:val="00633757"/>
    <w:rsid w:val="00633EB0"/>
    <w:rsid w:val="006403EF"/>
    <w:rsid w:val="00640A49"/>
    <w:rsid w:val="00640B80"/>
    <w:rsid w:val="006473ED"/>
    <w:rsid w:val="00662139"/>
    <w:rsid w:val="00664BBB"/>
    <w:rsid w:val="006661E8"/>
    <w:rsid w:val="00671B4D"/>
    <w:rsid w:val="00681EA3"/>
    <w:rsid w:val="00685794"/>
    <w:rsid w:val="006941F6"/>
    <w:rsid w:val="00695BBC"/>
    <w:rsid w:val="006A30B9"/>
    <w:rsid w:val="006A4747"/>
    <w:rsid w:val="006B556D"/>
    <w:rsid w:val="006B7536"/>
    <w:rsid w:val="006B763D"/>
    <w:rsid w:val="006C3787"/>
    <w:rsid w:val="006D1600"/>
    <w:rsid w:val="006D560F"/>
    <w:rsid w:val="006D6750"/>
    <w:rsid w:val="006D682F"/>
    <w:rsid w:val="006E34E3"/>
    <w:rsid w:val="006E55A0"/>
    <w:rsid w:val="006E5C82"/>
    <w:rsid w:val="006E7A44"/>
    <w:rsid w:val="006F209C"/>
    <w:rsid w:val="006F22D5"/>
    <w:rsid w:val="006F24B2"/>
    <w:rsid w:val="006F45E5"/>
    <w:rsid w:val="006F795B"/>
    <w:rsid w:val="0070647E"/>
    <w:rsid w:val="007112FB"/>
    <w:rsid w:val="00712F67"/>
    <w:rsid w:val="00714C89"/>
    <w:rsid w:val="00715988"/>
    <w:rsid w:val="00717284"/>
    <w:rsid w:val="00720619"/>
    <w:rsid w:val="007248C3"/>
    <w:rsid w:val="007269CA"/>
    <w:rsid w:val="00727460"/>
    <w:rsid w:val="00731983"/>
    <w:rsid w:val="00731DAE"/>
    <w:rsid w:val="007377C9"/>
    <w:rsid w:val="007507D1"/>
    <w:rsid w:val="00760635"/>
    <w:rsid w:val="00760DAD"/>
    <w:rsid w:val="00765214"/>
    <w:rsid w:val="00773B38"/>
    <w:rsid w:val="0077462D"/>
    <w:rsid w:val="007757B0"/>
    <w:rsid w:val="00785AF2"/>
    <w:rsid w:val="00794807"/>
    <w:rsid w:val="00794F9A"/>
    <w:rsid w:val="00797C84"/>
    <w:rsid w:val="00797FFB"/>
    <w:rsid w:val="007A393A"/>
    <w:rsid w:val="007A69F1"/>
    <w:rsid w:val="007B1A21"/>
    <w:rsid w:val="007B4F9E"/>
    <w:rsid w:val="007B6912"/>
    <w:rsid w:val="007C6B4F"/>
    <w:rsid w:val="007D38DE"/>
    <w:rsid w:val="007D5FEB"/>
    <w:rsid w:val="007E313D"/>
    <w:rsid w:val="007E553F"/>
    <w:rsid w:val="007E6F84"/>
    <w:rsid w:val="007F153D"/>
    <w:rsid w:val="007F1E2F"/>
    <w:rsid w:val="007F5C40"/>
    <w:rsid w:val="007F6935"/>
    <w:rsid w:val="007F6EEC"/>
    <w:rsid w:val="00803C5B"/>
    <w:rsid w:val="0081171B"/>
    <w:rsid w:val="00814045"/>
    <w:rsid w:val="00814C44"/>
    <w:rsid w:val="008234F2"/>
    <w:rsid w:val="00823C1E"/>
    <w:rsid w:val="00825483"/>
    <w:rsid w:val="00827A35"/>
    <w:rsid w:val="008321C0"/>
    <w:rsid w:val="00832C4C"/>
    <w:rsid w:val="00832E80"/>
    <w:rsid w:val="00833399"/>
    <w:rsid w:val="008360A6"/>
    <w:rsid w:val="00840E67"/>
    <w:rsid w:val="00841347"/>
    <w:rsid w:val="00841D3A"/>
    <w:rsid w:val="00843E6D"/>
    <w:rsid w:val="0084730F"/>
    <w:rsid w:val="008474A7"/>
    <w:rsid w:val="00852042"/>
    <w:rsid w:val="0085257D"/>
    <w:rsid w:val="008526BA"/>
    <w:rsid w:val="0085576F"/>
    <w:rsid w:val="00861DD8"/>
    <w:rsid w:val="00863174"/>
    <w:rsid w:val="00864590"/>
    <w:rsid w:val="008652CB"/>
    <w:rsid w:val="00865F1E"/>
    <w:rsid w:val="008661E8"/>
    <w:rsid w:val="008676CF"/>
    <w:rsid w:val="00876BA1"/>
    <w:rsid w:val="00884F2D"/>
    <w:rsid w:val="0089312C"/>
    <w:rsid w:val="00897C0D"/>
    <w:rsid w:val="008A0A18"/>
    <w:rsid w:val="008A668F"/>
    <w:rsid w:val="008B1A4F"/>
    <w:rsid w:val="008B221B"/>
    <w:rsid w:val="008B4C02"/>
    <w:rsid w:val="008C4A7C"/>
    <w:rsid w:val="008C572A"/>
    <w:rsid w:val="008D0B74"/>
    <w:rsid w:val="008D2F43"/>
    <w:rsid w:val="008D78EE"/>
    <w:rsid w:val="008E1263"/>
    <w:rsid w:val="008E28F1"/>
    <w:rsid w:val="008E3CEE"/>
    <w:rsid w:val="008E4784"/>
    <w:rsid w:val="008E620A"/>
    <w:rsid w:val="008E6514"/>
    <w:rsid w:val="008E6A43"/>
    <w:rsid w:val="008E74A8"/>
    <w:rsid w:val="008F2BBC"/>
    <w:rsid w:val="008F3AD9"/>
    <w:rsid w:val="008F60F2"/>
    <w:rsid w:val="0090322B"/>
    <w:rsid w:val="00907B06"/>
    <w:rsid w:val="00910B6D"/>
    <w:rsid w:val="009125C0"/>
    <w:rsid w:val="009148A0"/>
    <w:rsid w:val="009155B4"/>
    <w:rsid w:val="00922D32"/>
    <w:rsid w:val="009272CB"/>
    <w:rsid w:val="009272D1"/>
    <w:rsid w:val="00927F91"/>
    <w:rsid w:val="009308CF"/>
    <w:rsid w:val="00936F46"/>
    <w:rsid w:val="0093778E"/>
    <w:rsid w:val="00937FB3"/>
    <w:rsid w:val="00951343"/>
    <w:rsid w:val="00951524"/>
    <w:rsid w:val="00952FE9"/>
    <w:rsid w:val="0095489D"/>
    <w:rsid w:val="00954A9C"/>
    <w:rsid w:val="009656C3"/>
    <w:rsid w:val="00965BF2"/>
    <w:rsid w:val="00972A6D"/>
    <w:rsid w:val="00973D0B"/>
    <w:rsid w:val="00975F66"/>
    <w:rsid w:val="009807DA"/>
    <w:rsid w:val="0098108A"/>
    <w:rsid w:val="00981CA4"/>
    <w:rsid w:val="0099433E"/>
    <w:rsid w:val="00995845"/>
    <w:rsid w:val="00997FC4"/>
    <w:rsid w:val="009A0F77"/>
    <w:rsid w:val="009A23C0"/>
    <w:rsid w:val="009A328E"/>
    <w:rsid w:val="009A544C"/>
    <w:rsid w:val="009A6AFC"/>
    <w:rsid w:val="009B16D6"/>
    <w:rsid w:val="009C31AA"/>
    <w:rsid w:val="009C3DC3"/>
    <w:rsid w:val="009D19A8"/>
    <w:rsid w:val="009D3B91"/>
    <w:rsid w:val="009E21FB"/>
    <w:rsid w:val="009E2446"/>
    <w:rsid w:val="009E2456"/>
    <w:rsid w:val="009E56BD"/>
    <w:rsid w:val="009E6A62"/>
    <w:rsid w:val="009E703F"/>
    <w:rsid w:val="009F5395"/>
    <w:rsid w:val="00A00D4D"/>
    <w:rsid w:val="00A047EE"/>
    <w:rsid w:val="00A146A0"/>
    <w:rsid w:val="00A203CA"/>
    <w:rsid w:val="00A30223"/>
    <w:rsid w:val="00A3025B"/>
    <w:rsid w:val="00A31645"/>
    <w:rsid w:val="00A35544"/>
    <w:rsid w:val="00A369D9"/>
    <w:rsid w:val="00A37EC3"/>
    <w:rsid w:val="00A40957"/>
    <w:rsid w:val="00A425FC"/>
    <w:rsid w:val="00A42C83"/>
    <w:rsid w:val="00A43BDD"/>
    <w:rsid w:val="00A4517B"/>
    <w:rsid w:val="00A4691C"/>
    <w:rsid w:val="00A46FA0"/>
    <w:rsid w:val="00A509C2"/>
    <w:rsid w:val="00A53C81"/>
    <w:rsid w:val="00A60132"/>
    <w:rsid w:val="00A62244"/>
    <w:rsid w:val="00A633E1"/>
    <w:rsid w:val="00A638B0"/>
    <w:rsid w:val="00A6494B"/>
    <w:rsid w:val="00A71B42"/>
    <w:rsid w:val="00A72C53"/>
    <w:rsid w:val="00A72F21"/>
    <w:rsid w:val="00A8088E"/>
    <w:rsid w:val="00A8311E"/>
    <w:rsid w:val="00A910E8"/>
    <w:rsid w:val="00AA2C7F"/>
    <w:rsid w:val="00AA59B3"/>
    <w:rsid w:val="00AB12BC"/>
    <w:rsid w:val="00AB3422"/>
    <w:rsid w:val="00AB3D8F"/>
    <w:rsid w:val="00AB7E03"/>
    <w:rsid w:val="00AC4196"/>
    <w:rsid w:val="00AC4894"/>
    <w:rsid w:val="00AC7458"/>
    <w:rsid w:val="00AD1769"/>
    <w:rsid w:val="00AD59E6"/>
    <w:rsid w:val="00AE2ED2"/>
    <w:rsid w:val="00AE5087"/>
    <w:rsid w:val="00AE5101"/>
    <w:rsid w:val="00AE62BF"/>
    <w:rsid w:val="00AF08FF"/>
    <w:rsid w:val="00AF0CBA"/>
    <w:rsid w:val="00AF124F"/>
    <w:rsid w:val="00AF25F5"/>
    <w:rsid w:val="00B0046D"/>
    <w:rsid w:val="00B06482"/>
    <w:rsid w:val="00B11F78"/>
    <w:rsid w:val="00B15580"/>
    <w:rsid w:val="00B21506"/>
    <w:rsid w:val="00B22D88"/>
    <w:rsid w:val="00B23C04"/>
    <w:rsid w:val="00B50B6B"/>
    <w:rsid w:val="00B50BA6"/>
    <w:rsid w:val="00B528AB"/>
    <w:rsid w:val="00B538D3"/>
    <w:rsid w:val="00B57775"/>
    <w:rsid w:val="00B62955"/>
    <w:rsid w:val="00B64629"/>
    <w:rsid w:val="00B65443"/>
    <w:rsid w:val="00B66D1C"/>
    <w:rsid w:val="00B73016"/>
    <w:rsid w:val="00B733CC"/>
    <w:rsid w:val="00B805A3"/>
    <w:rsid w:val="00B83E9F"/>
    <w:rsid w:val="00B84F67"/>
    <w:rsid w:val="00B85FBC"/>
    <w:rsid w:val="00B86E09"/>
    <w:rsid w:val="00B91CED"/>
    <w:rsid w:val="00B9294A"/>
    <w:rsid w:val="00B93BB4"/>
    <w:rsid w:val="00B950BF"/>
    <w:rsid w:val="00B9742E"/>
    <w:rsid w:val="00BA1916"/>
    <w:rsid w:val="00BA294D"/>
    <w:rsid w:val="00BA532E"/>
    <w:rsid w:val="00BA764F"/>
    <w:rsid w:val="00BB267B"/>
    <w:rsid w:val="00BB49F4"/>
    <w:rsid w:val="00BB5732"/>
    <w:rsid w:val="00BB5BC4"/>
    <w:rsid w:val="00BC2E4A"/>
    <w:rsid w:val="00BC406B"/>
    <w:rsid w:val="00BC48AD"/>
    <w:rsid w:val="00BC52A3"/>
    <w:rsid w:val="00BD4979"/>
    <w:rsid w:val="00BE04FF"/>
    <w:rsid w:val="00BE1728"/>
    <w:rsid w:val="00BE2E03"/>
    <w:rsid w:val="00BE5EFE"/>
    <w:rsid w:val="00BF0331"/>
    <w:rsid w:val="00BF13A1"/>
    <w:rsid w:val="00BF3D13"/>
    <w:rsid w:val="00BF52C6"/>
    <w:rsid w:val="00BF5EB8"/>
    <w:rsid w:val="00BF7847"/>
    <w:rsid w:val="00C0207F"/>
    <w:rsid w:val="00C1059F"/>
    <w:rsid w:val="00C10E52"/>
    <w:rsid w:val="00C116EF"/>
    <w:rsid w:val="00C20C82"/>
    <w:rsid w:val="00C27258"/>
    <w:rsid w:val="00C32646"/>
    <w:rsid w:val="00C35CC6"/>
    <w:rsid w:val="00C36B52"/>
    <w:rsid w:val="00C434CE"/>
    <w:rsid w:val="00C450D3"/>
    <w:rsid w:val="00C605D0"/>
    <w:rsid w:val="00C61C01"/>
    <w:rsid w:val="00C625EF"/>
    <w:rsid w:val="00C67B61"/>
    <w:rsid w:val="00C67BE0"/>
    <w:rsid w:val="00C702DD"/>
    <w:rsid w:val="00C7147F"/>
    <w:rsid w:val="00C73C13"/>
    <w:rsid w:val="00C8019E"/>
    <w:rsid w:val="00C80D13"/>
    <w:rsid w:val="00C85902"/>
    <w:rsid w:val="00C923CB"/>
    <w:rsid w:val="00C94EB0"/>
    <w:rsid w:val="00C96472"/>
    <w:rsid w:val="00CA217B"/>
    <w:rsid w:val="00CA2C4A"/>
    <w:rsid w:val="00CA4F5E"/>
    <w:rsid w:val="00CB0098"/>
    <w:rsid w:val="00CB1E81"/>
    <w:rsid w:val="00CB38DE"/>
    <w:rsid w:val="00CB3D73"/>
    <w:rsid w:val="00CB77B5"/>
    <w:rsid w:val="00CC245A"/>
    <w:rsid w:val="00CD3EA1"/>
    <w:rsid w:val="00CD417F"/>
    <w:rsid w:val="00CD60C9"/>
    <w:rsid w:val="00CE187B"/>
    <w:rsid w:val="00CE430A"/>
    <w:rsid w:val="00CE5387"/>
    <w:rsid w:val="00D0077F"/>
    <w:rsid w:val="00D0172C"/>
    <w:rsid w:val="00D01FEA"/>
    <w:rsid w:val="00D02E65"/>
    <w:rsid w:val="00D05DB4"/>
    <w:rsid w:val="00D07A36"/>
    <w:rsid w:val="00D10942"/>
    <w:rsid w:val="00D13AB3"/>
    <w:rsid w:val="00D20014"/>
    <w:rsid w:val="00D20041"/>
    <w:rsid w:val="00D210B1"/>
    <w:rsid w:val="00D275FE"/>
    <w:rsid w:val="00D30829"/>
    <w:rsid w:val="00D31BCD"/>
    <w:rsid w:val="00D341D9"/>
    <w:rsid w:val="00D35753"/>
    <w:rsid w:val="00D35945"/>
    <w:rsid w:val="00D36A41"/>
    <w:rsid w:val="00D4117F"/>
    <w:rsid w:val="00D4285E"/>
    <w:rsid w:val="00D5196B"/>
    <w:rsid w:val="00D63BF6"/>
    <w:rsid w:val="00D64262"/>
    <w:rsid w:val="00D741A9"/>
    <w:rsid w:val="00D77A0A"/>
    <w:rsid w:val="00D85416"/>
    <w:rsid w:val="00D92970"/>
    <w:rsid w:val="00D9317B"/>
    <w:rsid w:val="00D95163"/>
    <w:rsid w:val="00D9658E"/>
    <w:rsid w:val="00D96F74"/>
    <w:rsid w:val="00DA00DC"/>
    <w:rsid w:val="00DA1D75"/>
    <w:rsid w:val="00DA34AE"/>
    <w:rsid w:val="00DB3A6C"/>
    <w:rsid w:val="00DC05D6"/>
    <w:rsid w:val="00DC6562"/>
    <w:rsid w:val="00DD05D8"/>
    <w:rsid w:val="00DD2823"/>
    <w:rsid w:val="00DD2E94"/>
    <w:rsid w:val="00DD2F87"/>
    <w:rsid w:val="00DD3B10"/>
    <w:rsid w:val="00DD5DD8"/>
    <w:rsid w:val="00DE0FC0"/>
    <w:rsid w:val="00DE21EC"/>
    <w:rsid w:val="00DE3C81"/>
    <w:rsid w:val="00DE7049"/>
    <w:rsid w:val="00DF01B8"/>
    <w:rsid w:val="00DF52C0"/>
    <w:rsid w:val="00E050B8"/>
    <w:rsid w:val="00E06571"/>
    <w:rsid w:val="00E110F7"/>
    <w:rsid w:val="00E123AE"/>
    <w:rsid w:val="00E1544C"/>
    <w:rsid w:val="00E22428"/>
    <w:rsid w:val="00E22F2C"/>
    <w:rsid w:val="00E31165"/>
    <w:rsid w:val="00E31729"/>
    <w:rsid w:val="00E368C4"/>
    <w:rsid w:val="00E401E4"/>
    <w:rsid w:val="00E4149C"/>
    <w:rsid w:val="00E43C76"/>
    <w:rsid w:val="00E45E18"/>
    <w:rsid w:val="00E51FC7"/>
    <w:rsid w:val="00E52731"/>
    <w:rsid w:val="00E54134"/>
    <w:rsid w:val="00E54EF4"/>
    <w:rsid w:val="00E57A59"/>
    <w:rsid w:val="00E62D01"/>
    <w:rsid w:val="00E703FB"/>
    <w:rsid w:val="00E70B72"/>
    <w:rsid w:val="00E737D7"/>
    <w:rsid w:val="00E804C2"/>
    <w:rsid w:val="00E80A42"/>
    <w:rsid w:val="00E82EA4"/>
    <w:rsid w:val="00E83522"/>
    <w:rsid w:val="00E86CE2"/>
    <w:rsid w:val="00E904E0"/>
    <w:rsid w:val="00E90A2A"/>
    <w:rsid w:val="00E92976"/>
    <w:rsid w:val="00E9405B"/>
    <w:rsid w:val="00EA66B6"/>
    <w:rsid w:val="00EA73C1"/>
    <w:rsid w:val="00EB13B3"/>
    <w:rsid w:val="00EC0121"/>
    <w:rsid w:val="00EC0A09"/>
    <w:rsid w:val="00EC1643"/>
    <w:rsid w:val="00EC30CB"/>
    <w:rsid w:val="00EC5713"/>
    <w:rsid w:val="00EC7394"/>
    <w:rsid w:val="00EC773E"/>
    <w:rsid w:val="00ED14E3"/>
    <w:rsid w:val="00ED2AC6"/>
    <w:rsid w:val="00ED44CA"/>
    <w:rsid w:val="00ED5EA7"/>
    <w:rsid w:val="00ED60A7"/>
    <w:rsid w:val="00ED66CA"/>
    <w:rsid w:val="00EE12D2"/>
    <w:rsid w:val="00EE4FAA"/>
    <w:rsid w:val="00EE5071"/>
    <w:rsid w:val="00EF0182"/>
    <w:rsid w:val="00EF4E24"/>
    <w:rsid w:val="00F00D67"/>
    <w:rsid w:val="00F0148F"/>
    <w:rsid w:val="00F01F55"/>
    <w:rsid w:val="00F02163"/>
    <w:rsid w:val="00F05465"/>
    <w:rsid w:val="00F05D42"/>
    <w:rsid w:val="00F06088"/>
    <w:rsid w:val="00F13009"/>
    <w:rsid w:val="00F13DEB"/>
    <w:rsid w:val="00F20D9C"/>
    <w:rsid w:val="00F21859"/>
    <w:rsid w:val="00F237D9"/>
    <w:rsid w:val="00F26A2C"/>
    <w:rsid w:val="00F2778A"/>
    <w:rsid w:val="00F27A9A"/>
    <w:rsid w:val="00F27CAC"/>
    <w:rsid w:val="00F3212F"/>
    <w:rsid w:val="00F32844"/>
    <w:rsid w:val="00F32FE1"/>
    <w:rsid w:val="00F33A5D"/>
    <w:rsid w:val="00F34BDB"/>
    <w:rsid w:val="00F4189A"/>
    <w:rsid w:val="00F43ACA"/>
    <w:rsid w:val="00F528B1"/>
    <w:rsid w:val="00F53516"/>
    <w:rsid w:val="00F547E7"/>
    <w:rsid w:val="00F56B6A"/>
    <w:rsid w:val="00F62498"/>
    <w:rsid w:val="00F70EE8"/>
    <w:rsid w:val="00F73C35"/>
    <w:rsid w:val="00F86DAB"/>
    <w:rsid w:val="00F91625"/>
    <w:rsid w:val="00F92EFF"/>
    <w:rsid w:val="00F96A55"/>
    <w:rsid w:val="00F97EE9"/>
    <w:rsid w:val="00FA56E3"/>
    <w:rsid w:val="00FA5EAA"/>
    <w:rsid w:val="00FA60B9"/>
    <w:rsid w:val="00FA7B88"/>
    <w:rsid w:val="00FB1FE6"/>
    <w:rsid w:val="00FB2C71"/>
    <w:rsid w:val="00FB36E7"/>
    <w:rsid w:val="00FB5465"/>
    <w:rsid w:val="00FC19CE"/>
    <w:rsid w:val="00FC1F05"/>
    <w:rsid w:val="00FC35D0"/>
    <w:rsid w:val="00FC6DF2"/>
    <w:rsid w:val="00FD07F5"/>
    <w:rsid w:val="00FD1A64"/>
    <w:rsid w:val="00FD23B3"/>
    <w:rsid w:val="00FD59CA"/>
    <w:rsid w:val="00FD5FBE"/>
    <w:rsid w:val="00FE2523"/>
    <w:rsid w:val="00FE2B3E"/>
    <w:rsid w:val="00FE4321"/>
    <w:rsid w:val="00FE4DA2"/>
    <w:rsid w:val="00FE5753"/>
    <w:rsid w:val="00FF0499"/>
    <w:rsid w:val="00FF0794"/>
    <w:rsid w:val="00FF34A3"/>
    <w:rsid w:val="00FF45EC"/>
    <w:rsid w:val="00FF55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FE293F"/>
  <w15:docId w15:val="{1B3F6E95-64AB-4A05-81C2-41B9665C5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fr-FR"/>
    </w:rPr>
  </w:style>
  <w:style w:type="paragraph" w:styleId="Heading4">
    <w:name w:val="heading 4"/>
    <w:basedOn w:val="Normal"/>
    <w:next w:val="Normal"/>
    <w:qFormat/>
    <w:pPr>
      <w:keepNext/>
      <w:jc w:val="both"/>
      <w:outlineLvl w:val="3"/>
    </w:pPr>
    <w:rPr>
      <w:b/>
      <w:bCs/>
      <w:snapToGrid w:val="0"/>
      <w:u w:val="single"/>
      <w:lang w:eastAsia="en-US"/>
    </w:rPr>
  </w:style>
  <w:style w:type="paragraph" w:styleId="Heading5">
    <w:name w:val="heading 5"/>
    <w:basedOn w:val="Normal"/>
    <w:next w:val="Normal"/>
    <w:qFormat/>
    <w:pPr>
      <w:keepNext/>
      <w:outlineLvl w:val="4"/>
    </w:pPr>
    <w:rPr>
      <w:b/>
      <w:bCs/>
      <w:snapToGrid w:val="0"/>
      <w:u w:val="single"/>
      <w:lang w:eastAsia="en-US"/>
    </w:rPr>
  </w:style>
  <w:style w:type="paragraph" w:styleId="Heading6">
    <w:name w:val="heading 6"/>
    <w:basedOn w:val="Normal"/>
    <w:next w:val="Normal"/>
    <w:qFormat/>
    <w:pPr>
      <w:keepNext/>
      <w:jc w:val="both"/>
      <w:outlineLvl w:val="5"/>
    </w:pPr>
    <w:rPr>
      <w:b/>
      <w:bCs/>
      <w:snapToGrid w:val="0"/>
      <w:lang w:eastAsia="en-US"/>
    </w:rPr>
  </w:style>
  <w:style w:type="paragraph" w:styleId="Heading7">
    <w:name w:val="heading 7"/>
    <w:basedOn w:val="Normal"/>
    <w:next w:val="Normal"/>
    <w:qFormat/>
    <w:pPr>
      <w:keepNext/>
      <w:ind w:left="-70"/>
      <w:jc w:val="center"/>
      <w:outlineLvl w:val="6"/>
    </w:pPr>
    <w:rPr>
      <w:b/>
      <w:snapToGrid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pPr>
      <w:ind w:firstLine="1631"/>
      <w:jc w:val="both"/>
    </w:pPr>
    <w:rPr>
      <w:snapToGrid w:val="0"/>
      <w:lang w:eastAsia="en-US"/>
    </w:rPr>
  </w:style>
  <w:style w:type="character" w:styleId="PageNumber">
    <w:name w:val="page number"/>
    <w:basedOn w:val="DefaultParagraphFont"/>
    <w:semiHidden/>
  </w:style>
  <w:style w:type="paragraph" w:styleId="Header">
    <w:name w:val="header"/>
    <w:basedOn w:val="Normal"/>
    <w:semiHidden/>
    <w:pPr>
      <w:tabs>
        <w:tab w:val="center" w:pos="4536"/>
        <w:tab w:val="right" w:pos="9072"/>
      </w:tabs>
    </w:pPr>
    <w:rPr>
      <w:snapToGrid w:val="0"/>
      <w:sz w:val="20"/>
      <w:szCs w:val="20"/>
      <w:lang w:eastAsia="en-US"/>
    </w:rPr>
  </w:style>
  <w:style w:type="character" w:styleId="Hyperlink">
    <w:name w:val="Hyperlink"/>
    <w:semiHidden/>
    <w:rPr>
      <w:color w:val="0000FF"/>
      <w:u w:val="single"/>
    </w:rPr>
  </w:style>
  <w:style w:type="paragraph" w:styleId="BodyText">
    <w:name w:val="Body Text"/>
    <w:basedOn w:val="Normal"/>
    <w:semiHidden/>
    <w:pPr>
      <w:jc w:val="both"/>
    </w:pPr>
  </w:style>
  <w:style w:type="paragraph" w:styleId="BalloonText">
    <w:name w:val="Balloon Text"/>
    <w:basedOn w:val="Normal"/>
    <w:link w:val="BalloonTextChar"/>
    <w:uiPriority w:val="99"/>
    <w:semiHidden/>
    <w:unhideWhenUsed/>
    <w:rsid w:val="007F6EEC"/>
    <w:rPr>
      <w:rFonts w:ascii="Tahoma" w:hAnsi="Tahoma" w:cs="Tahoma"/>
      <w:sz w:val="16"/>
      <w:szCs w:val="16"/>
    </w:rPr>
  </w:style>
  <w:style w:type="character" w:customStyle="1" w:styleId="BalloonTextChar">
    <w:name w:val="Balloon Text Char"/>
    <w:link w:val="BalloonText"/>
    <w:uiPriority w:val="99"/>
    <w:semiHidden/>
    <w:rsid w:val="007F6EEC"/>
    <w:rPr>
      <w:rFonts w:ascii="Tahoma" w:hAnsi="Tahoma" w:cs="Tahoma"/>
      <w:sz w:val="16"/>
      <w:szCs w:val="16"/>
      <w:lang w:val="sl-SI" w:eastAsia="fr-FR"/>
    </w:rPr>
  </w:style>
  <w:style w:type="character" w:customStyle="1" w:styleId="BodyTextIndent2Char">
    <w:name w:val="Body Text Indent 2 Char"/>
    <w:link w:val="BodyTextIndent2"/>
    <w:semiHidden/>
    <w:rsid w:val="008321C0"/>
    <w:rPr>
      <w:snapToGrid w:val="0"/>
      <w:sz w:val="24"/>
      <w:szCs w:val="24"/>
      <w:lang w:val="sl-SI" w:eastAsia="en-US"/>
    </w:rPr>
  </w:style>
  <w:style w:type="paragraph" w:styleId="ListParagraph">
    <w:name w:val="List Paragraph"/>
    <w:basedOn w:val="Normal"/>
    <w:uiPriority w:val="34"/>
    <w:qFormat/>
    <w:rsid w:val="00B15580"/>
    <w:pPr>
      <w:ind w:left="720"/>
      <w:contextualSpacing/>
    </w:pPr>
  </w:style>
  <w:style w:type="character" w:styleId="CommentReference">
    <w:name w:val="annotation reference"/>
    <w:basedOn w:val="DefaultParagraphFont"/>
    <w:uiPriority w:val="99"/>
    <w:semiHidden/>
    <w:unhideWhenUsed/>
    <w:rsid w:val="00E45E18"/>
    <w:rPr>
      <w:sz w:val="16"/>
      <w:szCs w:val="16"/>
    </w:rPr>
  </w:style>
  <w:style w:type="paragraph" w:styleId="CommentText">
    <w:name w:val="annotation text"/>
    <w:basedOn w:val="Normal"/>
    <w:link w:val="CommentTextChar"/>
    <w:uiPriority w:val="99"/>
    <w:semiHidden/>
    <w:unhideWhenUsed/>
    <w:rsid w:val="00E45E18"/>
    <w:rPr>
      <w:sz w:val="20"/>
      <w:szCs w:val="20"/>
    </w:rPr>
  </w:style>
  <w:style w:type="character" w:customStyle="1" w:styleId="CommentTextChar">
    <w:name w:val="Comment Text Char"/>
    <w:basedOn w:val="DefaultParagraphFont"/>
    <w:link w:val="CommentText"/>
    <w:uiPriority w:val="99"/>
    <w:semiHidden/>
    <w:rsid w:val="00E45E18"/>
    <w:rPr>
      <w:lang w:val="sl-SI" w:eastAsia="fr-FR"/>
    </w:rPr>
  </w:style>
  <w:style w:type="paragraph" w:styleId="CommentSubject">
    <w:name w:val="annotation subject"/>
    <w:basedOn w:val="CommentText"/>
    <w:next w:val="CommentText"/>
    <w:link w:val="CommentSubjectChar"/>
    <w:uiPriority w:val="99"/>
    <w:semiHidden/>
    <w:unhideWhenUsed/>
    <w:rsid w:val="00E45E18"/>
    <w:rPr>
      <w:b/>
      <w:bCs/>
    </w:rPr>
  </w:style>
  <w:style w:type="character" w:customStyle="1" w:styleId="CommentSubjectChar">
    <w:name w:val="Comment Subject Char"/>
    <w:basedOn w:val="CommentTextChar"/>
    <w:link w:val="CommentSubject"/>
    <w:uiPriority w:val="99"/>
    <w:semiHidden/>
    <w:rsid w:val="00E45E18"/>
    <w:rPr>
      <w:b/>
      <w:bCs/>
      <w:lang w:val="sl-SI" w:eastAsia="fr-FR"/>
    </w:rPr>
  </w:style>
  <w:style w:type="character" w:customStyle="1" w:styleId="gh1">
    <w:name w:val="gh1"/>
    <w:basedOn w:val="DefaultParagraphFont"/>
    <w:rsid w:val="00DE3C81"/>
    <w:rPr>
      <w:rFonts w:ascii="Verdana" w:hAnsi="Verdana" w:hint="default"/>
      <w:b/>
      <w:bCs/>
      <w:color w:val="673693"/>
      <w:sz w:val="25"/>
      <w:szCs w:val="25"/>
    </w:rPr>
  </w:style>
  <w:style w:type="paragraph" w:customStyle="1" w:styleId="Standaardwetgeving">
    <w:name w:val="Standaard wetgeving"/>
    <w:basedOn w:val="ListParagraph"/>
    <w:qFormat/>
    <w:rsid w:val="0015323E"/>
    <w:pPr>
      <w:numPr>
        <w:numId w:val="11"/>
      </w:numPr>
      <w:tabs>
        <w:tab w:val="num" w:pos="360"/>
      </w:tabs>
      <w:spacing w:after="200" w:line="276" w:lineRule="auto"/>
      <w:ind w:left="720" w:firstLine="0"/>
      <w:contextualSpacing w:val="0"/>
      <w:jc w:val="both"/>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412559">
      <w:bodyDiv w:val="1"/>
      <w:marLeft w:val="0"/>
      <w:marRight w:val="0"/>
      <w:marTop w:val="0"/>
      <w:marBottom w:val="0"/>
      <w:divBdr>
        <w:top w:val="none" w:sz="0" w:space="0" w:color="auto"/>
        <w:left w:val="none" w:sz="0" w:space="0" w:color="auto"/>
        <w:bottom w:val="none" w:sz="0" w:space="0" w:color="auto"/>
        <w:right w:val="none" w:sz="0" w:space="0" w:color="auto"/>
      </w:divBdr>
    </w:div>
    <w:div w:id="931162973">
      <w:bodyDiv w:val="1"/>
      <w:marLeft w:val="0"/>
      <w:marRight w:val="0"/>
      <w:marTop w:val="0"/>
      <w:marBottom w:val="0"/>
      <w:divBdr>
        <w:top w:val="none" w:sz="0" w:space="0" w:color="auto"/>
        <w:left w:val="none" w:sz="0" w:space="0" w:color="auto"/>
        <w:bottom w:val="none" w:sz="0" w:space="0" w:color="auto"/>
        <w:right w:val="none" w:sz="0" w:space="0" w:color="auto"/>
      </w:divBdr>
    </w:div>
    <w:div w:id="1025330135">
      <w:bodyDiv w:val="1"/>
      <w:marLeft w:val="0"/>
      <w:marRight w:val="0"/>
      <w:marTop w:val="0"/>
      <w:marBottom w:val="0"/>
      <w:divBdr>
        <w:top w:val="none" w:sz="0" w:space="0" w:color="auto"/>
        <w:left w:val="none" w:sz="0" w:space="0" w:color="auto"/>
        <w:bottom w:val="none" w:sz="0" w:space="0" w:color="auto"/>
        <w:right w:val="none" w:sz="0" w:space="0" w:color="auto"/>
      </w:divBdr>
    </w:div>
    <w:div w:id="1480725268">
      <w:bodyDiv w:val="1"/>
      <w:marLeft w:val="0"/>
      <w:marRight w:val="0"/>
      <w:marTop w:val="0"/>
      <w:marBottom w:val="0"/>
      <w:divBdr>
        <w:top w:val="none" w:sz="0" w:space="0" w:color="auto"/>
        <w:left w:val="none" w:sz="0" w:space="0" w:color="auto"/>
        <w:bottom w:val="none" w:sz="0" w:space="0" w:color="auto"/>
        <w:right w:val="none" w:sz="0" w:space="0" w:color="auto"/>
      </w:divBdr>
    </w:div>
    <w:div w:id="1580677303">
      <w:bodyDiv w:val="1"/>
      <w:marLeft w:val="0"/>
      <w:marRight w:val="0"/>
      <w:marTop w:val="0"/>
      <w:marBottom w:val="0"/>
      <w:divBdr>
        <w:top w:val="none" w:sz="0" w:space="0" w:color="auto"/>
        <w:left w:val="none" w:sz="0" w:space="0" w:color="auto"/>
        <w:bottom w:val="none" w:sz="0" w:space="0" w:color="auto"/>
        <w:right w:val="none" w:sz="0" w:space="0" w:color="auto"/>
      </w:divBdr>
    </w:div>
    <w:div w:id="202836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GWLRoyalDecreeDoc" ma:contentTypeID="0x01010019A3678727083D4694BA0E319D4EF8DC0100516D54665B8A184DA9B4E24634C9D800" ma:contentTypeVersion="0" ma:contentTypeDescription="" ma:contentTypeScope="" ma:versionID="f560432493498bc42876f871190d2815">
  <xsd:schema xmlns:xsd="http://www.w3.org/2001/XMLSchema" xmlns:xs="http://www.w3.org/2001/XMLSchema" xmlns:p="http://schemas.microsoft.com/office/2006/metadata/properties" xmlns:ns2="0ed28443-0e4f-42de-bea0-5e9782d0a73a" xmlns:ns3="232ae7aa-1163-483e-9057-bc92b2c1d050" xmlns:ns4="CD49F6B8-954C-4B64-8248-AA0A395BA72F" targetNamespace="http://schemas.microsoft.com/office/2006/metadata/properties" ma:root="true" ma:fieldsID="429d33651d7318f2fb087a02ae17f67c" ns2:_="" ns3:_="" ns4:_="">
    <xsd:import namespace="0ed28443-0e4f-42de-bea0-5e9782d0a73a"/>
    <xsd:import namespace="232ae7aa-1163-483e-9057-bc92b2c1d050"/>
    <xsd:import namespace="CD49F6B8-954C-4B64-8248-AA0A395BA72F"/>
    <xsd:element name="properties">
      <xsd:complexType>
        <xsd:sequence>
          <xsd:element name="documentManagement">
            <xsd:complexType>
              <xsd:all>
                <xsd:element ref="ns2:_dlc_DocId" minOccurs="0"/>
                <xsd:element ref="ns2:_dlc_DocIdUrl" minOccurs="0"/>
                <xsd:element ref="ns2:_dlc_DocIdPersistId" minOccurs="0"/>
                <xsd:element ref="ns2:f1a19977e65e4fde8220f527be186a1b" minOccurs="0"/>
                <xsd:element ref="ns3:TaxCatchAll" minOccurs="0"/>
                <xsd:element ref="ns3:TaxCatchAllLabel" minOccurs="0"/>
                <xsd:element ref="ns2:Archive" minOccurs="0"/>
                <xsd:element ref="ns2:ab1ed0c6b540436c896493fb007829c4" minOccurs="0"/>
                <xsd:element ref="ns4:Approval" minOccurs="0"/>
                <xsd:element ref="ns4: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28443-0e4f-42de-bea0-5e9782d0a73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f1a19977e65e4fde8220f527be186a1b" ma:index="11" ma:taxonomy="true" ma:internalName="f1a19977e65e4fde8220f527be186a1b" ma:taxonomyFieldName="DocumentType" ma:displayName="DocumentType" ma:default="3;#Note|7620bcaa-bbd5-4679-9d7b-14f1d44f35af" ma:fieldId="{f1a19977-e65e-4fde-8220-f527be186a1b}" ma:sspId="81f31668-a7a6-4790-81d7-2f054b796190" ma:termSetId="a1cd02ba-5d0a-4256-bb1a-ebf7e286d1d1" ma:anchorId="00000000-0000-0000-0000-000000000000" ma:open="false" ma:isKeyword="false">
      <xsd:complexType>
        <xsd:sequence>
          <xsd:element ref="pc:Terms" minOccurs="0" maxOccurs="1"/>
        </xsd:sequence>
      </xsd:complexType>
    </xsd:element>
    <xsd:element name="Archive" ma:index="15" nillable="true" ma:displayName="Archive" ma:default="0" ma:description="Voor archivering - Pour archivage" ma:internalName="Archive">
      <xsd:simpleType>
        <xsd:restriction base="dms:Boolean"/>
      </xsd:simpleType>
    </xsd:element>
    <xsd:element name="ab1ed0c6b540436c896493fb007829c4" ma:index="16" ma:taxonomy="true" ma:internalName="ab1ed0c6b540436c896493fb007829c4" ma:taxonomyFieldName="FolderKB" ma:displayName="FolderKB" ma:default="4;#Preparation|358cfc8e-6565-4b8c-b5c9-af9659aca599" ma:fieldId="{ab1ed0c6-b540-436c-8964-93fb007829c4}" ma:sspId="81f31668-a7a6-4790-81d7-2f054b796190" ma:termSetId="deb4d87f-34f4-45d7-a019-a86385e06519" ma:anchorId="2e9c4165-2e61-4d41-8ad8-59c8a622fbf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32ae7aa-1163-483e-9057-bc92b2c1d05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e99e261-a036-4965-bb15-6915d9eb631d}" ma:internalName="TaxCatchAll" ma:showField="CatchAllData" ma:web="0ed28443-0e4f-42de-bea0-5e9782d0a73a">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be99e261-a036-4965-bb15-6915d9eb631d}" ma:internalName="TaxCatchAllLabel" ma:readOnly="true" ma:showField="CatchAllDataLabel" ma:web="0ed28443-0e4f-42de-bea0-5e9782d0a7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49F6B8-954C-4B64-8248-AA0A395BA72F" elementFormDefault="qualified">
    <xsd:import namespace="http://schemas.microsoft.com/office/2006/documentManagement/types"/>
    <xsd:import namespace="http://schemas.microsoft.com/office/infopath/2007/PartnerControls"/>
    <xsd:element name="Approval" ma:index="18" nillable="true" ma:displayName="Approval" ma:internalName="Approval">
      <xsd:complexType>
        <xsd:complexContent>
          <xsd:extension base="dms:URL">
            <xsd:sequence>
              <xsd:element name="Url" type="dms:ValidUrl" minOccurs="0" nillable="true"/>
              <xsd:element name="Description" type="xsd:string" nillable="true"/>
            </xsd:sequence>
          </xsd:extension>
        </xsd:complexContent>
      </xsd:complexType>
    </xsd:element>
    <xsd:element name="Review" ma:index="19" nillable="true" ma:displayName="Review" ma:internalName="Review">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rchive xmlns="0ed28443-0e4f-42de-bea0-5e9782d0a73a">false</Archive>
    <Review xmlns="CD49F6B8-954C-4B64-8248-AA0A395BA72F">
      <Url xsi:nil="true"/>
      <Description xsi:nil="true"/>
    </Review>
    <ab1ed0c6b540436c896493fb007829c4 xmlns="0ed28443-0e4f-42de-bea0-5e9782d0a73a">
      <Terms xmlns="http://schemas.microsoft.com/office/infopath/2007/PartnerControls">
        <TermInfo xmlns="http://schemas.microsoft.com/office/infopath/2007/PartnerControls">
          <TermName xmlns="http://schemas.microsoft.com/office/infopath/2007/PartnerControls">Préparation</TermName>
          <TermId xmlns="http://schemas.microsoft.com/office/infopath/2007/PartnerControls">358cfc8e-6565-4b8c-b5c9-af9659aca599</TermId>
        </TermInfo>
      </Terms>
    </ab1ed0c6b540436c896493fb007829c4>
    <f1a19977e65e4fde8220f527be186a1b xmlns="0ed28443-0e4f-42de-bea0-5e9782d0a73a">
      <Terms xmlns="http://schemas.microsoft.com/office/infopath/2007/PartnerControls">
        <TermInfo xmlns="http://schemas.microsoft.com/office/infopath/2007/PartnerControls">
          <TermName xmlns="http://schemas.microsoft.com/office/infopath/2007/PartnerControls">Projet</TermName>
          <TermId xmlns="http://schemas.microsoft.com/office/infopath/2007/PartnerControls">ee91f70e-57bf-401c-bc26-ad15a5df3984</TermId>
        </TermInfo>
      </Terms>
    </f1a19977e65e4fde8220f527be186a1b>
    <Approval xmlns="CD49F6B8-954C-4B64-8248-AA0A395BA72F">
      <Url xsi:nil="true"/>
      <Description xsi:nil="true"/>
    </Approval>
    <TaxCatchAll xmlns="232ae7aa-1163-483e-9057-bc92b2c1d050">
      <Value>8</Value>
      <Value>4</Value>
    </TaxCatchAll>
    <_dlc_DocId xmlns="0ed28443-0e4f-42de-bea0-5e9782d0a73a">4MER7KCM4VJC-1757338905-24</_dlc_DocId>
    <_dlc_DocIdUrl xmlns="0ed28443-0e4f-42de-bea0-5e9782d0a73a">
      <Url>https://dgwl.intranet.spfod.just.fgov.be/lawprojects/180420_Wl32_2/_layouts/15/DocIdRedir.aspx?ID=4MER7KCM4VJC-1757338905-24</Url>
      <Description>4MER7KCM4VJC-1757338905-24</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22EEFF25-8213-4B44-90E7-8B4852FADB0D}">
  <ds:schemaRefs>
    <ds:schemaRef ds:uri="http://schemas.openxmlformats.org/officeDocument/2006/bibliography"/>
  </ds:schemaRefs>
</ds:datastoreItem>
</file>

<file path=customXml/itemProps2.xml><?xml version="1.0" encoding="utf-8"?>
<ds:datastoreItem xmlns:ds="http://schemas.openxmlformats.org/officeDocument/2006/customXml" ds:itemID="{9693F6AB-2C5B-462B-8A56-EEA358065FC7}">
  <ds:schemaRefs>
    <ds:schemaRef ds:uri="http://schemas.microsoft.com/sharepoint/events"/>
  </ds:schemaRefs>
</ds:datastoreItem>
</file>

<file path=customXml/itemProps3.xml><?xml version="1.0" encoding="utf-8"?>
<ds:datastoreItem xmlns:ds="http://schemas.openxmlformats.org/officeDocument/2006/customXml" ds:itemID="{54B372AB-F201-4108-999A-6B0F074586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28443-0e4f-42de-bea0-5e9782d0a73a"/>
    <ds:schemaRef ds:uri="232ae7aa-1163-483e-9057-bc92b2c1d050"/>
    <ds:schemaRef ds:uri="CD49F6B8-954C-4B64-8248-AA0A395BA7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255D80-D12D-4AF3-996A-6B31C819A6DB}">
  <ds:schemaRefs>
    <ds:schemaRef ds:uri="http://schemas.microsoft.com/office/2006/metadata/properties"/>
    <ds:schemaRef ds:uri="http://schemas.microsoft.com/office/infopath/2007/PartnerControls"/>
    <ds:schemaRef ds:uri="0ed28443-0e4f-42de-bea0-5e9782d0a73a"/>
    <ds:schemaRef ds:uri="CD49F6B8-954C-4B64-8248-AA0A395BA72F"/>
    <ds:schemaRef ds:uri="232ae7aa-1163-483e-9057-bc92b2c1d050"/>
  </ds:schemaRefs>
</ds:datastoreItem>
</file>

<file path=customXml/itemProps5.xml><?xml version="1.0" encoding="utf-8"?>
<ds:datastoreItem xmlns:ds="http://schemas.openxmlformats.org/officeDocument/2006/customXml" ds:itemID="{44F04093-6AF2-431A-9EC7-843D693915FD}">
  <ds:schemaRefs>
    <ds:schemaRef ds:uri="http://schemas.microsoft.com/sharepoint/v3/contenttype/forms"/>
  </ds:schemaRefs>
</ds:datastoreItem>
</file>

<file path=customXml/itemProps6.xml><?xml version="1.0" encoding="utf-8"?>
<ds:datastoreItem xmlns:ds="http://schemas.openxmlformats.org/officeDocument/2006/customXml" ds:itemID="{32B97F0C-BEE1-4B30-B607-ED0AD2CEC54D}">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1045</Words>
  <Characters>5960</Characters>
  <Application>Microsoft Office Word</Application>
  <DocSecurity>0</DocSecurity>
  <Lines>49</Lines>
  <Paragraphs>13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fod justitie</Company>
  <LinksUpToDate>false</LinksUpToDate>
  <CharactersWithSpaces>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marietie</dc:creator>
  <cp:lastModifiedBy>Liana Brili</cp:lastModifiedBy>
  <cp:revision>7</cp:revision>
  <cp:lastPrinted>2019-02-21T09:39:00Z</cp:lastPrinted>
  <dcterms:created xsi:type="dcterms:W3CDTF">2021-12-09T08:45:00Z</dcterms:created>
  <dcterms:modified xsi:type="dcterms:W3CDTF">2021-12-16T16:21:00Z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0x01010019A3678727083D4694BA0E319D4EF8DC0100516D54665B8A184DA9B4E24634C9D800</vt:lpwstr>
  </property>
  <property fmtid="{D5CDD505-2E9C-101B-9397-08002B2CF9AE}" pid="3" name="_dlc_DocIdItemGuid">
    <vt:lpwstr>ebcf1557-8668-44ec-b6b3-44c5f7420f6c</vt:lpwstr>
  </property>
  <property fmtid="{D5CDD505-2E9C-101B-9397-08002B2CF9AE}" pid="4" name="FolderKB">
    <vt:lpwstr>4;#Préparation|358cfc8e-6565-4b8c-b5c9-af9659aca599</vt:lpwstr>
  </property>
  <property fmtid="{D5CDD505-2E9C-101B-9397-08002B2CF9AE}" pid="5" name="DocumentType">
    <vt:lpwstr>8;#Projet|ee91f70e-57bf-401c-bc26-ad15a5df3984</vt:lpwstr>
  </property>
</Properties>
</file>