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E57B69" w:rsidRPr="00332032" w14:paraId="0E49789C" w14:textId="77777777" w:rsidTr="00FC7C3F">
        <w:tc>
          <w:tcPr>
            <w:tcW w:w="4660" w:type="dxa"/>
            <w:shd w:val="clear" w:color="auto" w:fill="auto"/>
          </w:tcPr>
          <w:p w14:paraId="05F7CB93" w14:textId="77777777" w:rsidR="00E57B69" w:rsidRPr="00332032" w:rsidRDefault="00E57B69" w:rsidP="00FC7C3F">
            <w:pPr>
              <w:tabs>
                <w:tab w:val="left" w:pos="356"/>
                <w:tab w:val="left" w:pos="2268"/>
              </w:tabs>
              <w:jc w:val="center"/>
              <w:rPr>
                <w:b/>
                <w:sz w:val="22"/>
                <w:rFonts w:ascii="Garamond" w:hAnsi="Garamond"/>
              </w:rPr>
            </w:pPr>
            <w:r>
              <w:rPr>
                <w:b/>
                <w:sz w:val="22"/>
                <w:rFonts w:ascii="Garamond" w:hAnsi="Garamond"/>
              </w:rPr>
              <w:t xml:space="preserve">Belgické království</w:t>
            </w:r>
          </w:p>
        </w:tc>
      </w:tr>
      <w:tr w:rsidR="00E57B69" w14:paraId="4DB25364" w14:textId="77777777" w:rsidTr="00FC7C3F">
        <w:tc>
          <w:tcPr>
            <w:tcW w:w="4660" w:type="dxa"/>
            <w:shd w:val="clear" w:color="auto" w:fill="auto"/>
          </w:tcPr>
          <w:p w14:paraId="33A4A09C"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_________</w:t>
            </w:r>
          </w:p>
        </w:tc>
      </w:tr>
      <w:tr w:rsidR="00E57B69" w14:paraId="2E4C091E" w14:textId="77777777" w:rsidTr="00FC7C3F">
        <w:tc>
          <w:tcPr>
            <w:tcW w:w="4660" w:type="dxa"/>
            <w:shd w:val="clear" w:color="auto" w:fill="auto"/>
          </w:tcPr>
          <w:p w14:paraId="4D36118C" w14:textId="77777777" w:rsidR="00E57B69" w:rsidRDefault="00E57B69" w:rsidP="00FC7C3F">
            <w:pPr>
              <w:tabs>
                <w:tab w:val="left" w:pos="356"/>
                <w:tab w:val="left" w:pos="2268"/>
              </w:tabs>
              <w:jc w:val="center"/>
              <w:rPr>
                <w:rFonts w:ascii="Garamond" w:hAnsi="Garamond"/>
                <w:sz w:val="22"/>
              </w:rPr>
            </w:pPr>
          </w:p>
        </w:tc>
      </w:tr>
      <w:tr w:rsidR="00E57B69" w:rsidRPr="00332032" w14:paraId="358AFC98" w14:textId="77777777" w:rsidTr="00FC7C3F">
        <w:tc>
          <w:tcPr>
            <w:tcW w:w="4660" w:type="dxa"/>
            <w:shd w:val="clear" w:color="auto" w:fill="auto"/>
          </w:tcPr>
          <w:p w14:paraId="360694E6" w14:textId="77777777" w:rsidR="00E57B69" w:rsidRPr="00332032" w:rsidRDefault="00E57B69" w:rsidP="00FC7C3F">
            <w:pPr>
              <w:tabs>
                <w:tab w:val="left" w:pos="356"/>
                <w:tab w:val="left" w:pos="2268"/>
              </w:tabs>
              <w:jc w:val="center"/>
              <w:rPr>
                <w:sz w:val="22"/>
                <w:rFonts w:ascii="Garamond" w:hAnsi="Garamond"/>
              </w:rPr>
            </w:pPr>
            <w:r>
              <w:rPr>
                <w:b/>
                <w:sz w:val="22"/>
                <w:rFonts w:ascii="Garamond" w:hAnsi="Garamond"/>
              </w:rPr>
              <w:t xml:space="preserve">FEDERÁLNÍ VEŘEJNÁ SLUŽBA PRO VEŘEJNÉ ZDRAVÍ, BEZPEČNOST POTRAVINOVÉHO ŘETĚZCE A ŽIVOTNÍ PROSTŘEDÍ</w:t>
            </w:r>
          </w:p>
        </w:tc>
      </w:tr>
      <w:tr w:rsidR="00E57B69" w:rsidRPr="002F1661" w14:paraId="6924005D" w14:textId="77777777" w:rsidTr="00FC7C3F">
        <w:tc>
          <w:tcPr>
            <w:tcW w:w="4660" w:type="dxa"/>
            <w:shd w:val="clear" w:color="auto" w:fill="auto"/>
          </w:tcPr>
          <w:p w14:paraId="3009202C" w14:textId="77777777" w:rsidR="00E57B69" w:rsidRPr="002F1661" w:rsidRDefault="00E57B69" w:rsidP="00FC7C3F">
            <w:pPr>
              <w:tabs>
                <w:tab w:val="left" w:pos="356"/>
                <w:tab w:val="left" w:pos="2268"/>
              </w:tabs>
              <w:jc w:val="center"/>
              <w:rPr>
                <w:b/>
                <w:bCs/>
                <w:sz w:val="22"/>
                <w:rFonts w:ascii="Garamond" w:hAnsi="Garamond"/>
              </w:rPr>
            </w:pPr>
            <w:r>
              <w:rPr>
                <w:sz w:val="22"/>
                <w:rFonts w:ascii="Garamond" w:hAnsi="Garamond"/>
              </w:rPr>
              <w:t xml:space="preserve">________________________</w:t>
            </w:r>
          </w:p>
        </w:tc>
      </w:tr>
      <w:tr w:rsidR="00E57B69" w:rsidRPr="002F1661" w14:paraId="11A5F205" w14:textId="77777777" w:rsidTr="00FC7C3F">
        <w:tc>
          <w:tcPr>
            <w:tcW w:w="4660" w:type="dxa"/>
            <w:shd w:val="clear" w:color="auto" w:fill="auto"/>
          </w:tcPr>
          <w:p w14:paraId="252EDB76" w14:textId="77777777" w:rsidR="00E57B69" w:rsidRPr="002F1661" w:rsidRDefault="00E57B69" w:rsidP="00FC7C3F">
            <w:pPr>
              <w:tabs>
                <w:tab w:val="left" w:pos="356"/>
                <w:tab w:val="left" w:pos="2268"/>
              </w:tabs>
              <w:jc w:val="both"/>
              <w:rPr>
                <w:rFonts w:ascii="Garamond" w:hAnsi="Garamond"/>
                <w:b/>
                <w:bCs/>
                <w:sz w:val="22"/>
                <w:lang w:val="nl-NL"/>
              </w:rPr>
            </w:pPr>
          </w:p>
        </w:tc>
      </w:tr>
      <w:tr w:rsidR="00E57B69" w:rsidRPr="007623AC" w14:paraId="5D6EBBFB" w14:textId="77777777" w:rsidTr="00FC7C3F">
        <w:tc>
          <w:tcPr>
            <w:tcW w:w="4660" w:type="dxa"/>
            <w:shd w:val="clear" w:color="auto" w:fill="auto"/>
          </w:tcPr>
          <w:p w14:paraId="26426D7B" w14:textId="77777777" w:rsidR="00E57B69" w:rsidRPr="007623AC" w:rsidRDefault="00E57B69" w:rsidP="00FC7C3F">
            <w:pPr>
              <w:tabs>
                <w:tab w:val="left" w:pos="356"/>
                <w:tab w:val="left" w:pos="2268"/>
              </w:tabs>
              <w:jc w:val="both"/>
              <w:rPr>
                <w:b/>
                <w:bCs/>
                <w:sz w:val="22"/>
                <w:rFonts w:ascii="Garamond" w:hAnsi="Garamond"/>
              </w:rPr>
            </w:pPr>
            <w:r>
              <w:rPr>
                <w:b/>
                <w:sz w:val="24"/>
              </w:rPr>
              <w:t xml:space="preserve">Ministerské rozhodnutí, kterým se stanoví podmínky pro</w:t>
            </w:r>
            <w:r>
              <w:t xml:space="preserve"> </w:t>
            </w:r>
            <w:r>
              <w:rPr>
                <w:b/>
                <w:sz w:val="24"/>
              </w:rPr>
              <w:t xml:space="preserve">prodej a/nebo dodávání potravin pro lékařské účely konečnému uživateli</w:t>
            </w:r>
          </w:p>
        </w:tc>
      </w:tr>
      <w:tr w:rsidR="00E57B69" w:rsidRPr="00E57B69" w14:paraId="1F9051DD" w14:textId="77777777" w:rsidTr="00FC7C3F">
        <w:tc>
          <w:tcPr>
            <w:tcW w:w="4660" w:type="dxa"/>
            <w:shd w:val="clear" w:color="auto" w:fill="auto"/>
          </w:tcPr>
          <w:p w14:paraId="7C2E8424"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633632" w14:paraId="0F91DB3C" w14:textId="77777777" w:rsidTr="00FC7C3F">
        <w:tc>
          <w:tcPr>
            <w:tcW w:w="4660" w:type="dxa"/>
            <w:shd w:val="clear" w:color="auto" w:fill="auto"/>
          </w:tcPr>
          <w:p w14:paraId="7EA15DA1" w14:textId="77777777" w:rsidR="00E57B69" w:rsidRPr="00633632" w:rsidRDefault="00E57B69" w:rsidP="00FC7C3F">
            <w:pPr>
              <w:tabs>
                <w:tab w:val="left" w:pos="356"/>
                <w:tab w:val="left" w:pos="2268"/>
              </w:tabs>
              <w:jc w:val="center"/>
              <w:rPr>
                <w:b/>
                <w:sz w:val="22"/>
                <w:rFonts w:ascii="Garamond" w:hAnsi="Garamond"/>
              </w:rPr>
            </w:pPr>
            <w:r>
              <w:rPr>
                <w:b/>
                <w:sz w:val="22"/>
                <w:rFonts w:ascii="Garamond" w:hAnsi="Garamond"/>
              </w:rPr>
              <w:t xml:space="preserve">Ministr pro veřejné zdraví a ministr zemědělství,</w:t>
            </w:r>
            <w:r>
              <w:rPr>
                <w:b/>
                <w:sz w:val="22"/>
                <w:rFonts w:ascii="Garamond" w:hAnsi="Garamond"/>
              </w:rPr>
              <w:t xml:space="preserve">  </w:t>
            </w:r>
          </w:p>
        </w:tc>
      </w:tr>
      <w:tr w:rsidR="00E57B69" w:rsidRPr="00E57B69" w14:paraId="75EBA0B0" w14:textId="77777777" w:rsidTr="00FC7C3F">
        <w:tc>
          <w:tcPr>
            <w:tcW w:w="4660" w:type="dxa"/>
            <w:shd w:val="clear" w:color="auto" w:fill="auto"/>
          </w:tcPr>
          <w:p w14:paraId="69943615"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4D3641" w14:paraId="68589C4B" w14:textId="77777777" w:rsidTr="00FC7C3F">
        <w:tc>
          <w:tcPr>
            <w:tcW w:w="4660" w:type="dxa"/>
            <w:shd w:val="clear" w:color="auto" w:fill="auto"/>
          </w:tcPr>
          <w:p w14:paraId="6B8070B4" w14:textId="77777777" w:rsidR="00E57B69"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s ohledem na zákon ze dne 24. ledna 1977 o ochraně zdraví spotřebitelů v souvislosti s potravinami a jinými výrobky, ve znění zákona ze dne 22. března 1989, a zejména na jeho článek 2;</w:t>
            </w:r>
          </w:p>
          <w:p w14:paraId="39709177" w14:textId="77777777" w:rsidR="00E57B69" w:rsidRPr="00904C39" w:rsidRDefault="00E57B69" w:rsidP="00FC7C3F">
            <w:pPr>
              <w:tabs>
                <w:tab w:val="left" w:pos="356"/>
                <w:tab w:val="left" w:pos="2268"/>
              </w:tabs>
              <w:ind w:firstLine="501"/>
              <w:jc w:val="both"/>
              <w:rPr>
                <w:rFonts w:ascii="Garamond" w:hAnsi="Garamond"/>
                <w:sz w:val="22"/>
                <w:szCs w:val="22"/>
                <w:lang w:val="en-US"/>
              </w:rPr>
            </w:pPr>
          </w:p>
          <w:p w14:paraId="2E89679C" w14:textId="77777777" w:rsidR="00E57B69" w:rsidRPr="004D3641" w:rsidRDefault="00E57B69" w:rsidP="00FC7C3F">
            <w:pPr>
              <w:tabs>
                <w:tab w:val="left" w:pos="356"/>
                <w:tab w:val="left" w:pos="2268"/>
              </w:tabs>
              <w:ind w:firstLine="501"/>
              <w:jc w:val="both"/>
              <w:rPr>
                <w:color w:val="FF0000"/>
                <w:sz w:val="22"/>
                <w:szCs w:val="22"/>
                <w:rFonts w:ascii="Garamond" w:hAnsi="Garamond"/>
              </w:rPr>
            </w:pPr>
            <w:r>
              <w:rPr>
                <w:sz w:val="22"/>
                <w:rFonts w:ascii="Garamond" w:hAnsi="Garamond"/>
              </w:rPr>
              <w:t xml:space="preserve">s ohledem na královský výnos ze dne 18. února 1991 o potravinách určených pro zvláštní výživu, ve znění královského výnosu ze dne 27. září 1993, 4. prosince 1995, 11. října 1997, 9. ledna 2000, 26. června 2000, 12. února 2004, 27. září 2006, 19. listopadu 2007, 30. července 2008, 26. dubna 2009 a </w:t>
            </w:r>
            <w:r>
              <w:rPr>
                <w:sz w:val="22"/>
                <w:highlight w:val="yellow"/>
                <w:rFonts w:ascii="Garamond" w:hAnsi="Garamond"/>
              </w:rPr>
              <w:t xml:space="preserve">...</w:t>
            </w:r>
            <w:r>
              <w:rPr>
                <w:sz w:val="22"/>
                <w:highlight w:val="yellow"/>
                <w:rFonts w:ascii="Garamond" w:hAnsi="Garamond"/>
              </w:rPr>
              <w:t xml:space="preserve"> </w:t>
            </w:r>
            <w:r>
              <w:rPr>
                <w:sz w:val="22"/>
                <w:highlight w:val="yellow"/>
                <w:rFonts w:ascii="Garamond" w:hAnsi="Garamond"/>
              </w:rPr>
              <w:t xml:space="preserve">2021</w:t>
            </w:r>
            <w:r>
              <w:rPr>
                <w:sz w:val="22"/>
                <w:rFonts w:ascii="Garamond" w:hAnsi="Garamond"/>
              </w:rPr>
              <w:t xml:space="preserve">, článek 2/1;</w:t>
            </w:r>
          </w:p>
        </w:tc>
      </w:tr>
      <w:tr w:rsidR="00E57B69" w:rsidRPr="00E57B69" w14:paraId="4588572D" w14:textId="77777777" w:rsidTr="00FC7C3F">
        <w:tc>
          <w:tcPr>
            <w:tcW w:w="4660" w:type="dxa"/>
            <w:shd w:val="clear" w:color="auto" w:fill="auto"/>
          </w:tcPr>
          <w:p w14:paraId="2A70D42C" w14:textId="77777777" w:rsidR="00E57B69" w:rsidRPr="00904C39" w:rsidRDefault="00E57B69" w:rsidP="00FC7C3F">
            <w:pPr>
              <w:tabs>
                <w:tab w:val="left" w:pos="356"/>
                <w:tab w:val="left" w:pos="2268"/>
              </w:tabs>
              <w:jc w:val="both"/>
              <w:rPr>
                <w:rFonts w:ascii="Garamond" w:hAnsi="Garamond"/>
                <w:b/>
                <w:color w:val="FF0000"/>
                <w:sz w:val="22"/>
                <w:lang w:val="en-US"/>
              </w:rPr>
            </w:pPr>
          </w:p>
        </w:tc>
      </w:tr>
      <w:tr w:rsidR="00E57B69" w:rsidRPr="005C637E" w14:paraId="05E3A944" w14:textId="77777777" w:rsidTr="00FC7C3F">
        <w:tc>
          <w:tcPr>
            <w:tcW w:w="4660" w:type="dxa"/>
            <w:shd w:val="clear" w:color="auto" w:fill="auto"/>
          </w:tcPr>
          <w:p w14:paraId="1A854639" w14:textId="77777777" w:rsidR="00E57B69" w:rsidRPr="005C637E" w:rsidRDefault="00E57B69" w:rsidP="00FC7C3F">
            <w:pPr>
              <w:tabs>
                <w:tab w:val="left" w:pos="356"/>
                <w:tab w:val="left" w:pos="2268"/>
              </w:tabs>
              <w:ind w:firstLine="501"/>
              <w:jc w:val="both"/>
              <w:rPr>
                <w:b/>
                <w:sz w:val="22"/>
                <w:rFonts w:ascii="Garamond" w:hAnsi="Garamond"/>
              </w:rPr>
            </w:pPr>
            <w:r>
              <w:rPr>
                <w:sz w:val="22"/>
                <w:rFonts w:ascii="Garamond" w:hAnsi="Garamond"/>
              </w:rPr>
              <w:t xml:space="preserve">s ohledem na sdělení Evropské komisi „</w:t>
            </w:r>
            <w:r>
              <w:rPr>
                <w:sz w:val="22"/>
                <w:color w:val="FF0000"/>
                <w:rFonts w:ascii="Garamond" w:hAnsi="Garamond"/>
              </w:rPr>
              <w:t xml:space="preserve">xx xxxxx 20xx</w:t>
            </w:r>
            <w:r>
              <w:rPr>
                <w:sz w:val="22"/>
                <w:rFonts w:ascii="Garamond" w:hAnsi="Garamond"/>
              </w:rPr>
              <w:t xml:space="preserve"> při uplatňování čl. 5 části 1 směrnice Evropského parlamentu a Rady (EU) 2015/1535 ze dne 9. září 2015 o postupu při poskytování informací v oblasti technických předpisů a předpisů pro služby informační společnosti;</w:t>
            </w:r>
          </w:p>
        </w:tc>
      </w:tr>
      <w:tr w:rsidR="00E57B69" w:rsidRPr="005C637E" w14:paraId="210C4F0B" w14:textId="77777777" w:rsidTr="00FC7C3F">
        <w:tc>
          <w:tcPr>
            <w:tcW w:w="4660" w:type="dxa"/>
            <w:shd w:val="clear" w:color="auto" w:fill="auto"/>
          </w:tcPr>
          <w:p w14:paraId="09E13DCB" w14:textId="77777777" w:rsidR="00E57B69" w:rsidRPr="00904C39" w:rsidRDefault="00E57B69" w:rsidP="00FC7C3F">
            <w:pPr>
              <w:tabs>
                <w:tab w:val="left" w:pos="356"/>
                <w:tab w:val="left" w:pos="2268"/>
              </w:tabs>
              <w:ind w:firstLine="501"/>
              <w:jc w:val="both"/>
              <w:rPr>
                <w:rFonts w:ascii="Garamond" w:hAnsi="Garamond"/>
                <w:sz w:val="22"/>
                <w:szCs w:val="22"/>
                <w:lang w:val="en-US" w:eastAsia="fr-BE"/>
              </w:rPr>
            </w:pPr>
          </w:p>
        </w:tc>
      </w:tr>
      <w:tr w:rsidR="00E57B69" w:rsidRPr="005C637E" w14:paraId="0C59FAAE" w14:textId="77777777" w:rsidTr="00FC7C3F">
        <w:tc>
          <w:tcPr>
            <w:tcW w:w="4660" w:type="dxa"/>
            <w:shd w:val="clear" w:color="auto" w:fill="auto"/>
          </w:tcPr>
          <w:p w14:paraId="7041189C" w14:textId="77777777" w:rsidR="00E57B69" w:rsidRPr="005C637E"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s ohledem na stanovisko Vrchní zdravotnické rady č. 9371 přijaté dne 30. června 2017;</w:t>
            </w:r>
          </w:p>
        </w:tc>
      </w:tr>
      <w:tr w:rsidR="00E57B69" w:rsidRPr="00E57B69" w14:paraId="6336C2CF" w14:textId="77777777" w:rsidTr="00FC7C3F">
        <w:tc>
          <w:tcPr>
            <w:tcW w:w="4660" w:type="dxa"/>
            <w:shd w:val="clear" w:color="auto" w:fill="auto"/>
          </w:tcPr>
          <w:p w14:paraId="72F2AF2A"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12B7739D" w14:textId="77777777" w:rsidTr="00FC7C3F">
        <w:tc>
          <w:tcPr>
            <w:tcW w:w="4660" w:type="dxa"/>
            <w:shd w:val="clear" w:color="auto" w:fill="auto"/>
          </w:tcPr>
          <w:p w14:paraId="46DC7669" w14:textId="77777777"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s ohledem na stanovisko finančního inspektorátu vydané dne </w:t>
            </w:r>
            <w:r>
              <w:rPr>
                <w:sz w:val="22"/>
                <w:color w:val="FF0000"/>
                <w:rFonts w:ascii="Garamond" w:hAnsi="Garamond"/>
              </w:rPr>
              <w:t xml:space="preserve">xxx</w:t>
            </w:r>
            <w:r>
              <w:rPr>
                <w:sz w:val="22"/>
                <w:rFonts w:ascii="Garamond" w:hAnsi="Garamond"/>
              </w:rPr>
              <w:t xml:space="preserve">;</w:t>
            </w:r>
          </w:p>
        </w:tc>
      </w:tr>
      <w:tr w:rsidR="00E57B69" w:rsidRPr="00E57B69" w14:paraId="46239848" w14:textId="77777777" w:rsidTr="00FC7C3F">
        <w:tc>
          <w:tcPr>
            <w:tcW w:w="4660" w:type="dxa"/>
            <w:shd w:val="clear" w:color="auto" w:fill="auto"/>
          </w:tcPr>
          <w:p w14:paraId="22DAFCDE"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34202E97" w14:textId="77777777" w:rsidTr="00FC7C3F">
        <w:tc>
          <w:tcPr>
            <w:tcW w:w="4660" w:type="dxa"/>
            <w:shd w:val="clear" w:color="auto" w:fill="auto"/>
          </w:tcPr>
          <w:p w14:paraId="5E95CE82" w14:textId="40281705"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s ohledem na stanovisko Státní rady č. </w:t>
            </w:r>
            <w:r>
              <w:rPr>
                <w:sz w:val="22"/>
                <w:color w:val="FF0000"/>
                <w:rFonts w:ascii="Garamond" w:hAnsi="Garamond"/>
              </w:rPr>
              <w:t xml:space="preserve">xxx</w:t>
            </w:r>
            <w:r>
              <w:rPr>
                <w:sz w:val="22"/>
                <w:rFonts w:ascii="Garamond" w:hAnsi="Garamond"/>
              </w:rPr>
              <w:t xml:space="preserve"> vydané dne </w:t>
            </w:r>
            <w:r>
              <w:rPr>
                <w:sz w:val="22"/>
                <w:color w:val="FF0000"/>
                <w:rFonts w:ascii="Garamond" w:hAnsi="Garamond"/>
              </w:rPr>
              <w:t xml:space="preserve">xxx</w:t>
            </w:r>
            <w:r>
              <w:rPr>
                <w:sz w:val="22"/>
                <w:rFonts w:ascii="Garamond" w:hAnsi="Garamond"/>
              </w:rPr>
              <w:t xml:space="preserve"> podle čl. 84 § 1 části 1 a 2 zákonů Státní rady, koordinované dne 12. ledna 1973;</w:t>
            </w:r>
          </w:p>
        </w:tc>
      </w:tr>
      <w:tr w:rsidR="00E57B69" w:rsidRPr="00E57B69" w14:paraId="387E5B15" w14:textId="77777777" w:rsidTr="00FC7C3F">
        <w:tc>
          <w:tcPr>
            <w:tcW w:w="4660" w:type="dxa"/>
            <w:shd w:val="clear" w:color="auto" w:fill="auto"/>
          </w:tcPr>
          <w:p w14:paraId="51A816C5" w14:textId="77777777" w:rsidR="00E57B69" w:rsidRPr="00904C39" w:rsidRDefault="00E57B69" w:rsidP="00FC7C3F">
            <w:pPr>
              <w:tabs>
                <w:tab w:val="left" w:pos="356"/>
                <w:tab w:val="left" w:pos="2268"/>
              </w:tabs>
              <w:jc w:val="both"/>
              <w:rPr>
                <w:rFonts w:ascii="Garamond" w:hAnsi="Garamond"/>
                <w:b/>
                <w:sz w:val="22"/>
                <w:lang w:val="en-US"/>
              </w:rPr>
            </w:pPr>
          </w:p>
        </w:tc>
      </w:tr>
      <w:tr w:rsidR="00E57B69" w14:paraId="20189859" w14:textId="77777777" w:rsidTr="00FC7C3F">
        <w:tc>
          <w:tcPr>
            <w:tcW w:w="4660" w:type="dxa"/>
            <w:shd w:val="clear" w:color="auto" w:fill="auto"/>
          </w:tcPr>
          <w:p w14:paraId="62791476"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TÍMTO NAŘIZUJE NÁSLEDUJÍCÍ:</w:t>
            </w:r>
          </w:p>
          <w:p w14:paraId="5A12D8EB" w14:textId="77777777" w:rsidR="00E57B69" w:rsidRDefault="00E57B69" w:rsidP="00FC7C3F">
            <w:pPr>
              <w:tabs>
                <w:tab w:val="left" w:pos="356"/>
                <w:tab w:val="left" w:pos="2268"/>
              </w:tabs>
              <w:rPr>
                <w:rFonts w:ascii="Garamond" w:hAnsi="Garamond"/>
                <w:b/>
                <w:sz w:val="22"/>
                <w:lang w:val="nl-NL"/>
              </w:rPr>
            </w:pPr>
          </w:p>
        </w:tc>
      </w:tr>
      <w:tr w:rsidR="00E57B69" w:rsidRPr="00DB18B8" w14:paraId="5B93629D" w14:textId="77777777" w:rsidTr="00FC7C3F">
        <w:tc>
          <w:tcPr>
            <w:tcW w:w="4660" w:type="dxa"/>
            <w:shd w:val="clear" w:color="auto" w:fill="auto"/>
          </w:tcPr>
          <w:p w14:paraId="6A99542A" w14:textId="77777777" w:rsidR="00E57B69" w:rsidRPr="00DB18B8" w:rsidRDefault="00E57B69" w:rsidP="00FC7C3F">
            <w:pPr>
              <w:tabs>
                <w:tab w:val="left" w:pos="0"/>
                <w:tab w:val="left" w:pos="709"/>
                <w:tab w:val="left" w:pos="2268"/>
              </w:tabs>
              <w:jc w:val="both"/>
              <w:rPr>
                <w:sz w:val="22"/>
                <w:rFonts w:ascii="Garamond" w:hAnsi="Garamond"/>
              </w:rPr>
            </w:pPr>
            <w:r>
              <w:rPr>
                <w:sz w:val="22"/>
                <w:b/>
                <w:rFonts w:ascii="Garamond" w:hAnsi="Garamond"/>
              </w:rPr>
              <w:t xml:space="preserve">Článek 1.</w:t>
            </w:r>
            <w:r>
              <w:rPr>
                <w:sz w:val="22"/>
                <w:b/>
                <w:rFonts w:ascii="Garamond" w:hAnsi="Garamond"/>
              </w:rPr>
              <w:t xml:space="preserve"> </w:t>
            </w:r>
            <w:r>
              <w:rPr>
                <w:sz w:val="22"/>
                <w:rFonts w:ascii="Garamond" w:hAnsi="Garamond"/>
              </w:rPr>
              <w:t xml:space="preserve">Pro účely tohoto výnosu platí následující definice:</w:t>
            </w:r>
            <w:r>
              <w:rPr>
                <w:sz w:val="22"/>
                <w:b/>
                <w:rFonts w:ascii="Garamond" w:hAnsi="Garamond"/>
              </w:rPr>
              <w:t xml:space="preserve"> </w:t>
            </w:r>
          </w:p>
          <w:p w14:paraId="173EB430"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323B6F19" w14:textId="77777777" w:rsidTr="00FC7C3F">
        <w:tc>
          <w:tcPr>
            <w:tcW w:w="4660" w:type="dxa"/>
            <w:shd w:val="clear" w:color="auto" w:fill="auto"/>
          </w:tcPr>
          <w:p w14:paraId="403AFE52"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mimo nemocniční služby: provozovatelé, kteří v rámci léčebné péče o pacienta mimo nemocnici instalují, udržují a/nebo odstraňují zdravotnické prostředky související s enterálním krmením prostřednictvím sondy v domácnosti pacientů;</w:t>
            </w:r>
          </w:p>
        </w:tc>
      </w:tr>
      <w:tr w:rsidR="00E57B69" w:rsidRPr="00E57B69" w14:paraId="09A98B4E" w14:textId="77777777" w:rsidTr="00FC7C3F">
        <w:tc>
          <w:tcPr>
            <w:tcW w:w="4660" w:type="dxa"/>
            <w:shd w:val="clear" w:color="auto" w:fill="auto"/>
          </w:tcPr>
          <w:p w14:paraId="2D21EDB9"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AD2BC14" w14:textId="77777777" w:rsidTr="00FC7C3F">
        <w:tc>
          <w:tcPr>
            <w:tcW w:w="4660" w:type="dxa"/>
            <w:shd w:val="clear" w:color="auto" w:fill="auto"/>
          </w:tcPr>
          <w:p w14:paraId="4851F28C"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výdej lékárnami: každá osoba oprávněná k provozování lékárny a která skutečně provádí službu oficiálně dostupnou veřejnosti nebo lékárnu ve zdravotnických nebo ve vězeňských zařízeních.</w:t>
            </w:r>
          </w:p>
        </w:tc>
      </w:tr>
      <w:tr w:rsidR="00E57B69" w:rsidRPr="00E57B69" w14:paraId="1F02F43F" w14:textId="77777777" w:rsidTr="00FC7C3F">
        <w:tc>
          <w:tcPr>
            <w:tcW w:w="4660" w:type="dxa"/>
            <w:shd w:val="clear" w:color="auto" w:fill="auto"/>
          </w:tcPr>
          <w:p w14:paraId="51860F3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5130CEFE" w14:textId="77777777" w:rsidTr="00FC7C3F">
        <w:tc>
          <w:tcPr>
            <w:tcW w:w="4660" w:type="dxa"/>
            <w:shd w:val="clear" w:color="auto" w:fill="auto"/>
          </w:tcPr>
          <w:p w14:paraId="4F60D600" w14:textId="77777777" w:rsidR="00E57B69" w:rsidRDefault="00E57B69" w:rsidP="00FC7C3F">
            <w:pPr>
              <w:tabs>
                <w:tab w:val="left" w:pos="0"/>
                <w:tab w:val="left" w:pos="709"/>
                <w:tab w:val="left" w:pos="2268"/>
              </w:tabs>
              <w:jc w:val="both"/>
              <w:rPr>
                <w:b/>
                <w:sz w:val="22"/>
                <w:rFonts w:ascii="Garamond" w:hAnsi="Garamond"/>
              </w:rPr>
            </w:pPr>
            <w:r>
              <w:rPr>
                <w:b/>
                <w:sz w:val="22"/>
                <w:rFonts w:ascii="Garamond" w:hAnsi="Garamond"/>
              </w:rPr>
              <w:t xml:space="preserve">Článek 2.</w:t>
            </w:r>
            <w:r>
              <w:t xml:space="preserve"> </w:t>
            </w:r>
            <w:r>
              <w:rPr>
                <w:sz w:val="22"/>
                <w:rFonts w:ascii="Garamond" w:hAnsi="Garamond"/>
              </w:rPr>
              <w:t xml:space="preserve">Prodej a/nebo dodávání potravin určených pro lékařské účely konečnému uživateli se povoluje pouze:</w:t>
            </w:r>
            <w:r>
              <w:rPr>
                <w:sz w:val="22"/>
                <w:b/>
                <w:rFonts w:ascii="Garamond" w:hAnsi="Garamond"/>
              </w:rPr>
              <w:t xml:space="preserve">  </w:t>
            </w:r>
          </w:p>
          <w:p w14:paraId="50FE91EB"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76E6AC9" w14:textId="77777777" w:rsidTr="00FC7C3F">
        <w:tc>
          <w:tcPr>
            <w:tcW w:w="4660" w:type="dxa"/>
            <w:shd w:val="clear" w:color="auto" w:fill="auto"/>
          </w:tcPr>
          <w:p w14:paraId="5881D252" w14:textId="77777777" w:rsidR="00E57B69" w:rsidRPr="00CD251B" w:rsidRDefault="00E57B69" w:rsidP="00FC7C3F">
            <w:pPr>
              <w:tabs>
                <w:tab w:val="left" w:pos="0"/>
                <w:tab w:val="left" w:pos="709"/>
                <w:tab w:val="left" w:pos="2268"/>
              </w:tabs>
              <w:jc w:val="both"/>
              <w:rPr>
                <w:sz w:val="22"/>
                <w:rFonts w:ascii="Garamond" w:hAnsi="Garamond"/>
              </w:rPr>
            </w:pPr>
            <w:bookmarkStart w:id="0" w:name="_Hlk523840403"/>
            <w:r>
              <w:rPr>
                <w:sz w:val="22"/>
                <w:rFonts w:ascii="Garamond" w:hAnsi="Garamond"/>
              </w:rPr>
              <w:t xml:space="preserve">1° </w:t>
            </w:r>
            <w:bookmarkEnd w:id="0"/>
            <w:r>
              <w:t xml:space="preserve">lékárnám</w:t>
            </w:r>
            <w:r>
              <w:rPr>
                <w:sz w:val="22"/>
                <w:rFonts w:ascii="Garamond" w:hAnsi="Garamond"/>
              </w:rPr>
              <w:t xml:space="preserve">;</w:t>
            </w:r>
          </w:p>
        </w:tc>
      </w:tr>
      <w:tr w:rsidR="00E57B69" w:rsidRPr="00CD251B" w14:paraId="4423C570" w14:textId="77777777" w:rsidTr="00FC7C3F">
        <w:tc>
          <w:tcPr>
            <w:tcW w:w="4660" w:type="dxa"/>
            <w:shd w:val="clear" w:color="auto" w:fill="auto"/>
          </w:tcPr>
          <w:p w14:paraId="32035013" w14:textId="77777777" w:rsidR="00E57B69" w:rsidRPr="00CD251B" w:rsidRDefault="00E57B69" w:rsidP="00FC7C3F">
            <w:pPr>
              <w:tabs>
                <w:tab w:val="left" w:pos="0"/>
                <w:tab w:val="left" w:pos="709"/>
                <w:tab w:val="left" w:pos="2268"/>
              </w:tabs>
              <w:jc w:val="both"/>
              <w:rPr>
                <w:rFonts w:ascii="Garamond" w:hAnsi="Garamond"/>
                <w:b/>
                <w:sz w:val="22"/>
                <w:lang w:val="nl-BE"/>
              </w:rPr>
            </w:pPr>
          </w:p>
        </w:tc>
      </w:tr>
      <w:tr w:rsidR="00E57B69" w:rsidRPr="00CD251B" w14:paraId="40579E1E" w14:textId="77777777" w:rsidTr="00FC7C3F">
        <w:tc>
          <w:tcPr>
            <w:tcW w:w="4660" w:type="dxa"/>
            <w:shd w:val="clear" w:color="auto" w:fill="auto"/>
          </w:tcPr>
          <w:p w14:paraId="2B5A400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2° zdravotnickým zařízením uznaným jedním ze subjektů federace, pokud jsou potraviny pro lékařské účely poskytovány na základě lékařského předpisu a pouze institucionalizovaným pacientům;</w:t>
            </w:r>
          </w:p>
        </w:tc>
      </w:tr>
      <w:tr w:rsidR="00E57B69" w:rsidRPr="00E57B69" w14:paraId="1A3F071A" w14:textId="77777777" w:rsidTr="00FC7C3F">
        <w:tc>
          <w:tcPr>
            <w:tcW w:w="4660" w:type="dxa"/>
            <w:shd w:val="clear" w:color="auto" w:fill="auto"/>
          </w:tcPr>
          <w:p w14:paraId="7C59C09B"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CD251B" w14:paraId="452F523B" w14:textId="77777777" w:rsidTr="00FC7C3F">
        <w:tc>
          <w:tcPr>
            <w:tcW w:w="4660" w:type="dxa"/>
            <w:shd w:val="clear" w:color="auto" w:fill="auto"/>
          </w:tcPr>
          <w:p w14:paraId="7F002F9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3° zdravotnickým zařízením schváleným jedním ze subjektů federace, a to jen pro institucionalizované pacienty, pokud se jedná o potraviny pro lékařské účely, které jsou podávány perorální cestou a jsou určené pro dospělé a ke splnění nutričních potřeb v případě:</w:t>
            </w:r>
          </w:p>
        </w:tc>
      </w:tr>
      <w:tr w:rsidR="00E57B69" w:rsidRPr="007B5716" w14:paraId="1B48EE96" w14:textId="77777777" w:rsidTr="00FC7C3F">
        <w:tc>
          <w:tcPr>
            <w:tcW w:w="4660" w:type="dxa"/>
            <w:shd w:val="clear" w:color="auto" w:fill="auto"/>
          </w:tcPr>
          <w:p w14:paraId="43728444"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podvýživy nebo rizika podvýživy nesouvisející s jinými nemocemi nebo stavy;</w:t>
            </w:r>
            <w:r>
              <w:rPr>
                <w:sz w:val="22"/>
                <w:rFonts w:ascii="Garamond" w:hAnsi="Garamond"/>
              </w:rPr>
              <w:t xml:space="preserve"> </w:t>
            </w:r>
            <w:r>
              <w:rPr>
                <w:sz w:val="22"/>
                <w:rFonts w:ascii="Garamond" w:hAnsi="Garamond"/>
              </w:rPr>
              <w:t xml:space="preserve">nebo</w:t>
            </w:r>
          </w:p>
        </w:tc>
      </w:tr>
      <w:tr w:rsidR="00E57B69" w:rsidRPr="00B239EE" w14:paraId="062FEC4E" w14:textId="77777777" w:rsidTr="00FC7C3F">
        <w:tc>
          <w:tcPr>
            <w:tcW w:w="4660" w:type="dxa"/>
            <w:shd w:val="clear" w:color="auto" w:fill="auto"/>
          </w:tcPr>
          <w:p w14:paraId="57F5A7B7" w14:textId="77777777" w:rsidR="00E57B69" w:rsidRPr="00B239EE"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dehydratace nebo rizika dehydratace;</w:t>
            </w:r>
            <w:r>
              <w:rPr>
                <w:sz w:val="22"/>
                <w:rFonts w:ascii="Garamond" w:hAnsi="Garamond"/>
              </w:rPr>
              <w:t xml:space="preserve"> </w:t>
            </w:r>
            <w:r>
              <w:rPr>
                <w:sz w:val="22"/>
                <w:rFonts w:ascii="Garamond" w:hAnsi="Garamond"/>
              </w:rPr>
              <w:t xml:space="preserve">nebo</w:t>
            </w:r>
          </w:p>
        </w:tc>
      </w:tr>
      <w:tr w:rsidR="00E57B69" w:rsidRPr="007B5716" w14:paraId="6062D995" w14:textId="77777777" w:rsidTr="00FC7C3F">
        <w:tc>
          <w:tcPr>
            <w:tcW w:w="4660" w:type="dxa"/>
            <w:shd w:val="clear" w:color="auto" w:fill="auto"/>
          </w:tcPr>
          <w:p w14:paraId="7789111F"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problémů s polykáním;</w:t>
            </w:r>
          </w:p>
        </w:tc>
      </w:tr>
      <w:tr w:rsidR="00E57B69" w:rsidRPr="007B5716" w14:paraId="3EBDB2AA" w14:textId="77777777" w:rsidTr="00FC7C3F">
        <w:tc>
          <w:tcPr>
            <w:tcW w:w="4660" w:type="dxa"/>
            <w:shd w:val="clear" w:color="auto" w:fill="auto"/>
          </w:tcPr>
          <w:p w14:paraId="4B4204C4" w14:textId="77777777" w:rsidR="00E57B69" w:rsidRPr="007B5716" w:rsidRDefault="00E57B69" w:rsidP="00FC7C3F">
            <w:pPr>
              <w:tabs>
                <w:tab w:val="left" w:pos="0"/>
                <w:tab w:val="left" w:pos="709"/>
                <w:tab w:val="left" w:pos="2268"/>
              </w:tabs>
              <w:jc w:val="both"/>
              <w:rPr>
                <w:rFonts w:ascii="Garamond" w:hAnsi="Garamond"/>
                <w:sz w:val="22"/>
                <w:lang w:val="nl-BE"/>
              </w:rPr>
            </w:pPr>
          </w:p>
        </w:tc>
      </w:tr>
      <w:tr w:rsidR="00E57B69" w:rsidRPr="007623AC" w14:paraId="42588F4F" w14:textId="77777777" w:rsidTr="00FC7C3F">
        <w:tc>
          <w:tcPr>
            <w:tcW w:w="4660" w:type="dxa"/>
            <w:shd w:val="clear" w:color="auto" w:fill="auto"/>
          </w:tcPr>
          <w:p w14:paraId="0E7BE6F9" w14:textId="77777777" w:rsidR="00E57B69" w:rsidRPr="007623AC"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4° službám mimo nemocnici registrovaným v souladu s královským výnosem ze dne 15. listopadu 2017 o oznámení kontaktního místa dozoru v oblasti zdravotnických prostředků a registraci distributorů a producentů zdravotnických prostředků, které podléhají omezení výdeje na lékařský předpis;</w:t>
            </w:r>
          </w:p>
        </w:tc>
      </w:tr>
      <w:tr w:rsidR="00E57B69" w:rsidRPr="00E57B69" w14:paraId="49CD1A5A" w14:textId="77777777" w:rsidTr="00FC7C3F">
        <w:tc>
          <w:tcPr>
            <w:tcW w:w="4660" w:type="dxa"/>
            <w:shd w:val="clear" w:color="auto" w:fill="auto"/>
          </w:tcPr>
          <w:p w14:paraId="5A7EB405"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7623AC" w14:paraId="22BD29E8" w14:textId="77777777" w:rsidTr="00FC7C3F">
        <w:tc>
          <w:tcPr>
            <w:tcW w:w="4660" w:type="dxa"/>
            <w:shd w:val="clear" w:color="auto" w:fill="auto"/>
          </w:tcPr>
          <w:p w14:paraId="5C78D62B"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5° maloobchodu, pokud je potravina pro lékařské účely podávána perorální cestou a je určena pro dospělé a ke splnění nutričních potřeb v případě podvýživy nebo rizika podvýživy, která není spojena s jinými onemocněními nebo stavy.</w:t>
            </w:r>
          </w:p>
        </w:tc>
      </w:tr>
      <w:tr w:rsidR="00E57B69" w:rsidRPr="00E57B69" w14:paraId="0E60332F" w14:textId="77777777" w:rsidTr="00FC7C3F">
        <w:tc>
          <w:tcPr>
            <w:tcW w:w="4660" w:type="dxa"/>
            <w:shd w:val="clear" w:color="auto" w:fill="auto"/>
          </w:tcPr>
          <w:p w14:paraId="4DFD6D8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7623AC" w14:paraId="3B43C8CF" w14:textId="77777777" w:rsidTr="00FC7C3F">
        <w:tc>
          <w:tcPr>
            <w:tcW w:w="4660" w:type="dxa"/>
            <w:shd w:val="clear" w:color="auto" w:fill="auto"/>
          </w:tcPr>
          <w:p w14:paraId="1B9842B5" w14:textId="77777777" w:rsidR="00E57B69" w:rsidRPr="007623AC" w:rsidRDefault="00E57B69" w:rsidP="00FC7C3F">
            <w:pPr>
              <w:tabs>
                <w:tab w:val="left" w:pos="0"/>
                <w:tab w:val="left" w:pos="709"/>
                <w:tab w:val="left" w:pos="2268"/>
              </w:tabs>
              <w:jc w:val="both"/>
              <w:rPr>
                <w:b/>
                <w:sz w:val="22"/>
                <w:rFonts w:ascii="Garamond" w:hAnsi="Garamond"/>
              </w:rPr>
            </w:pPr>
            <w:r>
              <w:rPr>
                <w:sz w:val="22"/>
                <w:b/>
                <w:rFonts w:ascii="Garamond" w:hAnsi="Garamond"/>
              </w:rPr>
              <w:t xml:space="preserve">Článek 3.</w:t>
            </w:r>
            <w:r>
              <w:rPr>
                <w:sz w:val="22"/>
                <w:rFonts w:ascii="Garamond" w:hAnsi="Garamond"/>
              </w:rPr>
              <w:t xml:space="preserve"> </w:t>
            </w:r>
            <w:r>
              <w:rPr>
                <w:sz w:val="22"/>
                <w:rFonts w:ascii="Garamond" w:hAnsi="Garamond"/>
              </w:rPr>
              <w:t xml:space="preserve">Metoda komunikace na dálku používaná k prodeji a/nebo dodávání potravin určených pro lékařské účely konečnému uživateli se povoluje pouze v případě:</w:t>
            </w:r>
          </w:p>
        </w:tc>
      </w:tr>
      <w:tr w:rsidR="00E57B69" w:rsidRPr="007623AC" w14:paraId="485FD7A6" w14:textId="77777777" w:rsidTr="00FC7C3F">
        <w:tc>
          <w:tcPr>
            <w:tcW w:w="4660" w:type="dxa"/>
            <w:shd w:val="clear" w:color="auto" w:fill="auto"/>
          </w:tcPr>
          <w:p w14:paraId="327B89BD"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výdeje lékárnami;</w:t>
            </w:r>
          </w:p>
        </w:tc>
      </w:tr>
      <w:tr w:rsidR="00E57B69" w:rsidRPr="007623AC" w14:paraId="100FF619" w14:textId="77777777" w:rsidTr="00FC7C3F">
        <w:tc>
          <w:tcPr>
            <w:tcW w:w="4660" w:type="dxa"/>
            <w:shd w:val="clear" w:color="auto" w:fill="auto"/>
          </w:tcPr>
          <w:p w14:paraId="1FE0D9CB" w14:textId="77777777" w:rsidR="00E57B69" w:rsidRPr="007623AC" w:rsidRDefault="00E57B69" w:rsidP="00FC7C3F">
            <w:pPr>
              <w:tabs>
                <w:tab w:val="left" w:pos="0"/>
                <w:tab w:val="left" w:pos="709"/>
                <w:tab w:val="left" w:pos="2268"/>
              </w:tabs>
              <w:jc w:val="both"/>
              <w:rPr>
                <w:rFonts w:ascii="Garamond" w:hAnsi="Garamond"/>
                <w:sz w:val="22"/>
                <w:lang w:val="nl-BE"/>
              </w:rPr>
            </w:pPr>
          </w:p>
        </w:tc>
      </w:tr>
      <w:tr w:rsidR="00E57B69" w:rsidRPr="007623AC" w14:paraId="5210B9E5" w14:textId="77777777" w:rsidTr="00FC7C3F">
        <w:tc>
          <w:tcPr>
            <w:tcW w:w="4660" w:type="dxa"/>
            <w:shd w:val="clear" w:color="auto" w:fill="auto"/>
          </w:tcPr>
          <w:p w14:paraId="4F60DD25"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maloobchodu dle uvedení v čl. 2 bodě 5.</w:t>
            </w:r>
          </w:p>
        </w:tc>
      </w:tr>
      <w:tr w:rsidR="00E57B69" w:rsidRPr="00E57B69" w14:paraId="49F2A875" w14:textId="77777777" w:rsidTr="00FC7C3F">
        <w:tc>
          <w:tcPr>
            <w:tcW w:w="4660" w:type="dxa"/>
            <w:shd w:val="clear" w:color="auto" w:fill="auto"/>
          </w:tcPr>
          <w:p w14:paraId="66B85DC8"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E57B69" w14:paraId="0673F5AD" w14:textId="77777777" w:rsidTr="00FC7C3F">
        <w:tc>
          <w:tcPr>
            <w:tcW w:w="4660" w:type="dxa"/>
          </w:tcPr>
          <w:p w14:paraId="7D35726F" w14:textId="77777777" w:rsidR="00E57B69" w:rsidRPr="00904C39" w:rsidRDefault="00E57B69" w:rsidP="00FC7C3F">
            <w:pPr>
              <w:rPr>
                <w:rFonts w:ascii="Garamond" w:hAnsi="Garamond"/>
                <w:b/>
                <w:sz w:val="22"/>
                <w:lang w:val="en-US"/>
              </w:rPr>
            </w:pPr>
          </w:p>
        </w:tc>
      </w:tr>
      <w:tr w:rsidR="00E57B69" w:rsidRPr="009E37B6" w14:paraId="2E0CA4F6" w14:textId="77777777" w:rsidTr="00FC7C3F">
        <w:trPr>
          <w:trHeight w:val="301"/>
        </w:trPr>
        <w:tc>
          <w:tcPr>
            <w:tcW w:w="4660" w:type="dxa"/>
          </w:tcPr>
          <w:p w14:paraId="29A4B050" w14:textId="77777777" w:rsidR="00E57B69" w:rsidRPr="009E37B6"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                 </w:t>
            </w:r>
            <w:r>
              <w:rPr>
                <w:sz w:val="22"/>
                <w:rFonts w:ascii="Garamond" w:hAnsi="Garamond"/>
              </w:rPr>
              <w:t xml:space="preserve">V Bruselu, dne xxx</w:t>
            </w:r>
          </w:p>
        </w:tc>
      </w:tr>
      <w:tr w:rsidR="00E57B69" w:rsidRPr="009E37B6" w14:paraId="23A47852" w14:textId="77777777" w:rsidTr="00FC7C3F">
        <w:trPr>
          <w:trHeight w:val="301"/>
        </w:trPr>
        <w:tc>
          <w:tcPr>
            <w:tcW w:w="4660" w:type="dxa"/>
          </w:tcPr>
          <w:p w14:paraId="5E70ACDD" w14:textId="77777777" w:rsidR="00E57B69" w:rsidRPr="00E57B69" w:rsidRDefault="00E57B69" w:rsidP="00FC7C3F">
            <w:pPr>
              <w:tabs>
                <w:tab w:val="left" w:pos="0"/>
                <w:tab w:val="left" w:pos="709"/>
                <w:tab w:val="left" w:pos="2268"/>
              </w:tabs>
              <w:jc w:val="both"/>
              <w:rPr>
                <w:rFonts w:ascii="Garamond" w:hAnsi="Garamond"/>
                <w:sz w:val="22"/>
                <w:lang w:val="nl-BE"/>
              </w:rPr>
            </w:pPr>
          </w:p>
        </w:tc>
      </w:tr>
      <w:tr w:rsidR="00E57B69" w:rsidRPr="009E37B6" w14:paraId="722E0BA7" w14:textId="77777777" w:rsidTr="00FC7C3F">
        <w:trPr>
          <w:trHeight w:val="301"/>
        </w:trPr>
        <w:tc>
          <w:tcPr>
            <w:tcW w:w="4660" w:type="dxa"/>
          </w:tcPr>
          <w:p w14:paraId="1EF683E1" w14:textId="64949DE5"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Frank VANDENBROUCKE</w:t>
            </w:r>
          </w:p>
        </w:tc>
      </w:tr>
      <w:tr w:rsidR="00E57B69" w:rsidRPr="009E37B6" w14:paraId="09B2B84D" w14:textId="77777777" w:rsidTr="00FC7C3F">
        <w:trPr>
          <w:trHeight w:val="301"/>
        </w:trPr>
        <w:tc>
          <w:tcPr>
            <w:tcW w:w="4660" w:type="dxa"/>
          </w:tcPr>
          <w:p w14:paraId="74480347" w14:textId="49B7C5D1"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David CLARINVAL</w:t>
            </w:r>
          </w:p>
        </w:tc>
      </w:tr>
    </w:tbl>
    <w:p w14:paraId="4FE51EEF" w14:textId="77777777" w:rsidR="00816ED9" w:rsidRDefault="00816ED9"/>
    <w:sectPr w:rsidR="00816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2CF"/>
    <w:multiLevelType w:val="hybridMultilevel"/>
    <w:tmpl w:val="6708F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69"/>
    <w:rsid w:val="00816ED9"/>
    <w:rsid w:val="00823C40"/>
    <w:rsid w:val="00904C39"/>
    <w:rsid w:val="00E5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D76"/>
  <w15:chartTrackingRefBased/>
  <w15:docId w15:val="{5AAA6A78-B538-491E-A2C6-720FEDFF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69"/>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Dimitris Dimitriadis</cp:lastModifiedBy>
  <cp:revision>3</cp:revision>
  <dcterms:created xsi:type="dcterms:W3CDTF">2021-06-21T16:15:00Z</dcterms:created>
  <dcterms:modified xsi:type="dcterms:W3CDTF">2021-06-24T13:47:00Z</dcterms:modified>
</cp:coreProperties>
</file>