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 xml:space="preserve">Ministeren for lægebehandling,</w:t>
      </w:r>
    </w:p>
    <w:p w14:paraId="4277AAE7" w14:textId="0746FA92" w:rsidR="001D3DA3" w:rsidRDefault="00AD598F" w:rsidP="008D3E19">
      <w:pPr>
        <w:pStyle w:val="NoSpacing"/>
        <w:spacing w:line="276" w:lineRule="auto"/>
        <w:rPr>
          <w:color w:val="000000" w:themeColor="text1"/>
        </w:rPr>
      </w:pPr>
      <w:r>
        <w:t xml:space="preserve"> </w:t>
      </w:r>
      <w:r>
        <w:br/>
      </w:r>
      <w:r>
        <w:t xml:space="preserve">Under henvisning til:</w:t>
      </w:r>
      <w:r>
        <w:t xml:space="preserve"> </w:t>
      </w:r>
      <w:r>
        <w:br/>
      </w:r>
    </w:p>
    <w:p w14:paraId="5EC1E4DA" w14:textId="77777777" w:rsidR="00BD77BD" w:rsidRDefault="00BD77BD" w:rsidP="00BD77BD">
      <w:pPr>
        <w:pStyle w:val="ListParagraph"/>
        <w:numPr>
          <w:ilvl w:val="0"/>
          <w:numId w:val="26"/>
        </w:numPr>
        <w:autoSpaceDN/>
        <w:spacing w:line="276" w:lineRule="auto"/>
        <w:textAlignment w:val="auto"/>
      </w:pPr>
      <w:r>
        <w:t xml:space="preserve">artikel 36 og 38 i Europa-Parlamentets og Rådets forordning (EU) nr. 1169/2011 af 25. oktober 2011 om fødevareinformation til forbrugerne, om ændring af Europa-Parlamentets og Rådets forordning (EF) nr. 1924/2006 og (EF) nr. 1925/2006 og om ophævelse af Kommissionens direktiv 87/250/EØF, Rådets direktiv 90/496/EØF, Kommissionens direktiv 1999/10/EF, Europa-Parlamentets og Rådets direktiv 2000/13/EF, Kommissionens direktiv 2002/67/EF og 2008/5/EF og Kommissionens forordning (EF) nr. 608/2004 (EUT 2011 L 304)</w:t>
      </w:r>
    </w:p>
    <w:p w14:paraId="4F7579B4" w14:textId="00829AA7" w:rsidR="00BD77BD" w:rsidRDefault="00BD77BD" w:rsidP="00BD77BD">
      <w:pPr>
        <w:pStyle w:val="ListParagraph"/>
        <w:numPr>
          <w:ilvl w:val="0"/>
          <w:numId w:val="26"/>
        </w:numPr>
        <w:autoSpaceDN/>
        <w:spacing w:line="276" w:lineRule="auto"/>
        <w:textAlignment w:val="auto"/>
      </w:pPr>
      <w:r>
        <w:t xml:space="preserve">Artikel 8 og 23 i Europa-Parlamentets og Rådets forordning (EF) nr. 1924/2006 af 20. december 2006 om ernærings- og sundhedsanprisninger af fødevarer (EUT 2006 L 404)</w:t>
      </w:r>
    </w:p>
    <w:p w14:paraId="2D73B211" w14:textId="2E98BB2D" w:rsidR="00BD77BD" w:rsidRPr="00BD77BD" w:rsidRDefault="00BD77BD" w:rsidP="00BD77BD">
      <w:pPr>
        <w:pStyle w:val="NoSpacing"/>
        <w:numPr>
          <w:ilvl w:val="0"/>
          <w:numId w:val="26"/>
        </w:numPr>
        <w:spacing w:line="276" w:lineRule="auto"/>
        <w:rPr>
          <w:color w:val="000000" w:themeColor="text1"/>
        </w:rPr>
      </w:pPr>
      <w:r>
        <w:t xml:space="preserve">artikel 11,</w:t>
      </w:r>
      <w:r>
        <w:t xml:space="preserve"> </w:t>
      </w:r>
      <w:r>
        <w:t xml:space="preserve">første og tredje afsnit i varelovens bekendtgørelse om fødevareinformation</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xml:space="preserve"> </w:t>
      </w:r>
    </w:p>
    <w:p w14:paraId="65467C1F" w14:textId="77777777" w:rsidR="001D3DA3" w:rsidRDefault="00AD598F" w:rsidP="008D3E19">
      <w:pPr>
        <w:pStyle w:val="NoSpacing"/>
        <w:spacing w:line="276" w:lineRule="auto"/>
      </w:pPr>
      <w:r>
        <w:t xml:space="preserve">Udsteder hermed følgende dekret:</w:t>
      </w:r>
    </w:p>
    <w:p w14:paraId="5C149CB5" w14:textId="77777777" w:rsidR="001D3DA3" w:rsidRDefault="00AD598F" w:rsidP="008D3E19">
      <w:pPr>
        <w:pStyle w:val="NoSpacing"/>
        <w:spacing w:line="276" w:lineRule="auto"/>
      </w:pPr>
      <w:r>
        <w:t xml:space="preserve"> </w:t>
      </w:r>
    </w:p>
    <w:p w14:paraId="1DCCB7BA" w14:textId="77777777" w:rsidR="00EE25A3" w:rsidRDefault="00CB0E9D" w:rsidP="008D3E19">
      <w:pPr>
        <w:pStyle w:val="NoSpacing"/>
        <w:spacing w:line="276" w:lineRule="auto"/>
        <w:rPr>
          <w:color w:val="000000" w:themeColor="text1"/>
        </w:rPr>
      </w:pPr>
      <w:r>
        <w:rPr>
          <w:b/>
        </w:rPr>
        <w:t xml:space="preserve">Artikel 1</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 xml:space="preserve">I denne forordning gælder følgende begreber og definitioner:</w:t>
      </w:r>
    </w:p>
    <w:p w14:paraId="5CF05977" w14:textId="38C5D6EC" w:rsidR="00EE25A3" w:rsidRDefault="004126C3" w:rsidP="00D83FCC">
      <w:pPr>
        <w:pStyle w:val="NoSpacing"/>
        <w:spacing w:line="276" w:lineRule="auto"/>
        <w:rPr>
          <w:color w:val="000000" w:themeColor="text1"/>
        </w:rPr>
      </w:pPr>
      <w:r>
        <w:rPr>
          <w:color w:val="000000" w:themeColor="text1"/>
          <w:i/>
        </w:rPr>
        <w:br/>
      </w:r>
      <w:r>
        <w:rPr>
          <w:color w:val="000000" w:themeColor="text1"/>
          <w:i/>
        </w:rPr>
        <w:t xml:space="preserve">Nutri-Score:</w:t>
      </w:r>
      <w:r>
        <w:rPr>
          <w:color w:val="000000" w:themeColor="text1"/>
          <w:i/>
        </w:rPr>
        <w:t xml:space="preserve"> </w:t>
      </w:r>
      <w:r>
        <w:rPr>
          <w:color w:val="000000" w:themeColor="text1"/>
        </w:rPr>
        <w:t xml:space="preserve">EU-varemærke registreret ved Den Europæiske Unions Kontor for Intellektuel Ejendomsret af Santé publique France (den franske sundhedsstyrelse)</w:t>
      </w:r>
      <w:r>
        <w:rPr>
          <w:color w:val="000000" w:themeColor="text1"/>
          <w:i/>
        </w:rPr>
        <w:br/>
      </w:r>
      <w:r>
        <w:t xml:space="preserve">betingelser for brug: reglerne for brug af Nutri-Score, offentliggjort </w:t>
      </w:r>
      <w:r>
        <w:rPr>
          <w:b/>
        </w:rPr>
        <w:t xml:space="preserve">post meridiem</w:t>
      </w:r>
      <w:r>
        <w:t xml:space="preserve">, med titlen "Betingelser for brug af "Nutri-Score"-logoet, version af 10. juli 2020".</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 xml:space="preserve">Artikel 2</w:t>
      </w:r>
    </w:p>
    <w:p w14:paraId="3122E91A" w14:textId="48F9899F" w:rsidR="00EE25A3" w:rsidRDefault="00A17BBC" w:rsidP="008D3E19">
      <w:pPr>
        <w:pStyle w:val="NoSpacing"/>
        <w:spacing w:line="276" w:lineRule="auto"/>
        <w:rPr>
          <w:color w:val="000000" w:themeColor="text1"/>
          <w:kern w:val="2"/>
        </w:rPr>
      </w:pPr>
      <w:r>
        <w:rPr>
          <w:color w:val="000000" w:themeColor="text1"/>
        </w:rPr>
        <w:br/>
      </w:r>
      <w:r>
        <w:rPr>
          <w:color w:val="000000" w:themeColor="text1"/>
        </w:rPr>
        <w:t xml:space="preserve">"Nutri-Score"-logoet og dets anvendelsesbetingelser skal betegnes som et logo for valg af fødevarer.</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 xml:space="preserve">Artikel 3</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Denne ordning træder i kraft med virkning fra </w:t>
      </w:r>
      <w:r>
        <w:rPr>
          <w:b/>
        </w:rPr>
        <w:t xml:space="preserve">post meridiem</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 xml:space="preserve">Artikel 4</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 xml:space="preserve">Denne afgørelse benævnes:</w:t>
      </w:r>
      <w:r>
        <w:rPr>
          <w:color w:val="000000" w:themeColor="text1"/>
        </w:rPr>
        <w:t xml:space="preserve"> </w:t>
      </w:r>
      <w:r>
        <w:rPr>
          <w:color w:val="000000" w:themeColor="text1"/>
        </w:rPr>
        <w:t xml:space="preserve">Varelovens forordning om udpegelse af logo for valg af fødevarer.</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 xml:space="preserve">Denne forordning og de forklarende bemærkninger offentliggøres i Statstidende.</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 xml:space="preserve">Ministeren for lægebehandling,</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 xml:space="preserve">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t xml:space="preserve">FORKLARENDE BEMÆRKNINGER</w:t>
      </w:r>
      <w:r>
        <w:rPr>
          <w:b/>
        </w:rPr>
        <w:br/>
      </w:r>
    </w:p>
    <w:p w14:paraId="62AF9EB0" w14:textId="77777777" w:rsidR="007374B7" w:rsidRPr="007374B7" w:rsidRDefault="007374B7" w:rsidP="008D3E19">
      <w:pPr>
        <w:pStyle w:val="NoSpacing"/>
        <w:spacing w:line="276" w:lineRule="auto"/>
        <w:rPr>
          <w:b/>
          <w:bCs/>
        </w:rPr>
      </w:pPr>
      <w:r>
        <w:rPr>
          <w:b/>
        </w:rPr>
        <w:t xml:space="preserve">1.</w:t>
      </w:r>
      <w:r>
        <w:rPr>
          <w:b/>
        </w:rPr>
        <w:t xml:space="preserve"> </w:t>
      </w:r>
      <w:r>
        <w:rPr>
          <w:b/>
        </w:rPr>
        <w:t xml:space="preserve">Generelt</w:t>
      </w:r>
    </w:p>
    <w:p w14:paraId="522F9288" w14:textId="42F9642B" w:rsidR="00CE650A" w:rsidRDefault="00D83FCC" w:rsidP="00D83FCC">
      <w:pPr>
        <w:pStyle w:val="NoSpacing"/>
        <w:spacing w:line="276" w:lineRule="auto"/>
        <w:rPr>
          <w:i/>
        </w:rPr>
      </w:pPr>
      <w:r>
        <w:rPr>
          <w:i/>
        </w:rPr>
        <w:br/>
      </w:r>
      <w:r>
        <w:rPr>
          <w:i/>
        </w:rPr>
        <w:t xml:space="preserve">Begrundelse</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 xml:space="preserve">Den nationale forebyggelsesaftale</w:t>
      </w:r>
      <w:r w:rsidR="00125CD6">
        <w:rPr>
          <w:rStyle w:val="FootnoteReference"/>
        </w:rPr>
        <w:footnoteReference w:id="1"/>
      </w:r>
      <w:r>
        <w:t xml:space="preserve"> blev vedtaget den 23. november 2018.</w:t>
      </w:r>
      <w:r>
        <w:t xml:space="preserve"> </w:t>
      </w:r>
      <w:r>
        <w:t xml:space="preserve">Den omfatter aftaler, som regeringen og mere end 70 parter har indgået om at indføre foranstaltninger til bekæmpelse af overvægt, rygning og alkoholproblemer.</w:t>
      </w:r>
      <w:r>
        <w:t xml:space="preserve"> </w:t>
      </w:r>
      <w:r>
        <w:t xml:space="preserve">Underskriverne omfatter paraplyorganisationer i sundhedsvæsenet, patientorganisationer, virksomheder, kommuner og uddannelsesinstitutioner.</w:t>
      </w:r>
      <w:r>
        <w:t xml:space="preserve"> </w:t>
      </w:r>
      <w:r>
        <w:t xml:space="preserve">Den nationale forebyggelsesaftale omfatter en række foranstaltninger inden for sund ernæring.</w:t>
      </w:r>
      <w:r>
        <w:t xml:space="preserve"> </w:t>
      </w:r>
      <w:r>
        <w:t xml:space="preserve">Sund kost er vigtigt for alle, ikke kun for overvægtige mennesker.</w:t>
      </w:r>
      <w:r>
        <w:t xml:space="preserve"> </w:t>
      </w:r>
      <w:r>
        <w:t xml:space="preserve">For at gøre forbrugerne mere bevidste om sundere valg blev det i den nationale forebyggelsesaftale aftalt, at den nederlandske regering i 2020 skulle indføre et nyt, alment anvendt logo for valg af fødevarer i 2020.</w:t>
      </w:r>
      <w:r>
        <w:t xml:space="preserve">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 xml:space="preserve">Kravet var, at valget af logoet skulle baseres på en solid og uafhængig forbrugerundersøgelse.</w:t>
      </w:r>
      <w:r>
        <w:t xml:space="preserve"> </w:t>
      </w:r>
      <w:r>
        <w:t xml:space="preserve">Det blev også anset for at være af stor betydning, at det logo, der skulle vælges, skulle være i overensstemmelse med den måde, hvorpå folk træffer deres valg: forbrugernes forståelse skulle være afgørende.</w:t>
      </w:r>
      <w:r>
        <w:t xml:space="preserve"> </w:t>
      </w:r>
      <w:r>
        <w:t xml:space="preserve">Ved valget skulle der også tages hensyn til kostrådene i henhold til den såkaldte ”disk of five”, og endelig skulle der tages hensyn til den europæiske udvikling inden for logoer for valg af fødevarer.</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 xml:space="preserve">Proces</w:t>
      </w:r>
      <w:r>
        <w:rPr>
          <w:i/>
        </w:rPr>
        <w:br/>
      </w:r>
    </w:p>
    <w:p w14:paraId="15D74CD7" w14:textId="77777777" w:rsidR="004F54A5" w:rsidRDefault="004F54A5" w:rsidP="008D3E19">
      <w:pPr>
        <w:pStyle w:val="NoSpacing"/>
        <w:spacing w:line="276" w:lineRule="auto"/>
      </w:pPr>
      <w:r>
        <w:t xml:space="preserve">Fra november 2018 begyndte arbejdet med at gennemføre ovennævnte aftale i den nationale forebyggelsesaftale.</w:t>
      </w:r>
    </w:p>
    <w:p w14:paraId="7FAB8B53" w14:textId="77777777" w:rsidR="001110B2" w:rsidRDefault="0029125D" w:rsidP="008D3E19">
      <w:pPr>
        <w:pStyle w:val="NoSpacing"/>
        <w:spacing w:line="276" w:lineRule="auto"/>
      </w:pPr>
      <w:r>
        <w:t xml:space="preserve">I forbindelse med udarbejdelsen af betingelserne for valget af logo for fødevarer er forskellige parter blevet hørt.</w:t>
      </w:r>
      <w:r>
        <w:t xml:space="preserve"> </w:t>
      </w:r>
      <w:r>
        <w:t xml:space="preserve">Forbrugerforeningen, de kooperative sundhedsfonde (Hartstichting, Nierstichting, Diabetesfonds), den hollandske sammenslutning for handel med levnedsmidler (CBL), sammenslutningen af hollandske fødevareindustrier (FNLI), Koninklijke Horeca Nederland (KHN), Vereniging Nederlandse Cateraars (Veneca), ernæringscentret, RIVM og landbrugsministeriet blev alle involveret i beslutningsprocessen.</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 xml:space="preserve">Den afhængige forbrugerundersøgelse</w:t>
      </w:r>
      <w:r w:rsidR="00A978BD">
        <w:rPr>
          <w:rStyle w:val="FootnoteReference"/>
        </w:rPr>
        <w:footnoteReference w:id="2"/>
      </w:r>
      <w:r>
        <w:t xml:space="preserve"> sammenlignede tre logoer for valg af fødevarer, der i øjeblikket anvendes i europæiske lande.</w:t>
      </w:r>
      <w:r>
        <w:t xml:space="preserve"> </w:t>
      </w:r>
      <w:r>
        <w:t xml:space="preserve">Det blev undersøgt, i hvilket omfang disse logoer hjælper forbrugerne med at træffe et sundere valg.</w:t>
      </w:r>
      <w:r>
        <w:t xml:space="preserve"> </w:t>
      </w:r>
      <w:r>
        <w:t xml:space="preserve">Forbrugerundersøgelsen viser, at med Nutri-Score kan forbrugerne bedst styres til sundere valg.</w:t>
      </w:r>
      <w:r>
        <w:t xml:space="preserve"> </w:t>
      </w:r>
      <w:r>
        <w:t xml:space="preserve">På butikkens hylder kan lignende produkter sammenlignes nemt og hurtigt: kort sagt kan forbrugerne se, hvilket produkt der er det sundeste valg.</w:t>
      </w:r>
      <w:r>
        <w:t xml:space="preserve"> </w:t>
      </w:r>
      <w:r>
        <w:t xml:space="preserve">Det gør det lettere at træffe et sundere valg.</w:t>
      </w:r>
      <w:r>
        <w:t xml:space="preserve">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 xml:space="preserve">Forbrugerundersøgelsen viser imidlertid også, at nogle af respondenterne ikke længere er i stand til at træffe det sundeste valg, hvis oplysningerne fra ”disk of five”-kostrådene og logoerne ikke er svarer overens.</w:t>
      </w:r>
      <w:r>
        <w:t xml:space="preserve"> </w:t>
      </w:r>
      <w:r>
        <w:t xml:space="preserve">RIVM og ernæringscenteret har gennemført en undersøgelse af Nutri-Score</w:t>
      </w:r>
      <w:r w:rsidR="00A978BD">
        <w:rPr>
          <w:rStyle w:val="FootnoteReference"/>
        </w:rPr>
        <w:footnoteReference w:id="3"/>
      </w:r>
      <w:r>
        <w:t xml:space="preserve">,</w:t>
      </w:r>
      <w:r>
        <w:t xml:space="preserve"> </w:t>
      </w:r>
      <w:r>
        <w:t xml:space="preserve">hvori det blev konkluderet, at for en række produkter i forskellige kategorier svarer ernæringsrådene fra Nutri-Score og Disk of Five ikke nøjagtigt til hinanden.</w:t>
      </w:r>
      <w:r>
        <w:t xml:space="preserve">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 xml:space="preserve">På grundlag af resultaterne af undersøgelserne og i samarbejde med de nævnte parter har ministeren for sundhed, velfærd og sport valgt at udpege Nutri-Score som et logo for fødevarevalg.</w:t>
      </w:r>
      <w:r w:rsidR="00125CD6">
        <w:rPr>
          <w:rStyle w:val="FootnoteReference"/>
        </w:rPr>
        <w:footnoteReference w:id="4"/>
      </w:r>
      <w:r>
        <w:t xml:space="preserve"> </w:t>
      </w:r>
      <w:r>
        <w:t xml:space="preserve">Den underliggende beregning af Nutri-Score skal imidlertid tilpasses på en sådan måde, at logoet skaber så lidt forvirring som muligt blandt de nederlandske forbrugere om, hvad det sundeste valg er.</w:t>
      </w:r>
      <w:r>
        <w:t xml:space="preserve">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I begyndelsen af 2020 informerede statssekretæren den franske regering om valget af Nutri-Score.</w:t>
      </w:r>
      <w:r>
        <w:t xml:space="preserve"> </w:t>
      </w:r>
      <w:r>
        <w:t xml:space="preserve">Nederlandene deltager i den internationale høring, hvor der indgås aftaler om gennemførelsen og tilrettelæggelsen.</w:t>
      </w:r>
      <w:r>
        <w:t xml:space="preserve"> </w:t>
      </w:r>
      <w:r>
        <w:t xml:space="preserve">Et uafhængigt videnskabeligt udvalg undersøger beregningerne bag Nutri-Score og har til opgave at sikre, at Nutri-Scores ernæringsmæssige kriterier er i overensstemmelse med de deltagende landes ernæringsmæssige retningslinjer.</w:t>
      </w:r>
      <w:r>
        <w:t xml:space="preserve">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color w:val="333333"/>
          <w:rFonts w:eastAsia="Times New Roman" w:cs="Arial"/>
        </w:rPr>
      </w:pPr>
      <w:r>
        <w:rPr>
          <w:i/>
        </w:rPr>
        <w:t xml:space="preserve">Angivelse af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rPr>
          <w:i/>
        </w:rPr>
        <w:t xml:space="preserve">Nutri-Score</w:t>
      </w:r>
      <w:r>
        <w:t xml:space="preserve"> er et frivilligt logo til valg af fødevarer, der hjælper forbrugerne med at træffe sundere valg, når de køber inden for en produktgruppe.</w:t>
      </w:r>
      <w:r>
        <w:t xml:space="preserve"> </w:t>
      </w:r>
      <w:r>
        <w:rPr>
          <w:i/>
        </w:rPr>
        <w:t xml:space="preserve">Nutri-Score</w:t>
      </w:r>
      <w:r>
        <w:t xml:space="preserve"> fastlægges ved at tildele point for mængden af protein, fiber, frugt, grøntsager, bælgfrugter og nødder i en fødevare.</w:t>
      </w:r>
      <w:r>
        <w:t xml:space="preserve"> </w:t>
      </w:r>
      <w:r>
        <w:t xml:space="preserve">Der trækkes point fra denne score for energiindholdet (kilokalorier), mængden af sukkerstoffer, mættet fedt og salt.</w:t>
      </w:r>
      <w:r>
        <w:t xml:space="preserve"> </w:t>
      </w:r>
      <w:r>
        <w:t xml:space="preserve">Baseret på den samlede score får et produkt betegnelsen A, B, C, D eller E. Et mørkegrønt A repræsenterer den sundeste sammensætning.</w:t>
      </w:r>
      <w:r>
        <w:t xml:space="preserve"> </w:t>
      </w:r>
      <w:r>
        <w:t xml:space="preserve">Produkter med en mindre sund sammensætning får et mørkt orangefarvet E. Hvis fødevarevirksomheder anvender </w:t>
      </w:r>
      <w:r>
        <w:rPr>
          <w:i/>
        </w:rPr>
        <w:t xml:space="preserve">Nutri-Score</w:t>
      </w:r>
      <w:r>
        <w:t xml:space="preserve">, skal de overholde betingelserne for brug og placere logoet på forsiden af deres mad.</w:t>
      </w:r>
      <w:r>
        <w:t xml:space="preserve"> </w:t>
      </w:r>
      <w:r>
        <w:t xml:space="preserve">Dette hjælper forbrugerne med at se, hvilket produkt der er det sundeste valg.</w:t>
      </w:r>
      <w:r>
        <w:br/>
      </w:r>
    </w:p>
    <w:p w14:paraId="023F652F" w14:textId="3742B79E" w:rsidR="00DC7A50" w:rsidRDefault="00D83FCC" w:rsidP="008D3E19">
      <w:pPr>
        <w:pStyle w:val="NoSpacing"/>
        <w:spacing w:line="276" w:lineRule="auto"/>
      </w:pPr>
      <w:r>
        <w:rPr>
          <w:color w:val="333333"/>
        </w:rPr>
        <w:t xml:space="preserve">Denne ordning betegner </w:t>
      </w:r>
      <w:r>
        <w:rPr>
          <w:color w:val="333333"/>
          <w:i/>
        </w:rPr>
        <w:t xml:space="preserve">Nutri-Score</w:t>
      </w:r>
      <w:r>
        <w:rPr>
          <w:color w:val="333333"/>
        </w:rPr>
        <w:t xml:space="preserve"> som et logo for fødevarevalg.</w:t>
      </w:r>
      <w:r>
        <w:rPr>
          <w:color w:val="333333"/>
        </w:rPr>
        <w:t xml:space="preserve"> </w:t>
      </w:r>
      <w:r>
        <w:rPr>
          <w:color w:val="000000" w:themeColor="text1"/>
        </w:rPr>
        <w:t xml:space="preserve">Brugsbetingelserne offentliggøres på et websted, der er tilgængeligt for iværksættere og offentligheden.</w:t>
      </w:r>
      <w:r>
        <w:rPr>
          <w:color w:val="333333"/>
        </w:rPr>
        <w:t xml:space="preserve"> </w:t>
      </w:r>
      <w:r>
        <w:rPr>
          <w:color w:val="333333"/>
        </w:rPr>
        <w:t xml:space="preserve">I brugsbetingelserne hedder det, at når Nutri-Score-logoet anvendes, skal kravene i det grafiske charter overholdes.</w:t>
      </w:r>
      <w:r>
        <w:rPr>
          <w:color w:val="333333"/>
        </w:rPr>
        <w:t xml:space="preserve"> </w:t>
      </w:r>
      <w:r>
        <w:rPr>
          <w:color w:val="333333"/>
        </w:rPr>
        <w:t xml:space="preserve">Det grafiske charter stiller krav til logoets dimensioner, brugen af farver og placeringen af logoet på emballage og kommunikationsmedier.</w:t>
      </w:r>
      <w:r>
        <w:rPr>
          <w:color w:val="333333"/>
        </w:rPr>
        <w:t xml:space="preserve">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Da logoet ikke er obligatorisk, kan fødevarevirksomheder overveje at bruge </w:t>
      </w:r>
      <w:r>
        <w:rPr>
          <w:i/>
        </w:rPr>
        <w:t xml:space="preserve">Nutri-Score</w:t>
      </w:r>
      <w:r>
        <w:t xml:space="preserve"> som et logo til valg af fødevarer.</w:t>
      </w:r>
      <w:r>
        <w:t xml:space="preserve"> </w:t>
      </w:r>
      <w:r>
        <w:t xml:space="preserve">Hvis en fødevarevirksomhed vælger at gøre dette, skal den opfylde de krav, der er fastsat i brugsbetingelserne.</w:t>
      </w:r>
      <w:r>
        <w:t xml:space="preserve"> </w:t>
      </w:r>
      <w:r>
        <w:rPr>
          <w:rStyle w:val="Marker"/>
          <w:color w:val="000000" w:themeColor="text1"/>
        </w:rPr>
        <w:t xml:space="preserve">Nutri-Score er et EU-varemærke, der er registreret af indehaveren Santé publique France (den franske sundhedsstyrelse) ved Den Europæiske Unions Kontor for Intellektuel Ejendomsret (EUIPO).</w:t>
      </w:r>
      <w:r>
        <w:rPr>
          <w:rStyle w:val="Marker"/>
          <w:color w:val="000000" w:themeColor="text1"/>
        </w:rPr>
        <w:t xml:space="preserve"> </w:t>
      </w:r>
      <w:r>
        <w:rPr>
          <w:rStyle w:val="Marker"/>
          <w:color w:val="000000" w:themeColor="text1"/>
        </w:rPr>
        <w:t xml:space="preserve">Når Nutri-Score-logoet anvendes, skal ikke blot betingelserne for brugen af mærket overholdes af varemærkeindehaveren, der skal også tages hensyn til </w:t>
      </w:r>
      <w:r>
        <w:t xml:space="preserve">de generelle regler for beskyttelse af varemærker, som skal overholdes inden for varemærkelovgivningen, konkurrenceretten og strafferetten.</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 xml:space="preserve">Nationale juridiske rammer</w:t>
      </w:r>
    </w:p>
    <w:p w14:paraId="57E6E4A9" w14:textId="230342F8" w:rsidR="00D8085E" w:rsidRPr="00A92440" w:rsidRDefault="004336A6" w:rsidP="008D3E19">
      <w:pPr>
        <w:pStyle w:val="NoSpacing"/>
        <w:spacing w:line="276" w:lineRule="auto"/>
      </w:pPr>
      <w:r>
        <w:rPr>
          <w:i/>
        </w:rPr>
        <w:br/>
      </w:r>
      <w:r>
        <w:rPr>
          <w:color w:val="000000" w:themeColor="text1"/>
        </w:rPr>
        <w:t xml:space="preserve">I artikel 1 i fødevarelovens bekendtgørelse defineres et logo til valg af fødevarer som et logo, der gør det lettere for forbrugerne at vælge fødevarer, der er sundere sammenlignet med lignende fødevarer i en bestemt produktkategori.</w:t>
      </w:r>
      <w:r>
        <w:rPr>
          <w:color w:val="000000" w:themeColor="text1"/>
        </w:rPr>
        <w:t xml:space="preserve"> </w:t>
      </w:r>
      <w:r>
        <w:rPr>
          <w:color w:val="000000" w:themeColor="text1"/>
        </w:rPr>
        <w:t xml:space="preserve">I henhold til artikel 11 i fødevarelovens bekendtgørelse om levnedsmidler kan der anvendes et logo til valg af fødevarer ved markedsføring af en fødevare, forudsat at betingelserne i denne artikel er opfyldt.</w:t>
      </w:r>
      <w:r>
        <w:rPr>
          <w:color w:val="000000" w:themeColor="text1"/>
        </w:rPr>
        <w:t xml:space="preserve"> </w:t>
      </w:r>
      <w:r>
        <w:t xml:space="preserve">I 2021 er der planlagt en ændring af varelovens bekendtgørelse om fødevareinformation, som ikke længere kræver, at industrien ansøger om godkendelse af et logo for valg af fødevarer.</w:t>
      </w:r>
      <w:r>
        <w:rPr>
          <w:color w:val="333333"/>
        </w:rPr>
        <w:t xml:space="preserve"> </w:t>
      </w:r>
      <w:r>
        <w:t xml:space="preserve">På tidspunktet for udarbejdelsen af denne forklarende note er </w:t>
      </w:r>
      <w:r>
        <w:rPr>
          <w:color w:val="333333"/>
        </w:rPr>
        <w:t xml:space="preserve">ændringen af varelovens bekendtgørelse om fødevareinformation </w:t>
      </w:r>
      <w:r>
        <w:t xml:space="preserve">endnu ikke offentliggjort i Statstidende.</w:t>
      </w:r>
      <w:r>
        <w:t xml:space="preserve"> </w:t>
      </w:r>
      <w:r>
        <w:t xml:space="preserve">Princippet om gensidig anerkendelse indebærer, at en EU-medlemsstat ikke må forbyde salg af varer, som lovligt er markedsført i en anden EU-medlemsstat, på dens eget område med den begrundelse, at varerne ikke lever op til de nationale regler.</w:t>
      </w:r>
      <w:r>
        <w:t xml:space="preserve"> </w:t>
      </w:r>
      <w:r>
        <w:t xml:space="preserve">Det er imidlertid vigtigt, at varer fra en anden EU-medlemsstat som minimum yder et tilsvarende beskyttelsesniveau.</w:t>
      </w:r>
      <w:r>
        <w:t xml:space="preserve"> </w:t>
      </w:r>
      <w:r>
        <w:t xml:space="preserve">Denne bestemmelse om gensidig anerkendelse findes i artikel 13d i vareloven. Markedsføring af varer med oprindelse i andre EU-medlemsstater er ikke forbudt på grundlag af de krav, der er fastsat i denne ordning.</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b/>
          <w:color w:val="333333"/>
          <w:rFonts w:eastAsia="Times New Roman" w:cs="Arial"/>
        </w:rPr>
      </w:pPr>
      <w:r>
        <w:rPr>
          <w:b/>
          <w:color w:val="333333"/>
        </w:rPr>
        <w:t xml:space="preserve">2.</w:t>
      </w:r>
      <w:r>
        <w:rPr>
          <w:b/>
          <w:color w:val="333333"/>
        </w:rPr>
        <w:t xml:space="preserve"> </w:t>
      </w:r>
      <w:r>
        <w:rPr>
          <w:b/>
          <w:color w:val="333333"/>
        </w:rPr>
        <w:t xml:space="preserve">Indvirkning på de lovgivningsmæssige byrder</w:t>
      </w:r>
      <w:r>
        <w:rPr>
          <w:b/>
          <w:color w:val="333333"/>
        </w:rPr>
        <w:t xml:space="preserve">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color w:val="333333"/>
          <w:rFonts w:eastAsia="Times New Roman" w:cs="Arial"/>
        </w:rPr>
      </w:pPr>
      <w:r>
        <w:rPr>
          <w:color w:val="333333"/>
        </w:rPr>
        <w:t xml:space="preserve">Udvalget til vurdering af den administrative byrde (ATR) udvalgte ikke sagen til en formel udtalelse, da den ikke har nogen indvirkning på borgeres og virksomheders administrative byrde.</w:t>
      </w:r>
      <w:r>
        <w:rPr>
          <w:color w:val="333333"/>
        </w:rPr>
        <w:br/>
      </w:r>
    </w:p>
    <w:p w14:paraId="254A27A8" w14:textId="77777777" w:rsidR="009D6971" w:rsidRDefault="007E23BC" w:rsidP="008D3E19">
      <w:pPr>
        <w:pStyle w:val="NoSpacing"/>
        <w:spacing w:line="276" w:lineRule="auto"/>
        <w:rPr>
          <w:b/>
          <w:color w:val="333333"/>
          <w:rFonts w:eastAsia="Times New Roman" w:cs="Arial"/>
        </w:rPr>
      </w:pPr>
      <w:r>
        <w:rPr>
          <w:b/>
          <w:color w:val="333333"/>
        </w:rPr>
        <w:t xml:space="preserve">3.</w:t>
      </w:r>
      <w:r>
        <w:rPr>
          <w:b/>
          <w:color w:val="333333"/>
        </w:rPr>
        <w:t xml:space="preserve"> </w:t>
      </w:r>
      <w:r>
        <w:rPr>
          <w:b/>
          <w:color w:val="333333"/>
        </w:rPr>
        <w:t xml:space="preserve">Regelmæssig høring vedrørende varelovgivningen</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b/>
          <w:color w:val="333333"/>
          <w:rFonts w:eastAsia="Times New Roman" w:cs="Arial"/>
        </w:rPr>
      </w:pPr>
      <w:r>
        <w:t xml:space="preserve">Udkastet til denne bekendtgørelse er </w:t>
      </w:r>
      <w:r>
        <w:rPr>
          <w:b/>
          <w:bCs/>
        </w:rPr>
        <w:t xml:space="preserve">post meridiem</w:t>
      </w:r>
      <w:r>
        <w:t xml:space="preserve"> blevet forelagt medlemmerne i udvalget for regelmæssige høringer </w:t>
      </w:r>
      <w:r>
        <w:t xml:space="preserve">vedrørende varelovgivningen [ROW]</w:t>
      </w:r>
      <w:r w:rsidRPr="00B658D6">
        <w:rPr>
          <w:bCs/>
          <w:vertAlign w:val="superscript"/>
        </w:rPr>
        <w:footnoteReference w:id="5"/>
      </w:r>
      <w:r>
        <w:t xml:space="preserve">.</w:t>
      </w:r>
      <w:r>
        <w:t xml:space="preserve"> </w:t>
      </w:r>
      <w:r>
        <w:rPr>
          <w:b/>
        </w:rPr>
        <w:t xml:space="preserve">P.M.</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b/>
          <w:color w:val="333333"/>
          <w:rFonts w:eastAsia="Times New Roman" w:cs="Arial"/>
        </w:rPr>
      </w:pPr>
      <w:r>
        <w:rPr>
          <w:b/>
          <w:color w:val="333333"/>
        </w:rPr>
        <w:t xml:space="preserve">4.</w:t>
      </w:r>
      <w:r>
        <w:rPr>
          <w:b/>
          <w:color w:val="333333"/>
        </w:rPr>
        <w:t xml:space="preserve"> </w:t>
      </w:r>
      <w:r>
        <w:rPr>
          <w:b/>
          <w:color w:val="333333"/>
        </w:rPr>
        <w:t xml:space="preserve">Håndhævelse og gennemførlighed</w:t>
      </w:r>
    </w:p>
    <w:p w14:paraId="5ED04CEA" w14:textId="77777777" w:rsidR="00CA0B75" w:rsidRPr="00CA0B75" w:rsidRDefault="002A0E04" w:rsidP="008D3E19">
      <w:pPr>
        <w:pStyle w:val="NoSpacing"/>
        <w:spacing w:line="276" w:lineRule="auto"/>
        <w:rPr>
          <w:b/>
          <w:color w:val="333333"/>
          <w:rFonts w:eastAsia="Times New Roman" w:cs="Arial"/>
        </w:rPr>
      </w:pPr>
      <w:r>
        <w:rPr>
          <w:color w:val="333333"/>
          <w:b/>
        </w:rPr>
        <w:br/>
      </w:r>
      <w:r>
        <w:rPr>
          <w:color w:val="333333"/>
        </w:rPr>
        <w:t xml:space="preserve">Udformningen af denne ordning er </w:t>
      </w:r>
      <w:r>
        <w:rPr>
          <w:color w:val="333333"/>
          <w:b/>
          <w:bCs/>
        </w:rPr>
        <w:t xml:space="preserve">post meridiem</w:t>
      </w:r>
      <w:r>
        <w:rPr>
          <w:color w:val="333333"/>
        </w:rPr>
        <w:t xml:space="preserve"> blevet vurderet af NVWA med hensyn til håndhævelsesmuligheder, gennemførlighed og beskyttelse mod svig.</w:t>
      </w:r>
      <w:r>
        <w:rPr>
          <w:color w:val="333333"/>
          <w:b/>
        </w:rPr>
        <w:t xml:space="preserve"> </w:t>
      </w:r>
      <w:r>
        <w:rPr>
          <w:color w:val="333333"/>
          <w:b/>
        </w:rPr>
        <w:t xml:space="preserve">P.M.</w:t>
      </w:r>
      <w:r>
        <w:rPr>
          <w:color w:val="333333"/>
          <w:b/>
        </w:rPr>
        <w:t xml:space="preserve">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b/>
          <w:color w:val="333333"/>
          <w:rFonts w:eastAsia="Times New Roman" w:cs="Arial"/>
        </w:rPr>
      </w:pPr>
      <w:r>
        <w:rPr>
          <w:b/>
          <w:color w:val="333333"/>
        </w:rPr>
        <w:t xml:space="preserve">5.</w:t>
      </w:r>
      <w:r>
        <w:rPr>
          <w:b/>
          <w:color w:val="333333"/>
        </w:rPr>
        <w:t xml:space="preserve"> </w:t>
      </w:r>
      <w:r>
        <w:rPr>
          <w:b/>
          <w:color w:val="333333"/>
        </w:rPr>
        <w:t xml:space="preserve">Meddelelse</w:t>
      </w:r>
      <w:r>
        <w:rPr>
          <w:b/>
          <w:color w:val="333333"/>
        </w:rPr>
        <w:t xml:space="preserve">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color w:val="333333"/>
          <w:rFonts w:eastAsia="Times New Roman" w:cs="Arial"/>
        </w:rPr>
      </w:pPr>
      <w:r>
        <w:rPr>
          <w:color w:val="333333"/>
        </w:rPr>
        <w:t xml:space="preserve">I Europa-Parlamentets og Rådets forordning (EF) nr. 1924/2006 af 20. december 2006 om ernærings- og sundhedsanprisninger af fødevarer (EUT L 404) (i det følgende benævnt: anprisningsforordningen) er der fastlagt generelle principper for alle anprisninger af fødevarer.</w:t>
      </w:r>
      <w:r>
        <w:rPr>
          <w:color w:val="333333"/>
        </w:rPr>
        <w:t xml:space="preserve"> </w:t>
      </w:r>
      <w:r>
        <w:rPr>
          <w:color w:val="333333"/>
          <w:i/>
        </w:rPr>
        <w:t xml:space="preserve">Nutri-Score-</w:t>
      </w:r>
      <w:r>
        <w:rPr>
          <w:color w:val="333333"/>
        </w:rPr>
        <w:t xml:space="preserve">logoet til fødevarevalg betragtes som en ernæringsanprisning som omhandlet i artikel 2, stk. 2, nr. 4, i denne forordning.</w:t>
      </w:r>
      <w:r>
        <w:rPr>
          <w:color w:val="333333"/>
        </w:rPr>
        <w:t xml:space="preserve"> </w:t>
      </w:r>
      <w:r>
        <w:rPr>
          <w:color w:val="333333"/>
        </w:rPr>
        <w:t xml:space="preserve">Artikel 8, stk. 1, i forordningen om anprisninger tillader kun de ernæringsanprisninger, der er anført i bilaget til denne forordning.</w:t>
      </w:r>
      <w:r>
        <w:rPr>
          <w:color w:val="333333"/>
        </w:rPr>
        <w:t xml:space="preserve"> </w:t>
      </w:r>
      <w:r>
        <w:rPr>
          <w:color w:val="333333"/>
        </w:rPr>
        <w:t xml:space="preserve">Disse ernæringsanprisninger må altid kun vedrøre en fødevares energimængde eller mængden af et stof eller et enkelt næringsstof.</w:t>
      </w:r>
      <w:r>
        <w:rPr>
          <w:color w:val="333333"/>
        </w:rPr>
        <w:t xml:space="preserve"> </w:t>
      </w:r>
      <w:r>
        <w:rPr>
          <w:color w:val="333333"/>
          <w:i/>
        </w:rPr>
        <w:t xml:space="preserve">Nutri-Score</w:t>
      </w:r>
      <w:r>
        <w:rPr>
          <w:color w:val="333333"/>
        </w:rPr>
        <w:t xml:space="preserve">-logoet til fødevarevalg </w:t>
      </w:r>
      <w:r>
        <w:rPr>
          <w:color w:val="333333"/>
        </w:rPr>
        <w:t xml:space="preserve"> er ikke egnet til at blive tilføjet bilaget til dette formål: ved beregning af </w:t>
      </w:r>
      <w:r>
        <w:rPr>
          <w:color w:val="333333"/>
          <w:i/>
        </w:rPr>
        <w:t xml:space="preserve">Nutri-Score</w:t>
      </w:r>
      <w:r>
        <w:rPr>
          <w:color w:val="333333"/>
        </w:rPr>
        <w:t xml:space="preserve"> tages der hensyn til hele sammensætningen af en fødevare.</w:t>
      </w:r>
      <w:r>
        <w:rPr>
          <w:color w:val="333333"/>
        </w:rPr>
        <w:t xml:space="preserve"> </w:t>
      </w:r>
      <w:r>
        <w:rPr>
          <w:color w:val="333333"/>
        </w:rPr>
        <w:t xml:space="preserve">I henhold til artikel 23 i anprisningsforordningen skal en medlemsstat anmelde anvendelsen af fordringer på sit område, hvis sådanne anprisninger ikke er i overensstemmelse med anprisningsforordningen.</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color w:val="333333"/>
          <w:rFonts w:eastAsia="Times New Roman" w:cs="Arial"/>
        </w:rPr>
      </w:pPr>
      <w:r>
        <w:rPr>
          <w:color w:val="333333"/>
        </w:rPr>
        <w:t xml:space="preserve">For at beskytte korrekt forbrugerinformation skal frivillig fødevareinformation opfylde en række krav i henhold til artikel 36 i Europa-Parlamentets og Rådets forordning (EU) nr. 1169/2011 af 25. oktober 2011 om frivillig fødevareinformation til forbrugerne</w:t>
      </w:r>
      <w:r>
        <w:rPr>
          <w:rStyle w:val="FootnoteReference"/>
          <w:rFonts w:eastAsia="Times New Roman" w:cs="Arial"/>
          <w:color w:val="333333"/>
        </w:rPr>
        <w:footnoteReference w:id="6"/>
      </w:r>
      <w:r>
        <w:rPr>
          <w:color w:val="333333"/>
        </w:rPr>
        <w:t xml:space="preserve">.</w:t>
      </w:r>
      <w:r>
        <w:rPr>
          <w:color w:val="333333"/>
        </w:rPr>
        <w:t xml:space="preserve"> </w:t>
      </w:r>
      <w:r>
        <w:rPr>
          <w:color w:val="333333"/>
        </w:rPr>
        <w:t xml:space="preserve">Også i denne forbindelse er Kommissionen blevet underrettet om teksten til denne ordning.</w:t>
      </w:r>
      <w:r>
        <w:rPr>
          <w:color w:val="333333"/>
        </w:rPr>
        <w:t xml:space="preserve">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b/>
          <w:color w:val="333333"/>
          <w:rFonts w:eastAsia="Times New Roman" w:cs="Arial"/>
        </w:rPr>
      </w:pPr>
      <w:r>
        <w:t xml:space="preserve">Udkastet til denne forordning blev anmeldt til Europa-Kommissionen </w:t>
      </w:r>
      <w:r>
        <w:rPr>
          <w:b/>
        </w:rPr>
        <w:t xml:space="preserve">post meridiem </w:t>
      </w:r>
      <w:r>
        <w:t xml:space="preserve">den... som svar på meddelelse </w:t>
      </w:r>
      <w:r>
        <w:rPr>
          <w:b/>
        </w:rPr>
        <w:t xml:space="preserve">post meridiem.</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3A5" w14:textId="77777777" w:rsidR="00631A11" w:rsidRDefault="00631A11">
      <w:pPr>
        <w:spacing w:line="240" w:lineRule="auto"/>
      </w:pPr>
      <w:r>
        <w:separator/>
      </w:r>
    </w:p>
  </w:endnote>
  <w:endnote w:type="continuationSeparator" w:id="0">
    <w:p w14:paraId="2661EBC7" w14:textId="77777777" w:rsidR="00631A11" w:rsidRDefault="0063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377" w14:textId="77777777" w:rsidR="00631A11" w:rsidRDefault="00631A11">
      <w:pPr>
        <w:spacing w:line="240" w:lineRule="auto"/>
      </w:pPr>
      <w:r>
        <w:separator/>
      </w:r>
    </w:p>
  </w:footnote>
  <w:footnote w:type="continuationSeparator" w:id="0">
    <w:p w14:paraId="37F9A070" w14:textId="77777777" w:rsidR="00631A11" w:rsidRDefault="00631A1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sz w:val="16"/>
          <w:rFonts w:ascii="Verdana" w:hAnsi="Verdana"/>
        </w:rPr>
        <w:t xml:space="preserve">Bilag til parlamentariske dokumenter II, 2018/19, 32793, nr. 339.</w:t>
      </w:r>
    </w:p>
  </w:footnote>
  <w:footnote w:id="2">
    <w:p w14:paraId="134DD927" w14:textId="0F382223" w:rsidR="00A978BD" w:rsidRDefault="00A978BD">
      <w:pPr>
        <w:pStyle w:val="FootnoteText"/>
      </w:pPr>
      <w:r>
        <w:rPr>
          <w:rStyle w:val="FootnoteReference"/>
        </w:rPr>
        <w:footnoteRef/>
      </w:r>
      <w:r>
        <w:rPr>
          <w:sz w:val="16"/>
          <w:rFonts w:ascii="Verdana" w:hAnsi="Verdana"/>
        </w:rPr>
        <w:t xml:space="preserve"> </w:t>
      </w:r>
      <w:r>
        <w:rPr>
          <w:sz w:val="16"/>
          <w:rFonts w:ascii="Verdana" w:hAnsi="Verdana"/>
        </w:rPr>
        <w:t xml:space="preserve">Motiveret af "</w:t>
      </w:r>
      <w:r>
        <w:rPr>
          <w:sz w:val="16"/>
          <w:i/>
          <w:rFonts w:ascii="Verdana" w:hAnsi="Verdana"/>
        </w:rPr>
        <w:t xml:space="preserve">Effektiviteten ved figurmærker i tre logoer til valg af fødevarer</w:t>
      </w:r>
      <w:r>
        <w:rPr>
          <w:sz w:val="16"/>
          <w:rFonts w:ascii="Verdana" w:hAnsi="Verdana"/>
        </w:rPr>
        <w:t xml:space="preserve">", 30. oktober 2019, der kan tilgås via </w:t>
      </w:r>
      <w:hyperlink r:id="rId1"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3">
    <w:p w14:paraId="2C905CC0" w14:textId="778258C7" w:rsidR="00A978BD" w:rsidRDefault="00A978BD">
      <w:pPr>
        <w:pStyle w:val="FootnoteText"/>
      </w:pPr>
      <w:r>
        <w:rPr>
          <w:rStyle w:val="FootnoteReference"/>
        </w:rPr>
        <w:footnoteRef/>
      </w:r>
      <w:r>
        <w:t xml:space="preserve"> </w:t>
      </w:r>
      <w:r>
        <w:rPr>
          <w:sz w:val="16"/>
          <w:rFonts w:ascii="Verdana" w:hAnsi="Verdana"/>
        </w:rPr>
        <w:t xml:space="preserve">Det nationale institut for folkesundhed og miljø (RIVM) og ernæringscentret,"Desk Study: logoer for fødevarevalg i fokus", 28. november 2019.</w:t>
      </w:r>
      <w:r>
        <w:rPr>
          <w:sz w:val="16"/>
          <w:rFonts w:ascii="Verdana" w:hAnsi="Verdana"/>
        </w:rPr>
        <w:t xml:space="preserve"> </w:t>
      </w:r>
      <w:r>
        <w:rPr>
          <w:sz w:val="16"/>
          <w:rFonts w:ascii="Verdana" w:hAnsi="Verdana"/>
        </w:rPr>
        <w:t xml:space="preserve">Kan ses på </w:t>
      </w:r>
      <w:hyperlink r:id="rId2"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4">
    <w:p w14:paraId="3942F257" w14:textId="77777777" w:rsidR="00125CD6" w:rsidRDefault="00125CD6">
      <w:pPr>
        <w:pStyle w:val="FootnoteText"/>
      </w:pPr>
      <w:r>
        <w:rPr>
          <w:rStyle w:val="FootnoteReference"/>
        </w:rPr>
        <w:footnoteRef/>
      </w:r>
      <w:r>
        <w:t xml:space="preserve"> </w:t>
      </w:r>
      <w:r>
        <w:rPr>
          <w:sz w:val="16"/>
          <w:rFonts w:ascii="Verdana" w:hAnsi="Verdana"/>
        </w:rPr>
        <w:t xml:space="preserve">Parlamentariske dokumenter II 2019/20, 32793, nr. 459.</w:t>
      </w:r>
    </w:p>
  </w:footnote>
  <w:footnote w:id="5">
    <w:p w14:paraId="5857BD1C" w14:textId="77777777" w:rsidR="009D6971" w:rsidRPr="006B20B3" w:rsidRDefault="009D6971" w:rsidP="009D6971">
      <w:pPr>
        <w:pStyle w:val="FootnoteText"/>
        <w:rPr>
          <w:sz w:val="16"/>
          <w:szCs w:val="16"/>
          <w:rFonts w:ascii="Verdana" w:hAnsi="Verdana"/>
        </w:rPr>
      </w:pPr>
      <w:r>
        <w:rPr>
          <w:rStyle w:val="FootnoteReference"/>
          <w:rFonts w:ascii="Verdana" w:hAnsi="Verdana"/>
          <w:sz w:val="16"/>
          <w:szCs w:val="16"/>
        </w:rPr>
        <w:footnoteRef/>
      </w:r>
      <w:r>
        <w:rPr>
          <w:sz w:val="16"/>
          <w:rFonts w:ascii="Verdana" w:hAnsi="Verdana"/>
        </w:rPr>
        <w:t xml:space="preserve"> ROW består af repræsentanter fra virksomheder (industri og handel), forbrugere, ministerier (navnlig ministeriet for sundhed, velfærd og sport samt ministeriet for landbrug, natur og fødevarekvalitet) og den nederlandske myndighed for forbrugernes produkt- og fødevaresikkerhed [NVWA].</w:t>
      </w:r>
    </w:p>
  </w:footnote>
  <w:footnote w:id="6">
    <w:p w14:paraId="38FEBC48" w14:textId="77777777" w:rsidR="006C4D06" w:rsidRDefault="006C4D06" w:rsidP="006C4D06">
      <w:pPr>
        <w:pStyle w:val="FootnoteText"/>
      </w:pPr>
      <w:r>
        <w:rPr>
          <w:rStyle w:val="FootnoteReference"/>
        </w:rPr>
        <w:footnoteRef/>
      </w:r>
      <w:r>
        <w:t xml:space="preserve"> </w:t>
      </w:r>
      <w:r>
        <w:rPr>
          <w:sz w:val="16"/>
          <w:rFonts w:ascii="Verdana" w:hAnsi="Verdana"/>
        </w:rPr>
        <w:t xml:space="preserve">Fuldstændig titel: </w:t>
      </w:r>
      <w:r>
        <w:rPr>
          <w:sz w:val="16"/>
          <w:color w:val="333333"/>
          <w:rFonts w:ascii="Verdana" w:hAnsi="Verdana"/>
        </w:rPr>
        <w:t xml:space="preserve">Europa-Parlamentets og Rådets forordning (EU) nr. 1169/2011 af 25. oktober 2011 om fødevareinformation til forbrugerne, om ændring af Europa-Parlamentets og Rådets forordning (EF) nr. 1924/2006 og (EF) nr. 1925/2006 og om ophævelse af Kommissionens direktiv 87/250/EØF og Rådets direktiv 90/496/EØF Kommissionens direktiv 1999/10/EF, Europa-Parlamentets og Rådets direktiv 2000/13/EF, Kommissionens direktiv 2002/67/EF og 2008/5/EF og Kommissionens forordning (EF) nr. 608/2004 (EUT 2011, L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Side </w:t>
                          </w:r>
                          <w:r>
                            <w:fldChar w:fldCharType="begin"/>
                          </w:r>
                          <w:r>
                            <w:instrText>PAGE</w:instrText>
                          </w:r>
                          <w:r>
                            <w:fldChar w:fldCharType="separate"/>
                          </w:r>
                          <w:r w:rsidR="002A4E62">
                            <w:t>4</w:t>
                          </w:r>
                          <w:r>
                            <w:fldChar w:fldCharType="end"/>
                          </w:r>
                          <w:r>
                            <w:t xml:space="preserve"> af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Side </w:t>
                    </w:r>
                    <w:r>
                      <w:fldChar w:fldCharType="begin"/>
                    </w:r>
                    <w:r>
                      <w:instrText>PAGE</w:instrText>
                    </w:r>
                    <w:r>
                      <w:fldChar w:fldCharType="separate"/>
                    </w:r>
                    <w:r w:rsidR="002A4E62">
                      <w:t>4</w:t>
                    </w:r>
                    <w:r>
                      <w:fldChar w:fldCharType="end"/>
                    </w:r>
                    <w:r>
                      <w:t xml:space="preserve"> af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 xml:space="preserve">Ministeriet for sundhed, velfærd og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Ministeriet for sundhed, velfærd og sport</w:t>
                    </w:r>
                  </w:p>
                </w:txbxContent>
              </v:textbox>
            </v:shape>
          </w:pict>
        </mc:Fallback>
      </mc:AlternateContent>
    </w:r>
    <w: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Bekendtgørelse fra ministeren for lægebehandling – VGP,</w:t>
                          </w:r>
                        </w:p>
                        <w:p w14:paraId="6DDC92F8" w14:textId="77777777" w:rsidR="001D3DA3" w:rsidRDefault="00AD598F">
                          <w:r>
                            <w:t xml:space="preserve">der udpeger Nutri-Score som et logo til valg af fødevarer og betingelserne for dets anvendelse (bekendtgørelse om angivelse af logoet til valg af fødevarer)</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Bekendtgørelse fra ministeren for lægebehandling – VGP,</w:t>
                    </w:r>
                  </w:p>
                  <w:p w14:paraId="6DDC92F8" w14:textId="77777777" w:rsidR="001D3DA3" w:rsidRDefault="00AD598F">
                    <w:r>
                      <w:t xml:space="preserve">der udpeger Nutri-Score som et logo til valg af fødevarer og betingelserne for dets anvendelse (bekendtgørelse om angivelse af logoet til valg af fødevarer)</w:t>
                    </w:r>
                  </w:p>
                </w:txbxContent>
              </v:textbox>
              <w10:wrap anchorx="page" anchory="page"/>
              <w10:anchorlock/>
            </v:shape>
          </w:pict>
        </mc:Fallback>
      </mc:AlternateContent>
    </w:r>
    <w: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Side </w:t>
                          </w:r>
                          <w:r>
                            <w:fldChar w:fldCharType="begin"/>
                          </w:r>
                          <w:r>
                            <w:instrText>PAGE</w:instrText>
                          </w:r>
                          <w:r>
                            <w:fldChar w:fldCharType="separate"/>
                          </w:r>
                          <w:r w:rsidR="002A4E62">
                            <w:t>1</w:t>
                          </w:r>
                          <w:r>
                            <w:fldChar w:fldCharType="end"/>
                          </w:r>
                          <w:r>
                            <w:t xml:space="preserve"> af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Side </w:t>
                    </w:r>
                    <w:r>
                      <w:fldChar w:fldCharType="begin"/>
                    </w:r>
                    <w:r>
                      <w:instrText>PAGE</w:instrText>
                    </w:r>
                    <w:r>
                      <w:fldChar w:fldCharType="separate"/>
                    </w:r>
                    <w:r w:rsidR="002A4E62">
                      <w:t>1</w:t>
                    </w:r>
                    <w:r>
                      <w:fldChar w:fldCharType="end"/>
                    </w:r>
                    <w:r>
                      <w:t xml:space="preserve"> af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da-DK"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5</TotalTime>
  <Pages>6</Pages>
  <Words>1589</Words>
  <Characters>9063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Liana Brili</cp:lastModifiedBy>
  <cp:revision>4</cp:revision>
  <cp:lastPrinted>2019-05-15T13:40:00Z</cp:lastPrinted>
  <dcterms:created xsi:type="dcterms:W3CDTF">2021-07-27T20:03:00Z</dcterms:created>
  <dcterms:modified xsi:type="dcterms:W3CDTF">2021-08-07T09:14:00Z</dcterms:modified>
</cp:coreProperties>
</file>