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Tervishoiuminister</w:t>
      </w:r>
    </w:p>
    <w:p w14:paraId="4277AAE7" w14:textId="0746FA92" w:rsidR="001D3DA3" w:rsidRDefault="00AD598F" w:rsidP="008D3E19">
      <w:pPr>
        <w:pStyle w:val="NoSpacing"/>
        <w:spacing w:line="276" w:lineRule="auto"/>
        <w:rPr>
          <w:color w:val="000000" w:themeColor="text1"/>
        </w:rPr>
      </w:pPr>
      <w:r>
        <w:t xml:space="preserve"> </w:t>
      </w:r>
      <w:r>
        <w:br/>
      </w:r>
      <w:r>
        <w:t xml:space="preserve">võttes arvesse</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Euroopa Parlamendi ja nõukogu 25. oktoobri 2011. aasta määruse (EL) nr 1169/2011 artikleid 36 ja 38, milles käsitletakse toidualase teabe esitamist tarbijatele ning millega muudetakse Euroopa Parlamendi ja nõukogu määrusi (EÜ) nr 1924/2006 ja (EÜ) nr 1925/2006 ning tunnistatakse kehtetuks komisjoni direktiiv 87/250/EMÜ, nõukogu direktiiv 90/496/EMÜ, komisjoni direktiiv 1999/10/EÜ, Euroopa Parlamendi ja nõukogu direktiiv 2000/13/EÜ, komisjoni direktiivid 2002/67/EÜ ja 2008/5/EÜ ning komisjoni määrust (EÜ) nr 608/2004;</w:t>
      </w:r>
    </w:p>
    <w:p w14:paraId="4F7579B4" w14:textId="00829AA7" w:rsidR="00BD77BD" w:rsidRDefault="00BD77BD" w:rsidP="00BD77BD">
      <w:pPr>
        <w:pStyle w:val="ListParagraph"/>
        <w:numPr>
          <w:ilvl w:val="0"/>
          <w:numId w:val="26"/>
        </w:numPr>
        <w:autoSpaceDN/>
        <w:spacing w:line="276" w:lineRule="auto"/>
        <w:textAlignment w:val="auto"/>
      </w:pPr>
      <w:r>
        <w:t xml:space="preserve">Euroopa Parlamendi ja nõukogu 20. detsembri 2006. aasta määruse (EÜ) nr 1924/2006 toidu kohta esitatavate toitumis- ja tervisealaste väidete kohta (ELT L 404) artikleid 8 ja 23;</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artiklit 11;</w:t>
      </w:r>
      <w:r>
        <w:t xml:space="preserve"> </w:t>
      </w:r>
      <w:r>
        <w:t xml:space="preserve">kaubaseaduse toidualast teavet käsitleva dekreedi esimest ja kolmandat lõiku;</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annab välja järgmise määruse:</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Artikkel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Käesolevas määruses kasutatakse järgmisi mõisteid ja määratlusi:</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w:t>
      </w:r>
      <w:r>
        <w:rPr>
          <w:color w:val="000000" w:themeColor="text1"/>
          <w:i/>
        </w:rPr>
        <w:t xml:space="preserve"> </w:t>
      </w:r>
      <w:r>
        <w:rPr>
          <w:color w:val="000000" w:themeColor="text1"/>
        </w:rPr>
        <w:t xml:space="preserve">ELi kaubamärk, mille on Euroopa Liidu Intellektuaalomandi Ametis registreerinud Santé publique France (l’agence nationale de santé publique);</w:t>
      </w:r>
      <w:r>
        <w:rPr>
          <w:color w:val="000000" w:themeColor="text1"/>
        </w:rPr>
        <w:br/>
      </w:r>
      <w:r>
        <w:rPr>
          <w:color w:val="000000" w:themeColor="text1"/>
          <w:i/>
        </w:rPr>
        <w:br/>
      </w:r>
      <w:r>
        <w:t xml:space="preserve">kasutustingimused: Nutri-Score’i kasutamise reeglid, mis on avaldatud </w:t>
      </w:r>
      <w:r>
        <w:rPr>
          <w:b/>
        </w:rPr>
        <w:t xml:space="preserve">P.M</w:t>
      </w:r>
      <w:r>
        <w:t xml:space="preserve">, pealkirjaga „Logo „Nutri-Score“ kasutamise tingimused, 10. juuli 2020. aasta versioon“.</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Artikkel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„Nutri-Score“ logo ja selle kasutustingimused tähistatakse toiduvaliku logoga.</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Artikkel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Käesolev kokkulepe jõustub alates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Artikkel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Käesolevale otsusele viidatakse järgmiselt:</w:t>
      </w:r>
      <w:r>
        <w:rPr>
          <w:color w:val="000000" w:themeColor="text1"/>
        </w:rPr>
        <w:t xml:space="preserve"> </w:t>
      </w:r>
      <w:r>
        <w:rPr>
          <w:color w:val="000000" w:themeColor="text1"/>
        </w:rPr>
        <w:t xml:space="preserve">kaubaalaste õigusaktide määruse nimetus toiduvaliku logo.</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Käesolev määrus ja selgitavad märkused avaldatakse valitsuse ametlikus väljaandes.</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Tervishoiuminister</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SELGITAVAD MÄRKUSED</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Üldosa</w:t>
      </w:r>
    </w:p>
    <w:p w14:paraId="522F9288" w14:textId="42F9642B" w:rsidR="00CE650A" w:rsidRDefault="00D83FCC" w:rsidP="00D83FCC">
      <w:pPr>
        <w:pStyle w:val="NoSpacing"/>
        <w:spacing w:line="276" w:lineRule="auto"/>
        <w:rPr>
          <w:i/>
        </w:rPr>
      </w:pPr>
      <w:r>
        <w:rPr>
          <w:i/>
        </w:rPr>
        <w:br/>
      </w:r>
      <w:r>
        <w:rPr>
          <w:i/>
        </w:rPr>
        <w:t xml:space="preserve">Motivatsioon</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Riiklik ennetuskokkulepe</w:t>
      </w:r>
      <w:r w:rsidR="00125CD6">
        <w:rPr>
          <w:rStyle w:val="FootnoteReference"/>
        </w:rPr>
        <w:footnoteReference w:id="1"/>
      </w:r>
      <w:r>
        <w:t xml:space="preserve"> võeti vastu 23. novembril 2018.</w:t>
      </w:r>
      <w:r>
        <w:t xml:space="preserve"> </w:t>
      </w:r>
      <w:r>
        <w:t xml:space="preserve">See hõlmab valitsuse ja enam kui 70 osapoole vahel sõlmitud kokkuleppeid meetmete kehtestamiseks, et võidelda ülekaalulisuse, suitsetamise ja probleemse alkoholitarbimise vastu.</w:t>
      </w:r>
      <w:r>
        <w:t xml:space="preserve"> </w:t>
      </w:r>
      <w:r>
        <w:t xml:space="preserve">Allakirjutanute hulka kuuluvad hooldusorganisatsioonid, patsientide organisatsioonid, ettevõtjad, omavalitsused ja haridusasutused.</w:t>
      </w:r>
      <w:r>
        <w:t xml:space="preserve"> </w:t>
      </w:r>
      <w:r>
        <w:t xml:space="preserve">Riiklik ennetuskokkulepe sisaldab mitmeid meetmeid tervisliku toitumise valdkonnas.</w:t>
      </w:r>
      <w:r>
        <w:t xml:space="preserve"> </w:t>
      </w:r>
      <w:r>
        <w:t xml:space="preserve">Tervislik toitumine on oluline kõigile, mitte ainult ülekaalulistele inimestele.</w:t>
      </w:r>
      <w:r>
        <w:t xml:space="preserve"> </w:t>
      </w:r>
      <w:r>
        <w:t xml:space="preserve">Selleks et suurendada tarbijate teadlikkust tervislikumatest valikutest, lepiti riiklikus ennetuskokkuleppes kokku, et Madalmaade valitsus võtab 2020. aastal kasutusele uue laialdaselt kulunud toiduvaliku logo.</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Nõue oli, et logo valik peab põhinema usaldusväärsetel ja sõltumatutel tarbijauuringutel.</w:t>
      </w:r>
      <w:r>
        <w:t xml:space="preserve"> </w:t>
      </w:r>
      <w:r>
        <w:t xml:space="preserve">Samuti peeti väga oluliseks, et valitav logo oleks kooskõlas viisiga, kuidas inimesed oma valikuid teevad: tarbija arusaamine pidi olema juhtiv.</w:t>
      </w:r>
      <w:r>
        <w:t xml:space="preserve"> </w:t>
      </w:r>
      <w:r>
        <w:t xml:space="preserve">Valiku tegemisel tuleks arvesse võtta ka viit ketast ja lõpuks tuleks arvesse võtta Euroopa arengusuundi toiduvaliku logode valdkonnas.</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Protsess</w:t>
      </w:r>
      <w:r>
        <w:rPr>
          <w:i/>
        </w:rPr>
        <w:br/>
      </w:r>
    </w:p>
    <w:p w14:paraId="15D74CD7" w14:textId="77777777" w:rsidR="004F54A5" w:rsidRDefault="004F54A5" w:rsidP="008D3E19">
      <w:pPr>
        <w:pStyle w:val="NoSpacing"/>
        <w:spacing w:line="276" w:lineRule="auto"/>
      </w:pPr>
      <w:r>
        <w:t xml:space="preserve">2018. aasta novembrist algas töö eespool nimetatud riiklikus ennetuskokkuleppes sisalduva kokkuleppe jõustamiseks.</w:t>
      </w:r>
    </w:p>
    <w:p w14:paraId="7FAB8B53" w14:textId="77777777" w:rsidR="001110B2" w:rsidRDefault="0029125D" w:rsidP="008D3E19">
      <w:pPr>
        <w:pStyle w:val="NoSpacing"/>
        <w:spacing w:line="276" w:lineRule="auto"/>
      </w:pPr>
      <w:r>
        <w:t xml:space="preserve">Toiduvaliku logo valimise tingimuste väljatöötamisel on konsulteeritud eri osapooltega.</w:t>
      </w:r>
      <w:r>
        <w:t xml:space="preserve"> </w:t>
      </w:r>
      <w:r>
        <w:t xml:space="preserve">Otsuste tegemisse on kaasatud Tarbijate Liit, ühistulised tervishoiufondid (Hartstichting, Nierstichting, Diabetesfonds), Centraal Bureau Levensmiddelenhandel (CBL), Madalmaade Toidutööstuse Föderatsioon (FNLI), Koninklijke Horeca Nederland (KHN), Vereniging Nederlandse Cateraars (Veneca), toitumiskeskus, RIVM ja põllumajandusministeerium.</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Sõltumatus tarbijauuringus</w:t>
      </w:r>
      <w:r w:rsidR="00A978BD">
        <w:rPr>
          <w:rStyle w:val="FootnoteReference"/>
        </w:rPr>
        <w:footnoteReference w:id="2"/>
      </w:r>
      <w:r>
        <w:t xml:space="preserve"> võrreldi kolme praegu Euroopa riikides kasutatavat toiduvaliku logo.</w:t>
      </w:r>
      <w:r>
        <w:t xml:space="preserve"> </w:t>
      </w:r>
      <w:r>
        <w:t xml:space="preserve">Uuriti, mil määral aitavad need logod tarbijatel teha tervislikumat valikut.</w:t>
      </w:r>
      <w:r>
        <w:t xml:space="preserve"> </w:t>
      </w:r>
      <w:r>
        <w:t xml:space="preserve">Tarbijauuring näitab, et Nutri-Score’i abil saab tarbijaid kõige paremini suunata tervislikumate valikute juurde.</w:t>
      </w:r>
      <w:r>
        <w:t xml:space="preserve"> </w:t>
      </w:r>
      <w:r>
        <w:t xml:space="preserve">Kaupluses riiulid sarnaseid tooteid saab võrrelda lihtsalt ja kiiresti: esmapilgul näevad tarbijad, milline toode on tervislikum valik.</w:t>
      </w:r>
      <w:r>
        <w:t xml:space="preserve"> </w:t>
      </w:r>
      <w:r>
        <w:t xml:space="preserve">See muudab tervislikuma valiku tegemise lihtsamaks.</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Tarbijauuring näitab aga ka seda, et mõned vastajad ei saa enam teha tervislikumat valikut, kui viielt kettalt ja logolt saadud teave ei ole vastavuses.</w:t>
      </w:r>
      <w:r>
        <w:t xml:space="preserve"> </w:t>
      </w:r>
      <w:r>
        <w:t xml:space="preserve">RIVM ja toitumiskeskus on teinud uuringu Nutri-Score’i kohta,&amp;LT</w:t>
      </w:r>
      <w:r w:rsidR="00A978BD">
        <w:rPr>
          <w:rStyle w:val="FootnoteReference"/>
        </w:rPr>
        <w:footnoteReference w:id="3"/>
      </w:r>
      <w:r>
        <w:t xml:space="preserve">;</w:t>
      </w:r>
      <w:r>
        <w:t xml:space="preserve"> </w:t>
      </w:r>
      <w:r>
        <w:t xml:space="preserve">milles jõuti järeldusele, et mitme eri kategooria toote puhul ei ole Nutri-Score’i ja viie ketta toitumissoovitused täpselt vastavuses.</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Uurimise tulemuste põhjal ja koostöös eespool nimetatud pooltega on tervishoiu-, heaolu- ja spordiminister otsustanud tähistada Nutri-Score’i toiduvaliku logona.&amp;LT</w:t>
      </w:r>
      <w:r w:rsidR="00125CD6">
        <w:rPr>
          <w:rStyle w:val="FootnoteReference"/>
        </w:rPr>
        <w:footnoteReference w:id="4"/>
      </w:r>
      <w:r>
        <w:t xml:space="preserve">;</w:t>
      </w:r>
      <w:r>
        <w:t xml:space="preserve"> </w:t>
      </w:r>
      <w:r>
        <w:t xml:space="preserve">Nutri-Score’i aluseks olevat arvutust tuleb siiski kohandada nii, et logo tekitaks Madalmaade tarbijates võimalikult vähe segadust selle üle, milline on tervislikum valik.</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2020. aasta alguses teavitas riigisekretär Prantsusmaa valitsust Nutri-Score’i valikust.</w:t>
      </w:r>
      <w:r>
        <w:t xml:space="preserve"> </w:t>
      </w:r>
      <w:r>
        <w:t xml:space="preserve">Madalmaad osalevad rahvusvahelises konsultatsioonis, mille raames sõlmitakse kokkulepped rakendamise ja korralduse kohta.</w:t>
      </w:r>
      <w:r>
        <w:t xml:space="preserve"> </w:t>
      </w:r>
      <w:r>
        <w:t xml:space="preserve">Nutri-Score’i arvutusi uurib sõltumatu teaduskomitee, kelle ülesanne on tagada, et Nutri-Score’i toitumiskriteeriumid oleksid kooskõlas osalevate riikide toitumissuunistega.</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Nutri-Score’i näidustus</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on vabatahtlik toiduvaliku logo, mis aitab tarbijatel teha tervislikumaid valikuid tootegrupis ostmisel.</w:t>
      </w:r>
      <w:r>
        <w:t xml:space="preserve"> </w:t>
      </w:r>
      <w:r>
        <w:rPr>
          <w:i/>
        </w:rPr>
        <w:t xml:space="preserve">Nutri-Score</w:t>
      </w:r>
      <w:r>
        <w:t xml:space="preserve"> määratakse toidus sisalduvate valkude, kiudude, puuviljade, köögiviljade, kaunviljade ja pähklite kogusele punktide määramise teel.</w:t>
      </w:r>
      <w:r>
        <w:t xml:space="preserve"> </w:t>
      </w:r>
      <w:r>
        <w:t xml:space="preserve">Punktisummast lahutatakse energiasisaldus (kilokalorid), suhkrute, küllastunud rasvade ja soola kogused.</w:t>
      </w:r>
      <w:r>
        <w:t xml:space="preserve"> </w:t>
      </w:r>
      <w:r>
        <w:t xml:space="preserve">Kogu punktisumma põhjal saab toode märgi A, B, C, D või E. Tumeroheline A tähistab tervislikumat koostist.</w:t>
      </w:r>
      <w:r>
        <w:t xml:space="preserve"> </w:t>
      </w:r>
      <w:r>
        <w:t xml:space="preserve">Vähem tervisliku koostisega toodetele antakse märk tumeoranž E. Kui toidukäitlejad kasutavad varianti </w:t>
      </w:r>
      <w:r>
        <w:rPr>
          <w:i/>
        </w:rPr>
        <w:t xml:space="preserve">Nutri-Score</w:t>
      </w:r>
      <w:r>
        <w:t xml:space="preserve">, peavad nad vastama kasutustingimustele ja panema logo oma toidu esiküljele.</w:t>
      </w:r>
      <w:r>
        <w:t xml:space="preserve"> </w:t>
      </w:r>
      <w:r>
        <w:t xml:space="preserve">See aitab tarbijatel näha, milline toode on tervislikum valik.</w:t>
      </w:r>
      <w:r>
        <w:br/>
      </w:r>
    </w:p>
    <w:p w14:paraId="023F652F" w14:textId="3742B79E" w:rsidR="00DC7A50" w:rsidRDefault="00D83FCC" w:rsidP="008D3E19">
      <w:pPr>
        <w:pStyle w:val="NoSpacing"/>
        <w:spacing w:line="276" w:lineRule="auto"/>
      </w:pPr>
      <w:r>
        <w:rPr>
          <w:color w:val="333333"/>
        </w:rPr>
        <w:t xml:space="preserve">See kava tähistab toiduvaliku logo </w:t>
      </w:r>
      <w:r>
        <w:rPr>
          <w:color w:val="333333"/>
          <w:i/>
        </w:rPr>
        <w:t xml:space="preserve">Nutri-Score</w:t>
      </w:r>
      <w:r>
        <w:rPr>
          <w:color w:val="333333"/>
        </w:rPr>
        <w:t xml:space="preserve">.</w:t>
      </w:r>
      <w:r>
        <w:rPr>
          <w:color w:val="333333"/>
        </w:rPr>
        <w:t xml:space="preserve"> </w:t>
      </w:r>
      <w:r>
        <w:rPr>
          <w:color w:val="000000" w:themeColor="text1"/>
        </w:rPr>
        <w:t xml:space="preserve">Kasutustingimused avaldatakse veebisaidil, mis on kättesaadav ettevõtjatele ja üldsusele.</w:t>
      </w:r>
      <w:r>
        <w:rPr>
          <w:color w:val="333333"/>
        </w:rPr>
        <w:t xml:space="preserve"> </w:t>
      </w:r>
      <w:r>
        <w:rPr>
          <w:color w:val="333333"/>
        </w:rPr>
        <w:t xml:space="preserve">Kasutustingimustes on sätestatud, et logo </w:t>
      </w:r>
      <w:r>
        <w:rPr>
          <w:color w:val="333333"/>
          <w:i/>
          <w:iCs/>
        </w:rPr>
        <w:t xml:space="preserve">Nutri-Score</w:t>
      </w:r>
      <w:r>
        <w:rPr>
          <w:color w:val="333333"/>
        </w:rPr>
        <w:t xml:space="preserve"> kasutamisel tuleb järgida graafilise harta nõudeid.</w:t>
      </w:r>
      <w:r>
        <w:rPr>
          <w:color w:val="333333"/>
        </w:rPr>
        <w:t xml:space="preserve"> </w:t>
      </w:r>
      <w:r>
        <w:rPr>
          <w:color w:val="333333"/>
        </w:rPr>
        <w:t xml:space="preserve">Graafilise hartaga kehtestatakse nõuded logo mõõtmetele, värvi kasutamisele ja logo paigutamisele pakenditele ja sidekandjatele.</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Kuna logo ei ole kohustuslik, võivad toidukäitlejad kaaluda </w:t>
      </w:r>
      <w:r>
        <w:rPr>
          <w:i/>
        </w:rPr>
        <w:t xml:space="preserve">Nutri-Score</w:t>
      </w:r>
      <w:r>
        <w:t xml:space="preserve">’i kasutamist toiduvaliku logona.</w:t>
      </w:r>
      <w:r>
        <w:t xml:space="preserve"> </w:t>
      </w:r>
      <w:r>
        <w:t xml:space="preserve">Kui toidukäitleja otsustab seda teha, peab ta vastama kasutustingimustes sätestatud nõuetele.</w:t>
      </w:r>
      <w:r>
        <w:t xml:space="preserve"> </w:t>
      </w:r>
      <w:r>
        <w:rPr>
          <w:rStyle w:val="Marker"/>
          <w:color w:val="000000" w:themeColor="text1"/>
        </w:rPr>
        <w:t xml:space="preserve">Nutri-Score on ELi kaubamärk, mille omanik Santé publique France (l’agence nationale de santé publique) on Euroopa Liidu Intellektuaalomandi Ametis (EUIPO) registreerinud.</w:t>
      </w:r>
      <w:r>
        <w:rPr>
          <w:rStyle w:val="Marker"/>
          <w:color w:val="000000" w:themeColor="text1"/>
        </w:rPr>
        <w:t xml:space="preserve"> </w:t>
      </w:r>
      <w:r>
        <w:rPr>
          <w:rStyle w:val="Marker"/>
          <w:color w:val="000000" w:themeColor="text1"/>
        </w:rPr>
        <w:t xml:space="preserve">Nutri-Score’i logo rakendamisel ei peaks kaubamärgi omanik järgima mitte ainult kaubamärgi kasutamise tingimusi, vaid võtma arvesse ka </w:t>
      </w:r>
      <w:r>
        <w:t xml:space="preserve">üldiseid kaubamärgi kaitse eeskirju, mida tuleb järgida kaubamärgiõiguse, õiglase kaubanduse õiguse ja kriminaalõiguse valdkonnas.</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Riiklik õigusraamistik</w:t>
      </w:r>
    </w:p>
    <w:p w14:paraId="57E6E4A9" w14:textId="230342F8" w:rsidR="00D8085E" w:rsidRPr="00A92440" w:rsidRDefault="004336A6" w:rsidP="008D3E19">
      <w:pPr>
        <w:pStyle w:val="NoSpacing"/>
        <w:spacing w:line="276" w:lineRule="auto"/>
      </w:pPr>
      <w:r>
        <w:rPr>
          <w:i/>
        </w:rPr>
        <w:br/>
      </w:r>
      <w:r>
        <w:rPr>
          <w:color w:val="000000" w:themeColor="text1"/>
        </w:rPr>
        <w:t xml:space="preserve">Toidukaupade seaduse määruse artiklis 1 on toiduvaliku logo määratletud kui logo, mis lihtsustab tarbijatel valida tervislikumaid toiduaineid võrreldes mõne tootekategooria sarnaste toiduainetega.</w:t>
      </w:r>
      <w:r>
        <w:rPr>
          <w:color w:val="000000" w:themeColor="text1"/>
        </w:rPr>
        <w:t xml:space="preserve"> </w:t>
      </w:r>
      <w:r>
        <w:rPr>
          <w:color w:val="000000" w:themeColor="text1"/>
        </w:rPr>
        <w:t xml:space="preserve">Toidukaupade seaduse toidumääruse artikli 11 kohaselt võib toidu turustamisel kasutada toiduvaliku logo, kui selles artiklis sätestatud tingimused on täidetud.</w:t>
      </w:r>
      <w:r>
        <w:rPr>
          <w:color w:val="000000" w:themeColor="text1"/>
        </w:rPr>
        <w:t xml:space="preserve"> </w:t>
      </w:r>
      <w:r>
        <w:t xml:space="preserve">2021. aastal on kavas muuta toidualast teavet käsitlevat kaubaseaduse määrust, millega ei nõuta enam, et tööstus taotleks toiduvaliku logo heakskiitmist.</w:t>
      </w:r>
      <w:r>
        <w:rPr>
          <w:color w:val="333333"/>
        </w:rPr>
        <w:t xml:space="preserve"> </w:t>
      </w:r>
      <w:r>
        <w:t xml:space="preserve">Käesoleva selgitava märkuse kirja ajal ei ole </w:t>
      </w:r>
      <w:r>
        <w:rPr>
          <w:color w:val="333333"/>
        </w:rPr>
        <w:t xml:space="preserve">ametlikus väljaandes avaldatud kaubaseaduse muudatust toidualase teabe kohta</w:t>
      </w:r>
      <w:r>
        <w:t xml:space="preserve"> veel avaldatud.</w:t>
      </w:r>
      <w:r>
        <w:t xml:space="preserve"> </w:t>
      </w:r>
      <w:r>
        <w:t xml:space="preserve">Vastastikuse tunnustamise põhimõte tähendab, et ELi liikmesriik ei või keelustada oma territooriumil selliste kaupade müüki, mis on mõnes muus ELi liikmesriigis seaduslikult turule toodud, põhjendades seda sellega, et kaubad ei vasta tema riiklikele eeskirjadele.</w:t>
      </w:r>
      <w:r>
        <w:t xml:space="preserve"> </w:t>
      </w:r>
      <w:r>
        <w:t xml:space="preserve">Siiski on oluline, et teisest Euroopa liikmesriigist pärit kaubad tagaksid vähemalt samaväärse kaitsetaseme.</w:t>
      </w:r>
      <w:r>
        <w:t xml:space="preserve"> </w:t>
      </w:r>
      <w:r>
        <w:t xml:space="preserve">See vastastikuse tunnustamise klausel sisaldub kaupade seaduse artiklis 13d. Teistest Euroopa Liidu liikmesriikidest pärit kaupade turustamine ei ole käesolevas korras sätestatud nõuete alusel keelatud.</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Mõju regulatiivsele koormusele</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Reguleeriv survekontrollinõukogu (ATR) ei valinud toimikut ametliku arvamuse jaoks, kuna see ei mõjuta kodanike ja ettevõtjate regulatiivset koormust.</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Regulaarne konsulteerimine põhitarbeainete seadusega</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Määruse eelnõu esitati kaupade seaduse regulaarse nõustamisrühma (ROW)</w:t>
      </w:r>
      <w:r w:rsidRPr="00B658D6">
        <w:rPr>
          <w:bCs/>
          <w:vertAlign w:val="superscript"/>
        </w:rPr>
        <w:footnoteReference w:id="5"/>
      </w:r>
      <w:r>
        <w:t xml:space="preserve"> osalejatele.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Jõustatavus ja teostatavus</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NVWA on selle kava ülesehitust hinnanud täitmisele pööratavuse, täitmisele pööratavuse ja pettusekindluse seisukohast.</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Teavitamine</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Euroopa Parlamendi ja nõukogu 20. detsembri 2006. aasta määrus (EÜ) nr 1924/2006 toidu kohta esitatavate toitumis- ja tervisealaste väidete kohta (ELT L 404) (edaspidi: nõuete määruses) on kehtestatud üldpõhimõtted kõigi toiduainetega seotud väidete kohta.</w:t>
      </w:r>
      <w:r>
        <w:rPr>
          <w:color w:val="333333"/>
        </w:rPr>
        <w:t xml:space="preserve"> </w:t>
      </w:r>
      <w:r>
        <w:rPr>
          <w:color w:val="333333"/>
        </w:rPr>
        <w:t xml:space="preserve">Toiduvaliku logo </w:t>
      </w:r>
      <w:r>
        <w:rPr>
          <w:color w:val="333333"/>
          <w:i/>
        </w:rPr>
        <w:t xml:space="preserve">Nutri-Score</w:t>
      </w:r>
      <w:r>
        <w:rPr>
          <w:color w:val="333333"/>
        </w:rPr>
        <w:t xml:space="preserve"> loetakse käesoleva määruse artikli 2 lõike 2 punktis 4 osutatud toitumisalaseks väiteks.</w:t>
      </w:r>
      <w:r>
        <w:rPr>
          <w:color w:val="333333"/>
        </w:rPr>
        <w:t xml:space="preserve"> </w:t>
      </w:r>
      <w:r>
        <w:rPr>
          <w:color w:val="333333"/>
        </w:rPr>
        <w:t xml:space="preserve">Väidete määruse artikli 8 lõige 1 lubab üksnes käesoleva määruse lisas loetletud toitumisalaseid väiteid.</w:t>
      </w:r>
      <w:r>
        <w:rPr>
          <w:color w:val="333333"/>
        </w:rPr>
        <w:t xml:space="preserve"> </w:t>
      </w:r>
      <w:r>
        <w:rPr>
          <w:color w:val="333333"/>
        </w:rPr>
        <w:t xml:space="preserve">Need toitumisalased väited on alati seotud ainult toidu energiakoguse või ühe aine või toitaine kogusega.</w:t>
      </w:r>
      <w:r>
        <w:rPr>
          <w:color w:val="333333"/>
        </w:rPr>
        <w:t xml:space="preserve"> </w:t>
      </w:r>
      <w:r>
        <w:rPr>
          <w:color w:val="333333"/>
        </w:rPr>
        <w:t xml:space="preserve">Toiduvaliku logo </w:t>
      </w:r>
      <w:r>
        <w:rPr>
          <w:color w:val="333333"/>
          <w:i/>
        </w:rPr>
        <w:t xml:space="preserve">Nutri-Score</w:t>
      </w:r>
      <w:r>
        <w:rPr>
          <w:color w:val="333333"/>
        </w:rPr>
        <w:t xml:space="preserve"> ei sobi selleks otstarbeks käesolevasse lisasse lisamiseks: </w:t>
      </w:r>
      <w:r>
        <w:rPr>
          <w:color w:val="333333"/>
          <w:i/>
        </w:rPr>
        <w:t xml:space="preserve">Nutri-Score</w:t>
      </w:r>
      <w:r>
        <w:rPr>
          <w:color w:val="333333"/>
        </w:rPr>
        <w:t xml:space="preserve">’i arvutamisel võetakse arvesse kogu toidu koostist.</w:t>
      </w:r>
      <w:r>
        <w:rPr>
          <w:color w:val="333333"/>
        </w:rPr>
        <w:t xml:space="preserve"> </w:t>
      </w:r>
      <w:r>
        <w:rPr>
          <w:color w:val="333333"/>
        </w:rPr>
        <w:t xml:space="preserve">Nõuete määruse artikli 23 kohaselt peab liikmesriik teatama nõuete kasutamisest oma territooriumil, kui sellised nõuded ei ole kooskõlas nõuetega.</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Nõuetekohase tarbijateabe kaitsmiseks peaks Euroopa Parlamendi ja nõukogu 25. oktoobri 2011. aasta määruse (EL) nr 1169/2011 (milles käsitletakse toidualase teabe esitamist tarbijatele</w:t>
      </w:r>
      <w:r>
        <w:rPr>
          <w:rStyle w:val="FootnoteReference"/>
          <w:rFonts w:eastAsia="Times New Roman" w:cs="Arial"/>
          <w:color w:val="333333"/>
        </w:rPr>
        <w:footnoteReference w:id="6"/>
      </w:r>
      <w:r>
        <w:rPr>
          <w:color w:val="333333"/>
        </w:rPr>
        <w:t xml:space="preserve">) artikkel 36 vastama mitmele nõudele.</w:t>
      </w:r>
      <w:r>
        <w:rPr>
          <w:color w:val="333333"/>
        </w:rPr>
        <w:t xml:space="preserve"> </w:t>
      </w:r>
      <w:r>
        <w:rPr>
          <w:color w:val="333333"/>
        </w:rPr>
        <w:t xml:space="preserve">Ka selles kontekstis on komisjoni teavitatud kõnealuse kava tekstist.</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Abikava projektist teavitati Euroopa Komisjoni..., et rahuldada </w:t>
      </w:r>
      <w:r>
        <w:rPr>
          <w:b/>
        </w:rPr>
        <w:t xml:space="preserve">P.M.</w:t>
      </w:r>
      <w:r>
        <w:t xml:space="preserve"> Pärast teadet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Koja dokumentide II, 2018/19, 32793 lisa, nr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Motivatsiooniks, „</w:t>
      </w:r>
      <w:r>
        <w:rPr>
          <w:sz w:val="16"/>
          <w:i/>
          <w:rFonts w:ascii="Verdana" w:hAnsi="Verdana"/>
        </w:rPr>
        <w:t xml:space="preserve">Effectivity of three food choice logos</w:t>
      </w:r>
      <w:r>
        <w:rPr>
          <w:sz w:val="16"/>
          <w:rFonts w:ascii="Verdana" w:hAnsi="Verdana"/>
        </w:rPr>
        <w:t xml:space="preserve">“, 30. oktoober 2019, viidata </w:t>
      </w:r>
      <w:hyperlink r:id="rId1" w:history="1">
        <w:r>
          <w:rPr>
            <w:rStyle w:val="Hyperlink"/>
            <w:sz w:val="16"/>
            <w:rFonts w:ascii="Verdana" w:hAnsi="Verdana"/>
          </w:rPr>
          <w:t xml:space="preserve">https://www.rijksoverheid.nl/</w:t>
        </w:r>
      </w:hyperlink>
      <w:r>
        <w:t xml:space="preserve"> </w:t>
      </w:r>
      <w:r>
        <w:rPr>
          <w:sz w:val="16"/>
          <w:rFonts w:ascii="Verdana" w:hAnsi="Verdana"/>
        </w:rPr>
        <w:t xml:space="preserve">kaudu.</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Riiklik Rahvatervise ja Keskkonna Instituut (RIVM) ja toitumiskeskus, „</w:t>
      </w:r>
      <w:r>
        <w:rPr>
          <w:sz w:val="16"/>
          <w:i/>
          <w:rFonts w:ascii="Verdana" w:hAnsi="Verdana"/>
        </w:rPr>
        <w:t xml:space="preserve">Desk Study Food Choice Logos in the spotlight</w:t>
      </w:r>
      <w:r>
        <w:rPr>
          <w:sz w:val="16"/>
          <w:rFonts w:ascii="Verdana" w:hAnsi="Verdana"/>
        </w:rPr>
        <w:t xml:space="preserve">", 28. november 2019.</w:t>
      </w:r>
      <w:r>
        <w:rPr>
          <w:sz w:val="16"/>
          <w:rFonts w:ascii="Verdana" w:hAnsi="Verdana"/>
        </w:rPr>
        <w:t xml:space="preserve"> </w:t>
      </w:r>
      <w:r>
        <w:rPr>
          <w:sz w:val="16"/>
          <w:rFonts w:ascii="Verdana" w:hAnsi="Verdana"/>
        </w:rPr>
        <w:t xml:space="preserve">Vaadatav </w:t>
      </w:r>
      <w:hyperlink r:id="rId2" w:history="1">
        <w:r>
          <w:rPr>
            <w:rStyle w:val="Hyperlink"/>
            <w:sz w:val="16"/>
            <w:rFonts w:ascii="Verdana" w:hAnsi="Verdana"/>
          </w:rPr>
          <w:t xml:space="preserve"> 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rPr>
          <w:sz w:val="16"/>
          <w:rFonts w:ascii="Verdana" w:hAnsi="Verdana"/>
        </w:rPr>
        <w:t xml:space="preserve"> Parlamendi dokumendid II 2019/20, 32793, nr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Kaupade seaduse regulaarne nõustamisrühm koosneb ettevõtete (tööstus ja kaubandus), tarbijate, ministeeriumide (eelkõige tervishoiu-, heaolu- ja spordiministeerium ning põllumajandus-, loodus- ja toiduaineministeerium) ning Madalmaade toiduainete ja tarbekaupade ohutusameti [NVWA] esindajatest.</w:t>
      </w:r>
    </w:p>
  </w:footnote>
  <w:footnote w:id="6">
    <w:p w14:paraId="38FEBC48" w14:textId="77777777" w:rsidR="006C4D06" w:rsidRDefault="006C4D06" w:rsidP="006C4D06">
      <w:pPr>
        <w:pStyle w:val="FootnoteText"/>
      </w:pPr>
      <w:r>
        <w:rPr>
          <w:rStyle w:val="FootnoteReference"/>
        </w:rPr>
        <w:footnoteRef/>
      </w:r>
      <w:r>
        <w:rPr>
          <w:sz w:val="16"/>
          <w:rFonts w:ascii="Verdana" w:hAnsi="Verdana"/>
        </w:rPr>
        <w:t xml:space="preserve">Kogu pealkiri </w:t>
      </w:r>
      <w:r>
        <w:rPr>
          <w:sz w:val="16"/>
          <w:color w:val="333333"/>
          <w:rFonts w:ascii="Verdana" w:hAnsi="Verdana"/>
        </w:rPr>
        <w:t xml:space="preserve">Euroopa Parlamendi ja nõukogu 25. oktoobri 2011. aasta määrus (EL) nr 1169/2011, milles käsitletakse toidualase teabe esitamist tarbijatele ning millega muudetakse Euroopa Parlamendi ja nõukogu määrusi (EÜ) nr 1924/2006 ja (EÜ) nr 1925/2006 ning tunnistatakse kehtetuks komisjoni direktiiv 87/250/EMÜ, nõukogu direktiiv 90/496/EMÜ, komisjoni direktiiv 1999/10/EÜ, Euroopa Parlamendi ja nõukogu direktiiv 2000/13/EÜ, komisjoni direktiivid 2002/67/EÜ ja 2008/5/EÜ ning komisjoni määrus (EÜ) nr 608/2004 (ELT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Lk </w:t>
                          </w:r>
                          <w:r>
                            <w:fldChar w:fldCharType="begin"/>
                          </w:r>
                          <w:r>
                            <w:instrText>PAGE</w:instrText>
                          </w:r>
                          <w:r>
                            <w:fldChar w:fldCharType="separate"/>
                          </w:r>
                          <w:r w:rsidR="002A4E62">
                            <w:t>4</w:t>
                          </w:r>
                          <w:r>
                            <w:fldChar w:fldCharType="end"/>
                          </w:r>
                          <w:r>
                            <w:t xml:space="preserve">/</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Lk </w:t>
                    </w:r>
                    <w:r>
                      <w:fldChar w:fldCharType="begin"/>
                    </w:r>
                    <w:r>
                      <w:instrText>PAGE</w:instrText>
                    </w:r>
                    <w:r>
                      <w:fldChar w:fldCharType="separate"/>
                    </w:r>
                    <w:r w:rsidR="002A4E62">
                      <w:t>4</w:t>
                    </w:r>
                    <w:r>
                      <w:fldChar w:fldCharType="end"/>
                    </w:r>
                    <w:r>
                      <w:t xml:space="preserve">/</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Tervishoiu-, heaolu- ja spordiministeerium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Tervishoiu-, heaolu- ja spordiministeerium</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VGP meditsiiniministri määrus,</w:t>
                          </w:r>
                        </w:p>
                        <w:p w14:paraId="6DDC92F8" w14:textId="77777777" w:rsidR="001D3DA3" w:rsidRDefault="00AD598F">
                          <w:r>
                            <w:t xml:space="preserve">Nutri-Score’i tähistamine toiduvaliku logona ja selle kasutustingimused (määrus toiduvaliku logo tähistamise kohta)</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VGP meditsiiniministri määrus,</w:t>
                    </w:r>
                  </w:p>
                  <w:p w14:paraId="6DDC92F8" w14:textId="77777777" w:rsidR="001D3DA3" w:rsidRDefault="00AD598F">
                    <w:r>
                      <w:t xml:space="preserve">Nutri-Score’i tähistamine toiduvaliku logona ja selle kasutustingimused (määrus toiduvaliku logo tähistamise kohta)</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Lk </w:t>
                          </w:r>
                          <w:r>
                            <w:fldChar w:fldCharType="begin"/>
                          </w:r>
                          <w:r>
                            <w:instrText>PAGE</w:instrText>
                          </w:r>
                          <w:r>
                            <w:fldChar w:fldCharType="separate"/>
                          </w:r>
                          <w:r w:rsidR="002A4E62">
                            <w:t>1</w:t>
                          </w:r>
                          <w:r>
                            <w:fldChar w:fldCharType="end"/>
                          </w:r>
                          <w:r>
                            <w:t xml:space="preserve">/</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Lk </w:t>
                    </w:r>
                    <w:r>
                      <w:fldChar w:fldCharType="begin"/>
                    </w:r>
                    <w:r>
                      <w:instrText>PAGE</w:instrText>
                    </w:r>
                    <w:r>
                      <w:fldChar w:fldCharType="separate"/>
                    </w:r>
                    <w:r w:rsidR="002A4E62">
                      <w:t>1</w:t>
                    </w:r>
                    <w:r>
                      <w:fldChar w:fldCharType="end"/>
                    </w:r>
                    <w:r>
                      <w:t xml:space="preserve">/</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t-EE"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