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Pr="008D14BD" w:rsidRDefault="0094645D">
      <w:pPr>
        <w:rPr>
          <w:rFonts w:ascii="Verdana" w:hAnsi="Verdana"/>
        </w:rPr>
      </w:pPr>
      <w:bookmarkStart w:id="0" w:name="_Hlk66377407"/>
    </w:p>
    <w:p w14:paraId="3E00B0EB" w14:textId="77777777" w:rsidR="00905D0B" w:rsidRPr="008D14BD" w:rsidRDefault="00905D0B">
      <w:pPr>
        <w:rPr>
          <w:rFonts w:ascii="Verdana" w:hAnsi="Verdana"/>
        </w:rPr>
      </w:pPr>
    </w:p>
    <w:p w14:paraId="73062A11" w14:textId="77777777" w:rsidR="007879A9" w:rsidRPr="008D14BD" w:rsidRDefault="007879A9">
      <w:pPr>
        <w:rPr>
          <w:rFonts w:ascii="Verdana" w:hAnsi="Verdana"/>
        </w:rPr>
      </w:pPr>
      <w:r w:rsidRPr="008D14BD">
        <w:rPr>
          <w:rFonts w:ascii="Verdana" w:hAnsi="Verdana"/>
        </w:rPr>
        <w:t>Preambula</w:t>
      </w:r>
    </w:p>
    <w:p w14:paraId="46759D2E" w14:textId="77777777" w:rsidR="00D77E05" w:rsidRPr="008D14BD" w:rsidRDefault="00D77E05" w:rsidP="007C0F01">
      <w:pPr>
        <w:ind w:left="426"/>
        <w:jc w:val="both"/>
        <w:rPr>
          <w:rFonts w:ascii="Verdana" w:hAnsi="Verdana" w:cs="EU Albertina"/>
        </w:rPr>
      </w:pPr>
    </w:p>
    <w:p w14:paraId="291BCB5F" w14:textId="77777777" w:rsidR="00D77E05" w:rsidRPr="008D14BD" w:rsidRDefault="00D77E05" w:rsidP="00036184">
      <w:pPr>
        <w:jc w:val="both"/>
        <w:rPr>
          <w:rFonts w:ascii="Verdana" w:hAnsi="Verdana" w:cs="EU Albertina"/>
        </w:rPr>
      </w:pPr>
      <w:r w:rsidRPr="008D14BD">
        <w:rPr>
          <w:rFonts w:ascii="Verdana" w:hAnsi="Verdana"/>
        </w:rPr>
        <w:t xml:space="preserve">Da bi ugotovili, ali je treba za namene te uredbe z zakonsko močjo nekatere posode za živila obravnavati kot plastične proizvode za enkratno uporabo, ima odločilno vlogo težnja, da zaradi svoje količine ali velikosti, zlasti z vidika postrežbe posameznih obrokov, postanejo odpadki. V tem nadaljnjem ukrepanju in za uskladitev s predpostavkami na enotnem evropskem trgu se upoštevajo premisleki iz navodil in uredb, ki jih je v zvezi s tem posebej pripravila Evropska komisija, kot je določeno v Direktivi (EU) 2019/904 Evropskega parlamenta in Sveta z dne 5. junija 2019 o zmanjšanju vpliva nekaterih plastičnih proizvodov na okolje. </w:t>
      </w:r>
    </w:p>
    <w:p w14:paraId="4344E981" w14:textId="77777777" w:rsidR="007C0F01" w:rsidRPr="008D14BD" w:rsidRDefault="007C0F01" w:rsidP="00036184">
      <w:pPr>
        <w:jc w:val="both"/>
        <w:rPr>
          <w:rFonts w:ascii="Verdana" w:hAnsi="Verdana" w:cs="EU Albertina"/>
        </w:rPr>
      </w:pPr>
      <w:r w:rsidRPr="008D14BD">
        <w:rPr>
          <w:rFonts w:ascii="Verdana" w:hAnsi="Verdana"/>
        </w:rPr>
        <w:t xml:space="preserve">Primeri posod za živila, ki jih je za namene te uredbe z zakonsko močjo treba obravnavati kot plastične proizvode za enkratno uporabo, so posode za hitro hrano ali škatle za obroke, kot so sendviči, </w:t>
      </w:r>
      <w:r w:rsidRPr="008D14BD">
        <w:rPr>
          <w:rFonts w:ascii="Verdana" w:hAnsi="Verdana"/>
          <w:i/>
        </w:rPr>
        <w:t>zavitki</w:t>
      </w:r>
      <w:r w:rsidRPr="008D14BD">
        <w:rPr>
          <w:rFonts w:ascii="Verdana" w:hAnsi="Verdana"/>
        </w:rPr>
        <w:t xml:space="preserve"> in solate, ki vsebujejo toplo ali hladno hrano, ter posode za sveža ali predelana živila, ki ne potrebujejo nadaljnje priprave, kot so sadje, zelenjava ali sladice. Primeri posod za živila, ki se za namene te direktive ne bi smeli šteti za plastične proizvode za enkratno uporabo, so posode za živila, ki pri prodaji vsebujejo suha ali hladna živila, ki zahtevajo dodatno pripravo, posode, ki vsebujejo več kot eno posamičen obrok, in posode za živila, ki po velikosti ustrezajo enemu obroku, vendar se prodajajo v paketu, ki vsebuje več kot eno takšno enoto.</w:t>
      </w:r>
    </w:p>
    <w:p w14:paraId="061F5D98" w14:textId="77777777" w:rsidR="007C0F01" w:rsidRPr="008D14BD" w:rsidRDefault="007C0F01" w:rsidP="00036184">
      <w:pPr>
        <w:jc w:val="both"/>
        <w:rPr>
          <w:rFonts w:ascii="Verdana" w:hAnsi="Verdana" w:cs="EU Albertina"/>
        </w:rPr>
      </w:pPr>
      <w:r w:rsidRPr="008D14BD">
        <w:rPr>
          <w:rFonts w:ascii="Verdana" w:hAnsi="Verdana"/>
        </w:rPr>
        <w:t>Primeri posod za pijačo, ki jih je treba obravnavati kot plastične proizvode za enkratno uporabo, so steklenice za pijače in sestavljena embalaža za pijače, ki se uporabljajo za pivo, vino, vodo, tekoče osvežilne pijače, sokove in nektarje, instant pijače ali mleko, ne pa tudi skodelice za pijače, saj te za namene te uredbe z zakonsko močjo predstavljajo ločeno kategorijo plastičnih proizvodov za enkratno uporabo.</w:t>
      </w:r>
    </w:p>
    <w:p w14:paraId="711CCE6E" w14:textId="77777777" w:rsidR="00036184" w:rsidRPr="008D14BD" w:rsidRDefault="00036184" w:rsidP="00036184">
      <w:pPr>
        <w:jc w:val="both"/>
        <w:rPr>
          <w:rFonts w:ascii="Verdana" w:hAnsi="Verdana"/>
        </w:rPr>
      </w:pPr>
      <w:r w:rsidRPr="008D14BD">
        <w:rPr>
          <w:rFonts w:ascii="Verdana" w:hAnsi="Verdana"/>
        </w:rPr>
        <w:t>Ta uredba z zakonsko močjo določa ukrepe za preprečevanje in zmanjšanje vpliva nekaterih plastičnih proizvodov za enkratno uporabo in oksorazgradljivih plastičnih izdelkov na okolje, zlasti na vodno okolje in zdravje ljudi, ter spodbujanje prehoda na krožno gospodarstvo z inovativnimi in trajnostnimi poslovnimi modeli, proizvodi in materiali, s čimer prispeva tudi k učinkovitemu delovanju notranjega trga.</w:t>
      </w:r>
    </w:p>
    <w:p w14:paraId="79283FBA" w14:textId="76F47710" w:rsidR="00036184" w:rsidRPr="008D14BD" w:rsidRDefault="00036184" w:rsidP="00036184">
      <w:pPr>
        <w:jc w:val="both"/>
        <w:rPr>
          <w:rFonts w:ascii="Verdana" w:hAnsi="Verdana"/>
        </w:rPr>
      </w:pPr>
      <w:r w:rsidRPr="008D14BD">
        <w:rPr>
          <w:rFonts w:ascii="Verdana" w:hAnsi="Verdana"/>
        </w:rPr>
        <w:lastRenderedPageBreak/>
        <w:t>Spodbuja tudi krožne pristope, ki dajejo prednost proizvodom, ki jih je mogoče ponovno uporabiti, ter trajnostnim in nestrupenim sistemom za ponovno uporabo namesto proizvodov za enkratno uporabo, zlasti z namenom zmanjšanja količine nastalih odpadkov.</w:t>
      </w:r>
    </w:p>
    <w:p w14:paraId="2F500026" w14:textId="4E799E84" w:rsidR="00805BAF" w:rsidRPr="008D14BD" w:rsidRDefault="005D508B" w:rsidP="00036184">
      <w:pPr>
        <w:jc w:val="both"/>
        <w:rPr>
          <w:rFonts w:ascii="Verdana" w:hAnsi="Verdana"/>
        </w:rPr>
      </w:pPr>
      <w:r w:rsidRPr="008D14BD">
        <w:rPr>
          <w:rFonts w:ascii="Verdana" w:hAnsi="Verdana"/>
        </w:rPr>
        <w:t xml:space="preserve">Ta uredba z zakonsko močjo je bila predmet postopka za zbiranje informacij na področju tehničnih predpisov in pravil za storitve informacijske družbe, določenega v </w:t>
      </w:r>
      <w:r w:rsidRPr="008D14BD">
        <w:rPr>
          <w:rFonts w:ascii="Verdana" w:hAnsi="Verdana"/>
          <w:sz w:val="21"/>
        </w:rPr>
        <w:t>Direktivi (EU) 2015/1535 Evropskega parlamenta in Sveta z dne 9. septembra 2015.</w:t>
      </w:r>
    </w:p>
    <w:p w14:paraId="31EF75EF" w14:textId="77777777" w:rsidR="003B7AD3" w:rsidRPr="008D14BD" w:rsidRDefault="003B7AD3" w:rsidP="003B7AD3">
      <w:pPr>
        <w:jc w:val="both"/>
        <w:rPr>
          <w:rFonts w:ascii="Verdana" w:hAnsi="Verdana"/>
        </w:rPr>
      </w:pPr>
      <w:r w:rsidRPr="008D14BD">
        <w:rPr>
          <w:rFonts w:ascii="Verdana" w:hAnsi="Verdana"/>
        </w:rPr>
        <w:t>Ta uredba z zakonsko močjo je bila predmet javnega posvetovanja med xxx in xxx ter je predmet postopka za zbiranje informacij na področju tehničnih predpisov in pravil za storitve informacijske družbe iz Direktive (EU) 2015/1535 Evropskega parlamenta in Sveta z dne 9. septembra 2015.</w:t>
      </w:r>
    </w:p>
    <w:p w14:paraId="708F4727" w14:textId="0CEE0C54" w:rsidR="003B7AD3" w:rsidRPr="008D14BD" w:rsidRDefault="003B7AD3" w:rsidP="003B7AD3">
      <w:pPr>
        <w:jc w:val="both"/>
        <w:rPr>
          <w:rFonts w:ascii="Verdana" w:hAnsi="Verdana"/>
        </w:rPr>
      </w:pPr>
      <w:r w:rsidRPr="008D14BD">
        <w:rPr>
          <w:rFonts w:ascii="Verdana" w:hAnsi="Verdana"/>
        </w:rPr>
        <w:t>Upoštevana so bila mnenja samoupravnih organov avtonomnih regij.</w:t>
      </w:r>
    </w:p>
    <w:p w14:paraId="4FAC9822" w14:textId="77777777" w:rsidR="003B7AD3" w:rsidRPr="008D14BD" w:rsidRDefault="003B7AD3" w:rsidP="003B7AD3">
      <w:pPr>
        <w:jc w:val="both"/>
        <w:rPr>
          <w:rFonts w:ascii="Verdana" w:hAnsi="Verdana"/>
        </w:rPr>
      </w:pPr>
    </w:p>
    <w:p w14:paraId="6C6BB1FC" w14:textId="77777777" w:rsidR="00AA1E2E" w:rsidRPr="008D14BD" w:rsidRDefault="00AA1E2E" w:rsidP="003B7AD3">
      <w:pPr>
        <w:jc w:val="both"/>
        <w:rPr>
          <w:rFonts w:ascii="Verdana" w:hAnsi="Verdana"/>
        </w:rPr>
      </w:pPr>
    </w:p>
    <w:p w14:paraId="4F6C7BF1" w14:textId="3BE8AD3D" w:rsidR="00A172F1" w:rsidRPr="008D14BD" w:rsidRDefault="00975B2D" w:rsidP="008D14BD">
      <w:pPr>
        <w:pStyle w:val="Heading1"/>
        <w:ind w:firstLine="810"/>
      </w:pPr>
      <w:r w:rsidRPr="008D14BD">
        <w:br/>
        <w:t>Splošne določbe in načela</w:t>
      </w:r>
    </w:p>
    <w:p w14:paraId="7BDDF5B7" w14:textId="0ADC805D" w:rsidR="00A172F1" w:rsidRPr="008D14BD" w:rsidRDefault="009870C4" w:rsidP="009870C4">
      <w:pPr>
        <w:pStyle w:val="Heading2"/>
        <w:numPr>
          <w:ilvl w:val="0"/>
          <w:numId w:val="0"/>
        </w:numPr>
        <w:tabs>
          <w:tab w:val="clear" w:pos="1701"/>
          <w:tab w:val="left" w:pos="180"/>
        </w:tabs>
        <w:ind w:left="426"/>
      </w:pPr>
      <w:r w:rsidRPr="008D14BD">
        <w:t>Člen 1</w:t>
      </w:r>
      <w:r w:rsidRPr="008D14BD">
        <w:br/>
        <w:t>Predmet urejanja</w:t>
      </w:r>
    </w:p>
    <w:p w14:paraId="1B889421" w14:textId="77777777" w:rsidR="00036184" w:rsidRPr="008D14BD" w:rsidRDefault="00036184" w:rsidP="007E04D1">
      <w:pPr>
        <w:jc w:val="both"/>
        <w:rPr>
          <w:rFonts w:ascii="Verdana" w:hAnsi="Verdana"/>
        </w:rPr>
      </w:pPr>
    </w:p>
    <w:p w14:paraId="6C49FEDE" w14:textId="77777777" w:rsidR="00BC18BB" w:rsidRPr="008D14BD" w:rsidRDefault="002F5931" w:rsidP="00C525D6">
      <w:pPr>
        <w:pStyle w:val="ListParagraph"/>
        <w:numPr>
          <w:ilvl w:val="0"/>
          <w:numId w:val="11"/>
        </w:numPr>
        <w:jc w:val="both"/>
        <w:rPr>
          <w:rFonts w:ascii="Verdana" w:hAnsi="Verdana"/>
        </w:rPr>
      </w:pPr>
      <w:r w:rsidRPr="008D14BD">
        <w:rPr>
          <w:rFonts w:ascii="Verdana" w:hAnsi="Verdana"/>
        </w:rPr>
        <w:t>Ta uredba z zakonsko močjo v nacionalno zakonodajo prenaša Direktivo (EU) 2019/904 Evropskega parlamenta in Sveta z dne 5. junija 2019 o zmanjšanju vpliva nekaterih plastičnih proizvodov na okolje.</w:t>
      </w:r>
    </w:p>
    <w:p w14:paraId="371AD20F" w14:textId="01DADD23" w:rsidR="00AA1E2E" w:rsidRPr="008D14BD" w:rsidRDefault="009E5334" w:rsidP="00C525D6">
      <w:pPr>
        <w:pStyle w:val="ListParagraph"/>
        <w:numPr>
          <w:ilvl w:val="0"/>
          <w:numId w:val="11"/>
        </w:numPr>
        <w:jc w:val="both"/>
        <w:rPr>
          <w:rFonts w:ascii="Verdana" w:hAnsi="Verdana"/>
        </w:rPr>
      </w:pPr>
      <w:r w:rsidRPr="008D14BD">
        <w:rPr>
          <w:rFonts w:ascii="Verdana" w:hAnsi="Verdana"/>
        </w:rPr>
        <w:t>Ta osnutek uredbe z zakonsko močjo je tudi prva sprememba Zakona št. 77/2019 z dne 2. septembra, ki nalaga obveznost, da se potrošnikom da na voljo alternativa razširjanju ultralahkih plastičnih vrečk in plastičnih kivet na prodajnih mestih, kjer se prodaja kruh ter sadje in zelenjava.</w:t>
      </w:r>
    </w:p>
    <w:p w14:paraId="392CD894" w14:textId="77777777" w:rsidR="00A756A5" w:rsidRPr="008D14BD" w:rsidRDefault="00A756A5" w:rsidP="00A756A5">
      <w:pPr>
        <w:pStyle w:val="ListParagraph"/>
        <w:jc w:val="both"/>
        <w:rPr>
          <w:rFonts w:ascii="Verdana" w:hAnsi="Verdana"/>
        </w:rPr>
      </w:pPr>
    </w:p>
    <w:p w14:paraId="76115829" w14:textId="55137B83" w:rsidR="007879A9" w:rsidRPr="008D14BD" w:rsidRDefault="004D1142" w:rsidP="009870C4">
      <w:pPr>
        <w:pStyle w:val="Heading2"/>
        <w:numPr>
          <w:ilvl w:val="0"/>
          <w:numId w:val="0"/>
        </w:numPr>
        <w:tabs>
          <w:tab w:val="clear" w:pos="1701"/>
          <w:tab w:val="left" w:pos="1276"/>
        </w:tabs>
        <w:ind w:left="426"/>
      </w:pPr>
      <w:r w:rsidRPr="008D14BD">
        <w:rPr>
          <w:bCs/>
        </w:rPr>
        <w:t>Člen 2</w:t>
      </w:r>
      <w:r w:rsidRPr="008D14BD">
        <w:br/>
      </w:r>
      <w:bookmarkStart w:id="1" w:name="_Ref66177877"/>
      <w:r w:rsidRPr="008D14BD">
        <w:t>Področje uporabe</w:t>
      </w:r>
      <w:bookmarkEnd w:id="1"/>
    </w:p>
    <w:p w14:paraId="640E56C9" w14:textId="77777777" w:rsidR="00036184" w:rsidRPr="008D14BD" w:rsidRDefault="00036184" w:rsidP="00036184">
      <w:pPr>
        <w:rPr>
          <w:rFonts w:ascii="Verdana" w:hAnsi="Verdana"/>
        </w:rPr>
      </w:pPr>
    </w:p>
    <w:p w14:paraId="31FE437E" w14:textId="3B1BD210" w:rsidR="008716CA" w:rsidRPr="008D14BD" w:rsidRDefault="00A172F1" w:rsidP="00C525D6">
      <w:pPr>
        <w:pStyle w:val="ListParagraph"/>
        <w:numPr>
          <w:ilvl w:val="0"/>
          <w:numId w:val="18"/>
        </w:numPr>
        <w:jc w:val="both"/>
        <w:rPr>
          <w:rFonts w:ascii="Verdana" w:hAnsi="Verdana"/>
        </w:rPr>
      </w:pPr>
      <w:r w:rsidRPr="008D14BD">
        <w:rPr>
          <w:rFonts w:ascii="Verdana" w:hAnsi="Verdana"/>
        </w:rPr>
        <w:t>Ta uredba se uporablja za plastične proizvode za enkratno uporabo iz Priloge I, proizvode iz oksorazgradljive plastike in ribolovno orodje, ki vsebuje plastiko.</w:t>
      </w:r>
    </w:p>
    <w:p w14:paraId="3AC71414" w14:textId="31EFFBEF" w:rsidR="008716CA" w:rsidRPr="008D14BD" w:rsidRDefault="008716CA" w:rsidP="00C525D6">
      <w:pPr>
        <w:pStyle w:val="ListParagraph"/>
        <w:numPr>
          <w:ilvl w:val="0"/>
          <w:numId w:val="18"/>
        </w:numPr>
        <w:jc w:val="both"/>
        <w:rPr>
          <w:rFonts w:ascii="Verdana" w:hAnsi="Verdana"/>
        </w:rPr>
      </w:pPr>
      <w:r w:rsidRPr="008D14BD">
        <w:rPr>
          <w:rFonts w:ascii="Verdana" w:hAnsi="Verdana"/>
        </w:rPr>
        <w:t>Za uskladitev uporabe te zakonodaje na trgu Evropske unije in pojasnitev področja uporabe iz prejšnjega odstavka so bila upoštevana pravila iz Smernice o izvajanju Direktive (EU) 2019/904 Evropskega parlamenta in Sveta z dne 5. junija 2019, ki jo je objavila Evropska komisija in je bila na voljo na spletni strani portugalske agencije za okolje (APA, I.P.).</w:t>
      </w:r>
    </w:p>
    <w:p w14:paraId="5EA0CD13" w14:textId="5455FE8B" w:rsidR="008A5EE0" w:rsidRPr="008D14BD" w:rsidRDefault="008A5EE0" w:rsidP="00C525D6">
      <w:pPr>
        <w:pStyle w:val="ListParagraph"/>
        <w:numPr>
          <w:ilvl w:val="0"/>
          <w:numId w:val="18"/>
        </w:numPr>
        <w:jc w:val="both"/>
        <w:rPr>
          <w:rFonts w:ascii="Verdana" w:hAnsi="Verdana"/>
        </w:rPr>
      </w:pPr>
      <w:r w:rsidRPr="008D14BD">
        <w:rPr>
          <w:rFonts w:ascii="Verdana" w:hAnsi="Verdana"/>
        </w:rPr>
        <w:t xml:space="preserve">Ta uredba se uporablja tudi za </w:t>
      </w:r>
      <w:bookmarkStart w:id="2" w:name="_Hlk66395090"/>
      <w:r w:rsidRPr="008D14BD">
        <w:rPr>
          <w:rFonts w:ascii="Verdana" w:hAnsi="Verdana"/>
        </w:rPr>
        <w:t xml:space="preserve">embalažo za enkratno uporabo iz materialov vseh vrst. </w:t>
      </w:r>
    </w:p>
    <w:bookmarkEnd w:id="2"/>
    <w:p w14:paraId="6F41DA9F" w14:textId="059CEE77" w:rsidR="007879A9" w:rsidRPr="008D14BD" w:rsidRDefault="00B46206" w:rsidP="00C525D6">
      <w:pPr>
        <w:pStyle w:val="ListParagraph"/>
        <w:numPr>
          <w:ilvl w:val="0"/>
          <w:numId w:val="18"/>
        </w:numPr>
        <w:jc w:val="both"/>
        <w:rPr>
          <w:rFonts w:ascii="Verdana" w:hAnsi="Verdana"/>
        </w:rPr>
      </w:pPr>
      <w:r w:rsidRPr="008D14BD">
        <w:rPr>
          <w:rFonts w:ascii="Verdana" w:hAnsi="Verdana"/>
        </w:rPr>
        <w:t xml:space="preserve">V primeru navzkrižja med to uredbo z zakonsko močjo in uredbo z zakonsko močjo št. 152-D/2017 z dne 11. decembra, kakor je bila spremenjena in ponovno objavljena z </w:t>
      </w:r>
      <w:bookmarkStart w:id="3" w:name="_Hlk65346660"/>
      <w:r w:rsidRPr="008D14BD">
        <w:rPr>
          <w:rFonts w:ascii="Verdana" w:hAnsi="Verdana"/>
        </w:rPr>
        <w:t>uredbo z zakonsko močjo št. 102-D/2020 z dne 10. decembra</w:t>
      </w:r>
      <w:bookmarkEnd w:id="3"/>
      <w:r w:rsidRPr="008D14BD">
        <w:rPr>
          <w:rFonts w:ascii="Verdana" w:hAnsi="Verdana"/>
        </w:rPr>
        <w:t>, ki vzpostavlja sistem ravnanja s posebnimi tokovi odpadkov (Unilex) in/ali splošni sistem ravnanja z odpadki (GSWM), odobren s Prilogo I k uredbi z zakonsko močjo št. 102-D/2020 z dne 10. decembra, velja ta uredba.</w:t>
      </w:r>
    </w:p>
    <w:p w14:paraId="4C6CF3E8" w14:textId="77777777" w:rsidR="00A172F1" w:rsidRPr="008D14BD" w:rsidRDefault="00A172F1" w:rsidP="00A27EAE">
      <w:pPr>
        <w:pStyle w:val="ListParagraph"/>
        <w:shd w:val="clear" w:color="auto" w:fill="FFFFFF"/>
        <w:tabs>
          <w:tab w:val="left" w:pos="1134"/>
        </w:tabs>
        <w:spacing w:after="225" w:line="390" w:lineRule="atLeast"/>
        <w:ind w:left="284"/>
        <w:rPr>
          <w:rFonts w:ascii="Verdana" w:hAnsi="Verdana"/>
          <w:b/>
        </w:rPr>
      </w:pPr>
    </w:p>
    <w:p w14:paraId="57CBE0EB" w14:textId="0482498E" w:rsidR="00836720" w:rsidRPr="008D14BD" w:rsidRDefault="009870C4" w:rsidP="009870C4">
      <w:pPr>
        <w:pStyle w:val="Heading2"/>
        <w:numPr>
          <w:ilvl w:val="0"/>
          <w:numId w:val="0"/>
        </w:numPr>
        <w:tabs>
          <w:tab w:val="clear" w:pos="1701"/>
          <w:tab w:val="left" w:pos="1276"/>
        </w:tabs>
        <w:ind w:left="4050"/>
        <w:jc w:val="left"/>
      </w:pPr>
      <w:r w:rsidRPr="008D14BD">
        <w:t>Člen 3</w:t>
      </w:r>
      <w:r w:rsidRPr="008D14BD">
        <w:br/>
        <w:t>Opredelitev pojmov</w:t>
      </w:r>
    </w:p>
    <w:p w14:paraId="4736A397" w14:textId="77777777" w:rsidR="00A27EAE" w:rsidRPr="008D14BD" w:rsidRDefault="00A27EAE" w:rsidP="007E04D1">
      <w:pPr>
        <w:jc w:val="both"/>
        <w:rPr>
          <w:rFonts w:ascii="Verdana" w:hAnsi="Verdana"/>
        </w:rPr>
      </w:pPr>
    </w:p>
    <w:p w14:paraId="11A02850" w14:textId="3CB0841A" w:rsidR="008A723D" w:rsidRPr="008D14BD" w:rsidRDefault="008A723D" w:rsidP="00C525D6">
      <w:pPr>
        <w:pStyle w:val="ListParagraph"/>
        <w:numPr>
          <w:ilvl w:val="0"/>
          <w:numId w:val="17"/>
        </w:numPr>
        <w:jc w:val="both"/>
        <w:rPr>
          <w:rFonts w:ascii="Verdana" w:hAnsi="Verdana"/>
        </w:rPr>
      </w:pPr>
      <w:r w:rsidRPr="008D14BD">
        <w:rPr>
          <w:rFonts w:ascii="Verdana" w:hAnsi="Verdana"/>
        </w:rPr>
        <w:t xml:space="preserve">V tej uredbi z zakonsko močjo se uporabljajo naslednje opredelitve pojmov: </w:t>
      </w:r>
    </w:p>
    <w:p w14:paraId="0D9166E3" w14:textId="50D2FAF7" w:rsidR="008A723D" w:rsidRPr="008D14BD" w:rsidRDefault="008A723D" w:rsidP="00F7675E">
      <w:pPr>
        <w:pStyle w:val="ListParagraph"/>
        <w:numPr>
          <w:ilvl w:val="0"/>
          <w:numId w:val="1"/>
        </w:numPr>
        <w:jc w:val="both"/>
        <w:rPr>
          <w:rFonts w:ascii="Verdana" w:hAnsi="Verdana"/>
        </w:rPr>
      </w:pPr>
      <w:r w:rsidRPr="008D14BD">
        <w:rPr>
          <w:rFonts w:ascii="Verdana" w:hAnsi="Verdana"/>
        </w:rPr>
        <w:t xml:space="preserve">»ribolovno orodje« pomeni vsak izdelek ali opremo, ki se pri ribolovu ali ribogojstvu uporablja za ciljanje, ulov ali gojenje morskih bioloških virov, ali plava na morski gladini in se uporablja za privabljanje in zajemanje ali gojenje takšnih morskih bioloških virov; </w:t>
      </w:r>
    </w:p>
    <w:p w14:paraId="48F2B6B0" w14:textId="7290CA2C" w:rsidR="006336DE" w:rsidRPr="008D14BD" w:rsidRDefault="006336DE" w:rsidP="00F7675E">
      <w:pPr>
        <w:pStyle w:val="ListParagraph"/>
        <w:numPr>
          <w:ilvl w:val="0"/>
          <w:numId w:val="1"/>
        </w:numPr>
        <w:jc w:val="both"/>
        <w:rPr>
          <w:rFonts w:ascii="Verdana" w:hAnsi="Verdana"/>
        </w:rPr>
      </w:pPr>
      <w:r w:rsidRPr="008D14BD">
        <w:rPr>
          <w:rFonts w:ascii="Verdana" w:hAnsi="Verdana"/>
        </w:rPr>
        <w:t>»trgovina na drobno« pomeni vsako dejavnost ponovne prodaje novega ali rabljenega blaga končnemu potrošniku, vključno s strokovnjaki in ustanovami, kakor je bilo pridobljeno, ali po izvedbi nekaterih dejavnosti, povezanih s prodajo na drobno, kot so izbiranje, razvrščanje ali pakiranje, ki se izvajajo znotraj ali zunaj trgovinskih obratov, na sejmih, na občinskih trgih, v potujočih trgovinah, na daljavo, doma in prek prodajnih avtomatov;</w:t>
      </w:r>
    </w:p>
    <w:p w14:paraId="37A90115" w14:textId="154AA067" w:rsidR="006336DE" w:rsidRPr="008D14BD" w:rsidRDefault="006336DE" w:rsidP="00F7675E">
      <w:pPr>
        <w:pStyle w:val="ListParagraph"/>
        <w:numPr>
          <w:ilvl w:val="0"/>
          <w:numId w:val="1"/>
        </w:numPr>
        <w:jc w:val="both"/>
        <w:rPr>
          <w:rFonts w:ascii="Verdana" w:hAnsi="Verdana"/>
        </w:rPr>
      </w:pPr>
      <w:r w:rsidRPr="008D14BD">
        <w:rPr>
          <w:rFonts w:ascii="Verdana" w:hAnsi="Verdana"/>
        </w:rPr>
        <w:lastRenderedPageBreak/>
        <w:t>»nesedeča restavracija ali storitve strežbe pijač« pomeni zagotavljanje gostinskih storitev ali občasnih storitev strežbe pijač, ki so bile pravilno objavljene v javnosti, ne glede na to, ali se zagotavljajo v stalnih objektih ali prenosnih objektih, ki se nahajajo na prizoriščih za predstave, sejme, razstave ali v drugih prostorih;</w:t>
      </w:r>
    </w:p>
    <w:p w14:paraId="614A6421" w14:textId="74BD997C" w:rsidR="006336DE" w:rsidRPr="008D14BD" w:rsidRDefault="006336DE" w:rsidP="00F7675E">
      <w:pPr>
        <w:pStyle w:val="ListParagraph"/>
        <w:numPr>
          <w:ilvl w:val="0"/>
          <w:numId w:val="1"/>
        </w:numPr>
        <w:jc w:val="both"/>
        <w:rPr>
          <w:rFonts w:ascii="Verdana" w:hAnsi="Verdana"/>
        </w:rPr>
      </w:pPr>
      <w:r w:rsidRPr="008D14BD">
        <w:rPr>
          <w:rFonts w:ascii="Verdana" w:hAnsi="Verdana"/>
        </w:rPr>
        <w:t xml:space="preserve">»obrat za gostinske storitve ali strežbo pijač« pomeni obrate, katerih dejavnosti so namenjene zagotavljanju hrane ali pijač in strežbi kavnih napitkov znotraj ali zunaj samega obrata, ne glede na njihovo poimenovanje; </w:t>
      </w:r>
    </w:p>
    <w:p w14:paraId="66433F7D" w14:textId="17EDCD7E" w:rsidR="00B46206" w:rsidRPr="008D14BD" w:rsidRDefault="00036184" w:rsidP="00F7675E">
      <w:pPr>
        <w:pStyle w:val="ListParagraph"/>
        <w:numPr>
          <w:ilvl w:val="0"/>
          <w:numId w:val="1"/>
        </w:numPr>
        <w:jc w:val="both"/>
        <w:rPr>
          <w:rFonts w:ascii="Verdana" w:hAnsi="Verdana"/>
        </w:rPr>
      </w:pPr>
      <w:r w:rsidRPr="008D14BD">
        <w:rPr>
          <w:rFonts w:ascii="Verdana" w:hAnsi="Verdana"/>
        </w:rPr>
        <w:t>»dajanje na trg« pomeni prvo omogočanje dostopnosti proizvoda na domačem trgu v okviru poklicne dejavnosti;</w:t>
      </w:r>
    </w:p>
    <w:p w14:paraId="7D04A45F" w14:textId="3D4E5D72" w:rsidR="00EC283C" w:rsidRPr="008D14BD" w:rsidRDefault="00EC283C" w:rsidP="00F7675E">
      <w:pPr>
        <w:pStyle w:val="ListParagraph"/>
        <w:numPr>
          <w:ilvl w:val="0"/>
          <w:numId w:val="1"/>
        </w:numPr>
        <w:jc w:val="both"/>
        <w:rPr>
          <w:rFonts w:ascii="Verdana" w:hAnsi="Verdana"/>
        </w:rPr>
      </w:pPr>
      <w:r w:rsidRPr="008D14BD">
        <w:rPr>
          <w:rFonts w:ascii="Verdana" w:hAnsi="Verdana"/>
        </w:rPr>
        <w:t>»omogočanje dostopnosti na trgu« pomeni vsako dobavo izdelka za distribucijo, porabo ali uporabo na trgu Portugalske v okviru gospodarske dejavnosti, bodisi odplačno ali neodplačno;</w:t>
      </w:r>
    </w:p>
    <w:p w14:paraId="3CE3DCF0" w14:textId="77777777" w:rsidR="00BC18BB" w:rsidRPr="008D14BD" w:rsidRDefault="00285B71" w:rsidP="00F7675E">
      <w:pPr>
        <w:pStyle w:val="ListParagraph"/>
        <w:numPr>
          <w:ilvl w:val="0"/>
          <w:numId w:val="1"/>
        </w:numPr>
        <w:jc w:val="both"/>
        <w:rPr>
          <w:rFonts w:ascii="Verdana" w:hAnsi="Verdana"/>
        </w:rPr>
      </w:pPr>
      <w:r w:rsidRPr="008D14BD">
        <w:rPr>
          <w:rFonts w:ascii="Verdana" w:hAnsi="Verdana"/>
        </w:rPr>
        <w:t xml:space="preserve">»embaler« pomeni embalerja, kakor je opredeljen v členu 3(1)(q) Unilex; </w:t>
      </w:r>
    </w:p>
    <w:p w14:paraId="75FA7E25" w14:textId="77777777" w:rsidR="00BC18BB" w:rsidRPr="008D14BD" w:rsidRDefault="003307FF" w:rsidP="00F7675E">
      <w:pPr>
        <w:pStyle w:val="ListParagraph"/>
        <w:numPr>
          <w:ilvl w:val="0"/>
          <w:numId w:val="1"/>
        </w:numPr>
        <w:jc w:val="both"/>
        <w:rPr>
          <w:rFonts w:ascii="Verdana" w:hAnsi="Verdana"/>
        </w:rPr>
      </w:pPr>
      <w:r w:rsidRPr="008D14BD">
        <w:rPr>
          <w:rFonts w:ascii="Verdana" w:hAnsi="Verdana"/>
        </w:rPr>
        <w:t xml:space="preserve">»pakiranje« pomeni embalažo, kakor je opredeljena v členu 3(1)(r) Unilex; </w:t>
      </w:r>
    </w:p>
    <w:p w14:paraId="06F4B8DA" w14:textId="100831E2" w:rsidR="0091273F" w:rsidRPr="008D14BD" w:rsidRDefault="0091273F" w:rsidP="00F7675E">
      <w:pPr>
        <w:pStyle w:val="ListParagraph"/>
        <w:numPr>
          <w:ilvl w:val="0"/>
          <w:numId w:val="1"/>
        </w:numPr>
        <w:jc w:val="both"/>
        <w:rPr>
          <w:rFonts w:ascii="Verdana" w:hAnsi="Verdana"/>
        </w:rPr>
      </w:pPr>
      <w:r w:rsidRPr="008D14BD">
        <w:rPr>
          <w:rFonts w:ascii="Verdana" w:hAnsi="Verdana"/>
        </w:rPr>
        <w:t xml:space="preserve">»pakiranje za enkratno uporabo« pomeni embalažo, ki ni primerna za ponovno uporabo, ali embalažo za enkratno uporabo, kakor je opredeljena v členu 3(1)(u) Unilex; </w:t>
      </w:r>
    </w:p>
    <w:p w14:paraId="6165F5F7" w14:textId="6B369E32" w:rsidR="000F077F" w:rsidRPr="008D14BD" w:rsidRDefault="000F077F" w:rsidP="00F7675E">
      <w:pPr>
        <w:pStyle w:val="ListParagraph"/>
        <w:numPr>
          <w:ilvl w:val="0"/>
          <w:numId w:val="1"/>
        </w:numPr>
        <w:jc w:val="both"/>
        <w:rPr>
          <w:rFonts w:ascii="Verdana" w:hAnsi="Verdana"/>
        </w:rPr>
      </w:pPr>
      <w:r w:rsidRPr="008D14BD">
        <w:rPr>
          <w:rFonts w:ascii="Verdana" w:hAnsi="Verdana"/>
        </w:rPr>
        <w:t xml:space="preserve">»pakiranje za večkratno uporabo« pomeni embalažo, ki je primerna za ponovno uporabo, kakor je opredeljena v členu 3(1)(v) Unilex; </w:t>
      </w:r>
    </w:p>
    <w:p w14:paraId="0A6FE340" w14:textId="6089B47D" w:rsidR="00C73230" w:rsidRPr="008D14BD" w:rsidRDefault="00C73230" w:rsidP="00F7675E">
      <w:pPr>
        <w:pStyle w:val="ListParagraph"/>
        <w:numPr>
          <w:ilvl w:val="0"/>
          <w:numId w:val="1"/>
        </w:numPr>
        <w:jc w:val="both"/>
        <w:rPr>
          <w:rFonts w:ascii="Verdana" w:hAnsi="Verdana"/>
        </w:rPr>
      </w:pPr>
      <w:r w:rsidRPr="008D14BD">
        <w:rPr>
          <w:rFonts w:ascii="Verdana" w:hAnsi="Verdana"/>
        </w:rPr>
        <w:t>»namizna posoda za večkratno uporabo« pomeni pribor ali embalažo, ki se uporablja za postrežbo in/ali za pomoč pri uživanju hrane ali pijač in je zasnovana in dana na trg z namenom, da je v svoji življenjski dobi večkrat uporabljena in kroži tako, da jo ponovno napolnijo in ponovno uporabijo za isti namen, za katerega je bila zasnovana;</w:t>
      </w:r>
    </w:p>
    <w:p w14:paraId="5A147C8B" w14:textId="62F6B98B" w:rsidR="003307FF" w:rsidRPr="008D14BD" w:rsidRDefault="003307FF" w:rsidP="00F7675E">
      <w:pPr>
        <w:pStyle w:val="ListParagraph"/>
        <w:numPr>
          <w:ilvl w:val="0"/>
          <w:numId w:val="1"/>
        </w:numPr>
        <w:jc w:val="both"/>
        <w:rPr>
          <w:rFonts w:ascii="Verdana" w:hAnsi="Verdana"/>
        </w:rPr>
      </w:pPr>
      <w:r w:rsidRPr="008D14BD">
        <w:rPr>
          <w:rFonts w:ascii="Verdana" w:hAnsi="Verdana"/>
        </w:rPr>
        <w:t>»pristaniške sprejemne zmogljivosti« pomenijo pristaniške sprejemne zmogljivosti, kakor so opredeljene v členu 3(1)(m) uredbe z zakonsko močjo št. 102/2020 z dne 9. decembra;</w:t>
      </w:r>
    </w:p>
    <w:p w14:paraId="420091DC" w14:textId="1E1FA71C" w:rsidR="00EC283C" w:rsidRPr="008D14BD" w:rsidRDefault="00EC283C" w:rsidP="00F7675E">
      <w:pPr>
        <w:pStyle w:val="ListParagraph"/>
        <w:numPr>
          <w:ilvl w:val="0"/>
          <w:numId w:val="1"/>
        </w:numPr>
        <w:jc w:val="both"/>
        <w:rPr>
          <w:rFonts w:ascii="Verdana" w:hAnsi="Verdana"/>
        </w:rPr>
      </w:pPr>
      <w:r w:rsidRPr="008D14BD">
        <w:rPr>
          <w:rFonts w:ascii="Verdana" w:hAnsi="Verdana"/>
        </w:rPr>
        <w:t xml:space="preserve">»harmonizirani standard« pomeni harmonizirani standard, kakor je opredeljen v členu 2(1)(c) Uredbe (EU) št. 1025/2012; </w:t>
      </w:r>
    </w:p>
    <w:p w14:paraId="3F5AA973" w14:textId="61A5681F" w:rsidR="00C73230" w:rsidRPr="008D14BD" w:rsidRDefault="00C73230" w:rsidP="00F7675E">
      <w:pPr>
        <w:pStyle w:val="ListParagraph"/>
        <w:numPr>
          <w:ilvl w:val="0"/>
          <w:numId w:val="1"/>
        </w:numPr>
        <w:jc w:val="both"/>
        <w:rPr>
          <w:rFonts w:ascii="Verdana" w:hAnsi="Verdana"/>
          <w:i/>
        </w:rPr>
      </w:pPr>
      <w:r w:rsidRPr="008D14BD">
        <w:rPr>
          <w:rFonts w:ascii="Verdana" w:hAnsi="Verdana"/>
        </w:rPr>
        <w:t>»drugi obrati za gostinske storitve ali strežbo pijač« pomenijo lokacije, kjer se gostinske storitve ali storitve strežbe pijač opravljajo v okviru gostinskih, banketnih ali drugih storitev, pod pogojem, da se v teh prostorih redno izvaja kot vsaj 10 dogodkov na leto;</w:t>
      </w:r>
    </w:p>
    <w:p w14:paraId="197CE626" w14:textId="01DEE9CD" w:rsidR="008A723D" w:rsidRPr="008D14BD" w:rsidRDefault="008A723D" w:rsidP="00F7675E">
      <w:pPr>
        <w:pStyle w:val="ListParagraph"/>
        <w:numPr>
          <w:ilvl w:val="0"/>
          <w:numId w:val="1"/>
        </w:numPr>
        <w:jc w:val="both"/>
        <w:rPr>
          <w:rFonts w:ascii="Verdana" w:hAnsi="Verdana"/>
        </w:rPr>
      </w:pPr>
      <w:r w:rsidRPr="008D14BD">
        <w:rPr>
          <w:rFonts w:ascii="Verdana" w:hAnsi="Verdana"/>
        </w:rPr>
        <w:lastRenderedPageBreak/>
        <w:t xml:space="preserve">»plastika« pomeni material iz polimera, kakor je opredeljeno v členu 3(5) Uredbe (ES) št. 1907/2006, ki lahko vsebuje dodatke ali druge snovi in se lahko uporablja kot glavni strukturni sestavni del končnih proizvodov, razen naravnih polimerov, ki niso bili kemično modificirani; </w:t>
      </w:r>
    </w:p>
    <w:p w14:paraId="55AF46E6" w14:textId="50FF4EB6" w:rsidR="003307FF" w:rsidRPr="008D14BD" w:rsidRDefault="003307FF" w:rsidP="00F7675E">
      <w:pPr>
        <w:pStyle w:val="ListParagraph"/>
        <w:numPr>
          <w:ilvl w:val="0"/>
          <w:numId w:val="1"/>
        </w:numPr>
        <w:jc w:val="both"/>
        <w:rPr>
          <w:rFonts w:ascii="Verdana" w:hAnsi="Verdana"/>
        </w:rPr>
      </w:pPr>
      <w:r w:rsidRPr="008D14BD">
        <w:rPr>
          <w:rFonts w:ascii="Verdana" w:hAnsi="Verdana"/>
        </w:rPr>
        <w:t>»biološko razgradljiva plastika« pomeni plastiko, ki se lahko fizikalno in biološko razgradi, tako da se na koncu razgradi v ogljikov dioksid (CO</w:t>
      </w:r>
      <w:r w:rsidRPr="008D14BD">
        <w:rPr>
          <w:rFonts w:ascii="Verdana" w:hAnsi="Verdana"/>
          <w:vertAlign w:val="subscript"/>
        </w:rPr>
        <w:t>2</w:t>
      </w:r>
      <w:r w:rsidRPr="008D14BD">
        <w:rPr>
          <w:rFonts w:ascii="Verdana" w:hAnsi="Verdana"/>
        </w:rPr>
        <w:t>), biomaso in vodo ter jo je mogoče v skladu z evropskimi standardi za pakiranje predelati s kompostiranjem in anaerobno razgradnjo;</w:t>
      </w:r>
    </w:p>
    <w:p w14:paraId="243D3CF3" w14:textId="064E6342" w:rsidR="008A723D" w:rsidRPr="008D14BD" w:rsidRDefault="008A723D" w:rsidP="00F7675E">
      <w:pPr>
        <w:pStyle w:val="ListParagraph"/>
        <w:numPr>
          <w:ilvl w:val="0"/>
          <w:numId w:val="1"/>
        </w:numPr>
        <w:jc w:val="both"/>
        <w:rPr>
          <w:rFonts w:ascii="Verdana" w:hAnsi="Verdana"/>
        </w:rPr>
      </w:pPr>
      <w:r w:rsidRPr="008D14BD">
        <w:rPr>
          <w:rFonts w:ascii="Verdana" w:hAnsi="Verdana"/>
        </w:rPr>
        <w:t xml:space="preserve">»oksorazgradljiva plastika« pomeni plastične materiale, ki vključujejo aditive, ki z oksidacijo povzročijo razpad plastičnega materiala na mikrodelce ali kemično razgradnjo; </w:t>
      </w:r>
    </w:p>
    <w:p w14:paraId="7BF28EB9" w14:textId="4F4AE25F" w:rsidR="008A723D" w:rsidRPr="008D14BD" w:rsidRDefault="008A723D" w:rsidP="00F7675E">
      <w:pPr>
        <w:pStyle w:val="ListParagraph"/>
        <w:numPr>
          <w:ilvl w:val="0"/>
          <w:numId w:val="1"/>
        </w:numPr>
        <w:jc w:val="both"/>
        <w:rPr>
          <w:rFonts w:ascii="Verdana" w:hAnsi="Verdana"/>
        </w:rPr>
      </w:pPr>
      <w:r w:rsidRPr="008D14BD">
        <w:rPr>
          <w:rFonts w:ascii="Verdana" w:hAnsi="Verdana"/>
        </w:rPr>
        <w:t xml:space="preserve">»plastični proizvod za enkratno uporabo« pomeni proizvod, ki je v celoti ali delno izdelan iz plastike ter ni zasnovan, oblikovan ali dan na trg, da bi v svoji življenjski dobi opravil več poti ali kroženj, tako da bi se vrnil proizvajalcu za ponovno polnjenje ali ponovno uporabo za isti namen, za katerega je bil zasnovan; </w:t>
      </w:r>
    </w:p>
    <w:p w14:paraId="3B015B5D" w14:textId="6D7B7308" w:rsidR="003307FF" w:rsidRPr="008D14BD" w:rsidRDefault="003307FF" w:rsidP="00F7675E">
      <w:pPr>
        <w:pStyle w:val="ListParagraph"/>
        <w:numPr>
          <w:ilvl w:val="0"/>
          <w:numId w:val="1"/>
        </w:numPr>
        <w:jc w:val="both"/>
        <w:rPr>
          <w:rFonts w:ascii="Verdana" w:hAnsi="Verdana"/>
        </w:rPr>
      </w:pPr>
      <w:r w:rsidRPr="008D14BD">
        <w:rPr>
          <w:rFonts w:ascii="Verdana" w:hAnsi="Verdana"/>
        </w:rPr>
        <w:t>»proizvajalec« pomeni proizvajalca proizvoda, kakor je opredeljen v členu 3(1)(r) Unilex, ki daje na trg plastične proizvode za enkratno uporabo, polnjene plastične proizvode za enkratno uporabo ali ribolovno orodje, ki vsebuje plastiko, razen oseb, ki izvajajo ribolovne dejavnosti, kakor so opredeljene v členu 4(28) Uredbe (EU) št. 1380/2013 Evropskega parlamenta in Sveta;</w:t>
      </w:r>
    </w:p>
    <w:p w14:paraId="6BD3956F" w14:textId="4A211B1E" w:rsidR="003307FF" w:rsidRPr="008D14BD" w:rsidRDefault="003307FF" w:rsidP="00F7675E">
      <w:pPr>
        <w:pStyle w:val="ListParagraph"/>
        <w:numPr>
          <w:ilvl w:val="0"/>
          <w:numId w:val="1"/>
        </w:numPr>
        <w:jc w:val="both"/>
        <w:rPr>
          <w:rFonts w:ascii="Verdana" w:hAnsi="Verdana"/>
        </w:rPr>
      </w:pPr>
      <w:r w:rsidRPr="008D14BD">
        <w:rPr>
          <w:rFonts w:ascii="Verdana" w:hAnsi="Verdana"/>
        </w:rPr>
        <w:t>»tobačni izdelki« pomenijo tobačne izdelke, kakor so opredeljeni v členu 2(e) Zakona št. 37/2007 z dne 14. avgusta, kot se glasi;</w:t>
      </w:r>
    </w:p>
    <w:p w14:paraId="6000B528" w14:textId="731A3572" w:rsidR="003A6EB6" w:rsidRPr="008D14BD" w:rsidRDefault="003A6EB6" w:rsidP="00F7675E">
      <w:pPr>
        <w:pStyle w:val="ListParagraph"/>
        <w:numPr>
          <w:ilvl w:val="0"/>
          <w:numId w:val="1"/>
        </w:numPr>
        <w:jc w:val="both"/>
        <w:rPr>
          <w:rFonts w:ascii="Verdana" w:hAnsi="Verdana"/>
        </w:rPr>
      </w:pPr>
      <w:r w:rsidRPr="008D14BD">
        <w:rPr>
          <w:rFonts w:ascii="Verdana" w:hAnsi="Verdana"/>
        </w:rPr>
        <w:t xml:space="preserve">»zbiranje« pomeni zbiranje, kakor je opredeljeno v členu 3(1)(x) splošnega sistema ravnanja z odpadki (GSWM); </w:t>
      </w:r>
    </w:p>
    <w:p w14:paraId="7203E680" w14:textId="77777777" w:rsidR="00397D00" w:rsidRPr="008D14BD" w:rsidRDefault="003A6EB6" w:rsidP="00F7675E">
      <w:pPr>
        <w:pStyle w:val="ListParagraph"/>
        <w:numPr>
          <w:ilvl w:val="0"/>
          <w:numId w:val="1"/>
        </w:numPr>
        <w:jc w:val="both"/>
        <w:rPr>
          <w:rFonts w:ascii="Verdana" w:hAnsi="Verdana"/>
        </w:rPr>
      </w:pPr>
      <w:r w:rsidRPr="008D14BD">
        <w:rPr>
          <w:rFonts w:ascii="Verdana" w:hAnsi="Verdana"/>
        </w:rPr>
        <w:t>»selektivno zbiranje« pomeni selektivno zbiranje, kakor je opredeljeno v členu 3(1)(j) GSWM;</w:t>
      </w:r>
    </w:p>
    <w:p w14:paraId="4F7991B3" w14:textId="1C62BF7C" w:rsidR="00397D00" w:rsidRPr="008D14BD" w:rsidRDefault="00397D00" w:rsidP="00F7675E">
      <w:pPr>
        <w:pStyle w:val="ListParagraph"/>
        <w:numPr>
          <w:ilvl w:val="0"/>
          <w:numId w:val="1"/>
        </w:numPr>
        <w:jc w:val="both"/>
        <w:rPr>
          <w:rFonts w:ascii="Verdana" w:hAnsi="Verdana"/>
        </w:rPr>
      </w:pPr>
      <w:r w:rsidRPr="008D14BD">
        <w:rPr>
          <w:rFonts w:ascii="Verdana" w:hAnsi="Verdana"/>
        </w:rPr>
        <w:t>»obroki za takojšnje uživanje, uživanje na kraju samem in uživanje na domu ali za dostavo na dom« pomenijo obroke, pripravljene za takojšnje uživanje, za uživanje na kraju samem in za dostavo na dom, kakor je opredeljeno v členu 3(1)(ss) Unilex;</w:t>
      </w:r>
    </w:p>
    <w:p w14:paraId="4361DB13" w14:textId="755AE130" w:rsidR="00EC283C" w:rsidRPr="008D14BD" w:rsidRDefault="00EC283C" w:rsidP="00F7675E">
      <w:pPr>
        <w:pStyle w:val="ListParagraph"/>
        <w:numPr>
          <w:ilvl w:val="0"/>
          <w:numId w:val="1"/>
        </w:numPr>
        <w:jc w:val="both"/>
        <w:rPr>
          <w:rFonts w:ascii="Verdana" w:hAnsi="Verdana"/>
        </w:rPr>
      </w:pPr>
      <w:r w:rsidRPr="008D14BD">
        <w:rPr>
          <w:rFonts w:ascii="Verdana" w:hAnsi="Verdana"/>
        </w:rPr>
        <w:t>»shema razširjene odgovornosti proizvajalca« pomeni shemo razširjene odgovornosti proizvajalca, kakor je opredeljena v členu 12 GSWM;</w:t>
      </w:r>
    </w:p>
    <w:p w14:paraId="52DDA252" w14:textId="1BBC69FE" w:rsidR="00EC283C" w:rsidRPr="008D14BD" w:rsidRDefault="00EC283C" w:rsidP="00F7675E">
      <w:pPr>
        <w:pStyle w:val="ListParagraph"/>
        <w:numPr>
          <w:ilvl w:val="0"/>
          <w:numId w:val="1"/>
        </w:numPr>
        <w:jc w:val="both"/>
        <w:rPr>
          <w:rFonts w:ascii="Verdana" w:hAnsi="Verdana"/>
        </w:rPr>
      </w:pPr>
      <w:r w:rsidRPr="008D14BD">
        <w:rPr>
          <w:rFonts w:ascii="Verdana" w:hAnsi="Verdana"/>
        </w:rPr>
        <w:t>»odpadki« pomenijo odpadke, kakor so opredeljeni v členu 3(1)(aa) GSWM;</w:t>
      </w:r>
    </w:p>
    <w:p w14:paraId="0AD5E5B9" w14:textId="244FF434" w:rsidR="00A172F1" w:rsidRPr="008D14BD" w:rsidRDefault="008A723D" w:rsidP="00F7675E">
      <w:pPr>
        <w:pStyle w:val="ListParagraph"/>
        <w:numPr>
          <w:ilvl w:val="0"/>
          <w:numId w:val="1"/>
        </w:numPr>
        <w:jc w:val="both"/>
        <w:rPr>
          <w:rFonts w:ascii="Verdana" w:hAnsi="Verdana"/>
        </w:rPr>
      </w:pPr>
      <w:r w:rsidRPr="008D14BD">
        <w:rPr>
          <w:rFonts w:ascii="Verdana" w:hAnsi="Verdana"/>
        </w:rPr>
        <w:lastRenderedPageBreak/>
        <w:t>»odpadno ribolovno orodje« pomeni vsako ribolovno orodje, zajeto v opredelitvi »odpadkov« iz člena 3(1)(aa) GSWM, vključno z vsemi ločenimi sestavnimi deli, snovmi ali materiali, ki so bili del takšnega ribolovnega orodja ali so bili nanj pritrjeni, ko je bilo zavrženo, vključno s primeri, ko je bilo opuščeno ali izgubljeno;</w:t>
      </w:r>
    </w:p>
    <w:p w14:paraId="3E377B11" w14:textId="325D1AE1" w:rsidR="00A6504A" w:rsidRPr="008D14BD" w:rsidRDefault="00A6504A" w:rsidP="00F7675E">
      <w:pPr>
        <w:pStyle w:val="ListParagraph"/>
        <w:numPr>
          <w:ilvl w:val="0"/>
          <w:numId w:val="1"/>
        </w:numPr>
        <w:jc w:val="both"/>
        <w:rPr>
          <w:rFonts w:ascii="Verdana" w:hAnsi="Verdana"/>
        </w:rPr>
      </w:pPr>
      <w:r w:rsidRPr="008D14BD">
        <w:rPr>
          <w:rFonts w:ascii="Verdana" w:hAnsi="Verdana"/>
        </w:rPr>
        <w:t>»lahke plastične nosilne vrečke« pomenijo lahke plastične nosilne vrečke, kakor so opredeljene v členu 3(1)(eee) Unilex;</w:t>
      </w:r>
    </w:p>
    <w:p w14:paraId="259D1820" w14:textId="46B99296" w:rsidR="00D30E28" w:rsidRPr="008D14BD" w:rsidRDefault="00D30E28" w:rsidP="00F7675E">
      <w:pPr>
        <w:pStyle w:val="ListParagraph"/>
        <w:numPr>
          <w:ilvl w:val="0"/>
          <w:numId w:val="1"/>
        </w:numPr>
        <w:jc w:val="both"/>
        <w:rPr>
          <w:rFonts w:ascii="Verdana" w:hAnsi="Verdana"/>
        </w:rPr>
      </w:pPr>
      <w:r w:rsidRPr="008D14BD">
        <w:rPr>
          <w:rFonts w:ascii="Verdana" w:hAnsi="Verdana"/>
        </w:rPr>
        <w:t>»obdelava« pomeni obdelavo, kakor je opredeljena v členu 3(1)(n) GSWM.</w:t>
      </w:r>
    </w:p>
    <w:p w14:paraId="4ADAA6E6" w14:textId="455D96C3" w:rsidR="00A172F1" w:rsidRPr="008D14BD" w:rsidRDefault="00A172F1" w:rsidP="00A172F1">
      <w:pPr>
        <w:jc w:val="both"/>
        <w:rPr>
          <w:rFonts w:ascii="Verdana" w:hAnsi="Verdana"/>
        </w:rPr>
      </w:pPr>
    </w:p>
    <w:p w14:paraId="6B06554C" w14:textId="2BAEF145" w:rsidR="007B286C" w:rsidRPr="008D14BD" w:rsidRDefault="004D1142" w:rsidP="008D14BD">
      <w:pPr>
        <w:pStyle w:val="Heading1"/>
        <w:tabs>
          <w:tab w:val="clear" w:pos="3969"/>
          <w:tab w:val="left" w:pos="2127"/>
        </w:tabs>
        <w:ind w:firstLine="0"/>
      </w:pPr>
      <w:bookmarkStart w:id="4" w:name="_Ref63690309"/>
      <w:r w:rsidRPr="008D14BD">
        <w:t xml:space="preserve"> </w:t>
      </w:r>
      <w:r w:rsidRPr="008D14BD">
        <w:br/>
        <w:t>Prepoved dajanja v promet</w:t>
      </w:r>
      <w:bookmarkEnd w:id="4"/>
    </w:p>
    <w:p w14:paraId="57C0FD44" w14:textId="6F99CF22" w:rsidR="00D27005" w:rsidRPr="008D14BD" w:rsidRDefault="009870C4" w:rsidP="009870C4">
      <w:pPr>
        <w:pStyle w:val="Heading2"/>
        <w:numPr>
          <w:ilvl w:val="0"/>
          <w:numId w:val="0"/>
        </w:numPr>
        <w:tabs>
          <w:tab w:val="clear" w:pos="1701"/>
          <w:tab w:val="left" w:pos="1276"/>
        </w:tabs>
        <w:ind w:left="426"/>
      </w:pPr>
      <w:r w:rsidRPr="008D14BD">
        <w:t>Člen 4</w:t>
      </w:r>
      <w:r w:rsidRPr="008D14BD">
        <w:br/>
      </w:r>
      <w:bookmarkStart w:id="5" w:name="_Ref63690312"/>
      <w:r w:rsidRPr="008D14BD">
        <w:t>Prepoved dajanja na v promet</w:t>
      </w:r>
      <w:bookmarkEnd w:id="5"/>
      <w:r w:rsidRPr="008D14BD">
        <w:t xml:space="preserve"> plastičnih izdelkov za enkratno uporabo in izdelkov iz oksorazgradljive plastike</w:t>
      </w:r>
    </w:p>
    <w:p w14:paraId="2C461E0D" w14:textId="77777777" w:rsidR="007B286C" w:rsidRPr="008D14BD" w:rsidRDefault="007B286C" w:rsidP="007B286C">
      <w:pPr>
        <w:rPr>
          <w:rFonts w:ascii="Verdana" w:hAnsi="Verdana"/>
        </w:rPr>
      </w:pPr>
    </w:p>
    <w:p w14:paraId="2713E414" w14:textId="77777777" w:rsidR="00D27005" w:rsidRPr="008D14BD" w:rsidRDefault="00D27005" w:rsidP="00C525D6">
      <w:pPr>
        <w:pStyle w:val="ListParagraph"/>
        <w:numPr>
          <w:ilvl w:val="3"/>
          <w:numId w:val="12"/>
        </w:numPr>
        <w:ind w:left="709"/>
        <w:jc w:val="both"/>
        <w:rPr>
          <w:rFonts w:ascii="Verdana" w:hAnsi="Verdana"/>
        </w:rPr>
      </w:pPr>
      <w:r w:rsidRPr="008D14BD">
        <w:rPr>
          <w:rFonts w:ascii="Verdana" w:hAnsi="Verdana"/>
        </w:rPr>
        <w:t xml:space="preserve">Dajanje na trg naslednjih plastičnih izdelkov za enkratno uporabo je prepovedano: </w:t>
      </w:r>
    </w:p>
    <w:p w14:paraId="4121AA08" w14:textId="09262A16" w:rsidR="00D27005" w:rsidRPr="008D14BD" w:rsidRDefault="00D27005" w:rsidP="00C525D6">
      <w:pPr>
        <w:pStyle w:val="ListParagraph"/>
        <w:numPr>
          <w:ilvl w:val="0"/>
          <w:numId w:val="2"/>
        </w:numPr>
        <w:ind w:left="1134" w:hanging="357"/>
        <w:jc w:val="both"/>
        <w:rPr>
          <w:rFonts w:ascii="Verdana" w:hAnsi="Verdana"/>
        </w:rPr>
      </w:pPr>
      <w:r w:rsidRPr="008D14BD">
        <w:rPr>
          <w:rFonts w:ascii="Verdana" w:hAnsi="Verdana"/>
        </w:rPr>
        <w:t>vatirane palčke, razen če spadajo v področje uporabe uredbe z zakonsko močjo št. 145/2009 z dne 17. junija, popravljene z Izjavo o spremembi št. 60-A/2009 z dne 14. avgusta in spremenjene z zakonoma št. 21/2014 z dne 16. aprila in 51/2014 z dne 25. avgusta ter uredbama z zakonsko močjo št. 5/2017 z dne 6. junija in 79/2018 z dne 15. oktobra;</w:t>
      </w:r>
    </w:p>
    <w:p w14:paraId="4384DBC8" w14:textId="77777777" w:rsidR="00D27005" w:rsidRPr="008D14BD" w:rsidRDefault="00D27005" w:rsidP="00C525D6">
      <w:pPr>
        <w:pStyle w:val="ListParagraph"/>
        <w:numPr>
          <w:ilvl w:val="0"/>
          <w:numId w:val="2"/>
        </w:numPr>
        <w:ind w:left="1134" w:hanging="357"/>
        <w:rPr>
          <w:rFonts w:ascii="Verdana" w:hAnsi="Verdana"/>
        </w:rPr>
      </w:pPr>
      <w:r w:rsidRPr="008D14BD">
        <w:rPr>
          <w:rFonts w:ascii="Verdana" w:hAnsi="Verdana"/>
        </w:rPr>
        <w:t xml:space="preserve">pribor (vilice, noži, žlice/žličke, paličice); </w:t>
      </w:r>
    </w:p>
    <w:p w14:paraId="5AF0708E" w14:textId="77777777" w:rsidR="00D27005" w:rsidRPr="008D14BD" w:rsidRDefault="00D27005" w:rsidP="00C525D6">
      <w:pPr>
        <w:pStyle w:val="ListParagraph"/>
        <w:numPr>
          <w:ilvl w:val="0"/>
          <w:numId w:val="2"/>
        </w:numPr>
        <w:ind w:left="1134" w:hanging="357"/>
        <w:rPr>
          <w:rFonts w:ascii="Verdana" w:hAnsi="Verdana"/>
        </w:rPr>
      </w:pPr>
      <w:r w:rsidRPr="008D14BD">
        <w:rPr>
          <w:rFonts w:ascii="Verdana" w:hAnsi="Verdana"/>
        </w:rPr>
        <w:t xml:space="preserve">krožniki; </w:t>
      </w:r>
    </w:p>
    <w:p w14:paraId="551ADCD0" w14:textId="6444964C" w:rsidR="00D27005" w:rsidRPr="008D14BD" w:rsidRDefault="00D27005" w:rsidP="00C525D6">
      <w:pPr>
        <w:pStyle w:val="ListParagraph"/>
        <w:numPr>
          <w:ilvl w:val="0"/>
          <w:numId w:val="2"/>
        </w:numPr>
        <w:ind w:left="1134" w:hanging="357"/>
        <w:jc w:val="both"/>
        <w:rPr>
          <w:rFonts w:ascii="Verdana" w:hAnsi="Verdana"/>
        </w:rPr>
      </w:pPr>
      <w:r w:rsidRPr="008D14BD">
        <w:rPr>
          <w:rFonts w:ascii="Verdana" w:hAnsi="Verdana"/>
        </w:rPr>
        <w:t>slamice, razen če spadajo v področje uporabe uredbe z zakonsko močjo št. 145/2009 z dne 17. junija, popravljene z Izjavo o spremembi št. 60-A/2009 z dne 14. avgusta in spremenjene z zakonoma št. 21/2014 z dne 16. aprila in 51/2014 z dne 25. avgusta ter uredbama z zakonsko močjo št. 5/2017 z dne 6. junija in 79/2018 z dne 15. oktobra;</w:t>
      </w:r>
    </w:p>
    <w:p w14:paraId="0296009E" w14:textId="77777777" w:rsidR="00D27005" w:rsidRPr="008D14BD" w:rsidRDefault="00D27005" w:rsidP="00C525D6">
      <w:pPr>
        <w:pStyle w:val="ListParagraph"/>
        <w:numPr>
          <w:ilvl w:val="0"/>
          <w:numId w:val="2"/>
        </w:numPr>
        <w:ind w:left="1134" w:hanging="357"/>
        <w:rPr>
          <w:rFonts w:ascii="Verdana" w:hAnsi="Verdana"/>
        </w:rPr>
      </w:pPr>
      <w:r w:rsidRPr="008D14BD">
        <w:rPr>
          <w:rFonts w:ascii="Verdana" w:hAnsi="Verdana"/>
        </w:rPr>
        <w:t xml:space="preserve">paličice za mešanje pijač; </w:t>
      </w:r>
    </w:p>
    <w:p w14:paraId="4FA253D6" w14:textId="77777777" w:rsidR="00D27005" w:rsidRPr="008D14BD" w:rsidRDefault="00D27005" w:rsidP="00C525D6">
      <w:pPr>
        <w:pStyle w:val="ListParagraph"/>
        <w:numPr>
          <w:ilvl w:val="0"/>
          <w:numId w:val="2"/>
        </w:numPr>
        <w:ind w:left="1134" w:hanging="357"/>
        <w:jc w:val="both"/>
        <w:rPr>
          <w:rFonts w:ascii="Verdana" w:hAnsi="Verdana"/>
        </w:rPr>
      </w:pPr>
      <w:r w:rsidRPr="008D14BD">
        <w:rPr>
          <w:rFonts w:ascii="Verdana" w:hAnsi="Verdana"/>
        </w:rPr>
        <w:lastRenderedPageBreak/>
        <w:t xml:space="preserve">palčke za pritrditev na balone in podporo balonov, vključno z mehanizmi takih palčk, razen balonov za industrijsko ali drugo poklicno rabo in uporabo, ki se ne delijo potrošnikom; </w:t>
      </w:r>
    </w:p>
    <w:p w14:paraId="2177198E" w14:textId="38DD0DBA" w:rsidR="00D27005" w:rsidRPr="008D14BD" w:rsidRDefault="00D27005" w:rsidP="00C525D6">
      <w:pPr>
        <w:pStyle w:val="ListParagraph"/>
        <w:numPr>
          <w:ilvl w:val="0"/>
          <w:numId w:val="2"/>
        </w:numPr>
        <w:autoSpaceDE w:val="0"/>
        <w:autoSpaceDN w:val="0"/>
        <w:adjustRightInd w:val="0"/>
        <w:ind w:left="1134"/>
        <w:jc w:val="both"/>
        <w:rPr>
          <w:rFonts w:ascii="Verdana" w:hAnsi="Verdana"/>
        </w:rPr>
      </w:pPr>
      <w:r w:rsidRPr="008D14BD">
        <w:rPr>
          <w:rFonts w:ascii="Verdana" w:hAnsi="Verdana"/>
        </w:rPr>
        <w:t>posode za živila iz ekspandiranega polistirena, tj. posode, kot so škatle s pokrovom ali brez njega, ki se uporabljajo za shranjevanje živil, ki:</w:t>
      </w:r>
    </w:p>
    <w:p w14:paraId="711C1AC6" w14:textId="77777777" w:rsidR="00D27005" w:rsidRPr="008D14BD" w:rsidRDefault="00D27005" w:rsidP="00C525D6">
      <w:pPr>
        <w:pStyle w:val="ListParagraph"/>
        <w:numPr>
          <w:ilvl w:val="0"/>
          <w:numId w:val="3"/>
        </w:numPr>
        <w:autoSpaceDE w:val="0"/>
        <w:autoSpaceDN w:val="0"/>
        <w:adjustRightInd w:val="0"/>
        <w:ind w:left="1560" w:hanging="357"/>
        <w:jc w:val="both"/>
        <w:rPr>
          <w:rFonts w:ascii="Verdana" w:hAnsi="Verdana"/>
        </w:rPr>
      </w:pPr>
      <w:r w:rsidRPr="008D14BD">
        <w:rPr>
          <w:rFonts w:ascii="Verdana" w:hAnsi="Verdana"/>
        </w:rPr>
        <w:t xml:space="preserve">so namenjena za takojšnje zaužitje, bodisi na kraju samem ali jih potrošniki odnesejo s seboj; </w:t>
      </w:r>
    </w:p>
    <w:p w14:paraId="5E3C14FD" w14:textId="77777777" w:rsidR="00D27005" w:rsidRPr="008D14BD" w:rsidRDefault="00D27005" w:rsidP="00C525D6">
      <w:pPr>
        <w:pStyle w:val="ListParagraph"/>
        <w:numPr>
          <w:ilvl w:val="0"/>
          <w:numId w:val="3"/>
        </w:numPr>
        <w:autoSpaceDE w:val="0"/>
        <w:autoSpaceDN w:val="0"/>
        <w:adjustRightInd w:val="0"/>
        <w:ind w:left="1560" w:hanging="357"/>
        <w:jc w:val="both"/>
        <w:rPr>
          <w:rFonts w:ascii="Verdana" w:hAnsi="Verdana"/>
        </w:rPr>
      </w:pPr>
      <w:r w:rsidRPr="008D14BD">
        <w:rPr>
          <w:rFonts w:ascii="Verdana" w:hAnsi="Verdana"/>
        </w:rPr>
        <w:t xml:space="preserve">se običajno zaužijejo iz posode in </w:t>
      </w:r>
    </w:p>
    <w:p w14:paraId="41FE1FE0" w14:textId="77777777" w:rsidR="00D27005" w:rsidRPr="008D14BD" w:rsidRDefault="00D27005" w:rsidP="00C525D6">
      <w:pPr>
        <w:pStyle w:val="ListParagraph"/>
        <w:numPr>
          <w:ilvl w:val="0"/>
          <w:numId w:val="3"/>
        </w:numPr>
        <w:autoSpaceDE w:val="0"/>
        <w:autoSpaceDN w:val="0"/>
        <w:adjustRightInd w:val="0"/>
        <w:ind w:left="1560" w:hanging="357"/>
        <w:jc w:val="both"/>
        <w:rPr>
          <w:rFonts w:ascii="Verdana" w:hAnsi="Verdana"/>
        </w:rPr>
      </w:pPr>
      <w:r w:rsidRPr="008D14BD">
        <w:rPr>
          <w:rFonts w:ascii="Verdana" w:hAnsi="Verdana"/>
        </w:rPr>
        <w:t>se jih zaužije brez nadaljnje priprave, kot je kuhanje, vrenje ali segrevanje;</w:t>
      </w:r>
    </w:p>
    <w:p w14:paraId="4D19B8C7" w14:textId="77777777" w:rsidR="00D27005" w:rsidRPr="008D14BD" w:rsidRDefault="00D27005" w:rsidP="00D27005">
      <w:pPr>
        <w:autoSpaceDE w:val="0"/>
        <w:autoSpaceDN w:val="0"/>
        <w:adjustRightInd w:val="0"/>
        <w:ind w:left="1134"/>
        <w:jc w:val="both"/>
        <w:rPr>
          <w:rFonts w:ascii="Verdana" w:hAnsi="Verdana"/>
        </w:rPr>
      </w:pPr>
      <w:r w:rsidRPr="008D14BD">
        <w:rPr>
          <w:rFonts w:ascii="Verdana" w:hAnsi="Verdana"/>
        </w:rPr>
        <w:t>vključno s posodami za živila, ki se uporabljajo za hitro prehrano ali druge obroke, namenjene za takojšnje zaužitje, razen vsebnikov za pijačo, krožnikov, zavitkov in ovojev s hrano;</w:t>
      </w:r>
    </w:p>
    <w:p w14:paraId="6ED2936A" w14:textId="77777777" w:rsidR="00D27005" w:rsidRPr="008D14BD" w:rsidRDefault="00D27005" w:rsidP="00C525D6">
      <w:pPr>
        <w:pStyle w:val="ListParagraph"/>
        <w:numPr>
          <w:ilvl w:val="0"/>
          <w:numId w:val="2"/>
        </w:numPr>
        <w:ind w:left="1134" w:hanging="357"/>
        <w:jc w:val="both"/>
        <w:rPr>
          <w:rFonts w:ascii="Verdana" w:hAnsi="Verdana"/>
        </w:rPr>
      </w:pPr>
      <w:r w:rsidRPr="008D14BD">
        <w:rPr>
          <w:rFonts w:ascii="Verdana" w:hAnsi="Verdana"/>
        </w:rPr>
        <w:t xml:space="preserve">vsebniki za pijačo iz ekspandiranega polistirena, vključno z njihovimi pokrovčki in zamaški; </w:t>
      </w:r>
    </w:p>
    <w:p w14:paraId="1F6E43A5" w14:textId="77777777" w:rsidR="00D27005" w:rsidRPr="008D14BD" w:rsidRDefault="00D27005" w:rsidP="00C525D6">
      <w:pPr>
        <w:pStyle w:val="ListParagraph"/>
        <w:numPr>
          <w:ilvl w:val="0"/>
          <w:numId w:val="2"/>
        </w:numPr>
        <w:ind w:left="1134" w:hanging="357"/>
        <w:jc w:val="both"/>
        <w:rPr>
          <w:rFonts w:ascii="Verdana" w:hAnsi="Verdana"/>
        </w:rPr>
      </w:pPr>
      <w:r w:rsidRPr="008D14BD">
        <w:rPr>
          <w:rFonts w:ascii="Verdana" w:hAnsi="Verdana"/>
        </w:rPr>
        <w:t>skodelice za pijačo iz ekspandiranega polistirena, vključno z njihovimi pokrovčki in zamaški;</w:t>
      </w:r>
    </w:p>
    <w:p w14:paraId="6425C76A" w14:textId="77777777" w:rsidR="00D27005" w:rsidRPr="008D14BD" w:rsidRDefault="00D27005" w:rsidP="00C525D6">
      <w:pPr>
        <w:pStyle w:val="ListParagraph"/>
        <w:numPr>
          <w:ilvl w:val="3"/>
          <w:numId w:val="12"/>
        </w:numPr>
        <w:ind w:left="709"/>
        <w:jc w:val="both"/>
        <w:rPr>
          <w:rFonts w:ascii="Verdana" w:hAnsi="Verdana"/>
        </w:rPr>
      </w:pPr>
      <w:r w:rsidRPr="008D14BD">
        <w:rPr>
          <w:rFonts w:ascii="Verdana" w:hAnsi="Verdana"/>
        </w:rPr>
        <w:t>prav tako je prepovedano dajanje na trg katerega koli izdelka iz oksorazgradljive plastike.</w:t>
      </w:r>
    </w:p>
    <w:p w14:paraId="056DE917" w14:textId="596EE346" w:rsidR="00D27005" w:rsidRPr="008D14BD" w:rsidRDefault="00D27005" w:rsidP="00D27005">
      <w:pPr>
        <w:rPr>
          <w:rFonts w:ascii="Verdana" w:hAnsi="Verdana"/>
        </w:rPr>
      </w:pPr>
    </w:p>
    <w:p w14:paraId="477E39E4" w14:textId="3E1DA0DE" w:rsidR="00F75E18" w:rsidRPr="008D14BD" w:rsidRDefault="009870C4" w:rsidP="009870C4">
      <w:pPr>
        <w:pStyle w:val="Heading2"/>
        <w:numPr>
          <w:ilvl w:val="0"/>
          <w:numId w:val="0"/>
        </w:numPr>
        <w:tabs>
          <w:tab w:val="clear" w:pos="1701"/>
          <w:tab w:val="left" w:pos="1276"/>
        </w:tabs>
        <w:ind w:left="426"/>
      </w:pPr>
      <w:r w:rsidRPr="008D14BD">
        <w:t>Člen 5</w:t>
      </w:r>
      <w:r w:rsidRPr="008D14BD">
        <w:br/>
        <w:t>Dajanje na voljo in uporaba plastičnih izdelkov za enkratno uporabo</w:t>
      </w:r>
    </w:p>
    <w:p w14:paraId="3F98C67D" w14:textId="77777777" w:rsidR="004854CF" w:rsidRPr="008D14BD" w:rsidRDefault="004854CF" w:rsidP="004854CF">
      <w:pPr>
        <w:rPr>
          <w:rFonts w:ascii="Verdana" w:hAnsi="Verdana"/>
        </w:rPr>
      </w:pPr>
    </w:p>
    <w:p w14:paraId="211621E2" w14:textId="364D82F9" w:rsidR="009B01EE" w:rsidRPr="008D14BD" w:rsidRDefault="00433A38" w:rsidP="00C525D6">
      <w:pPr>
        <w:pStyle w:val="ListParagraph"/>
        <w:numPr>
          <w:ilvl w:val="0"/>
          <w:numId w:val="16"/>
        </w:numPr>
        <w:ind w:left="709"/>
        <w:jc w:val="both"/>
        <w:rPr>
          <w:rFonts w:ascii="Verdana" w:hAnsi="Verdana"/>
        </w:rPr>
      </w:pPr>
      <w:bookmarkStart w:id="6" w:name="_Hlk66394718"/>
      <w:r w:rsidRPr="008D14BD">
        <w:rPr>
          <w:rFonts w:ascii="Verdana" w:hAnsi="Verdana"/>
        </w:rPr>
        <w:t>Od 1. julija 2021 restavracije in obrati za strežbo pijač končnemu potrošniku ne smejo dajati na voljo plastičnih izdelkov za enkratno uporabo iz točk (b) do (e) in (g) do (i) člena 4</w:t>
      </w:r>
      <w:bookmarkEnd w:id="6"/>
      <w:r w:rsidRPr="008D14BD">
        <w:rPr>
          <w:rFonts w:ascii="Verdana" w:hAnsi="Verdana"/>
        </w:rPr>
        <w:t xml:space="preserve"> za pijače in obroke za zaužitje na kraju samem. </w:t>
      </w:r>
    </w:p>
    <w:p w14:paraId="34B4D975" w14:textId="191A83D1" w:rsidR="009B01EE" w:rsidRPr="008D14BD" w:rsidRDefault="00433A38" w:rsidP="00C525D6">
      <w:pPr>
        <w:pStyle w:val="ListParagraph"/>
        <w:numPr>
          <w:ilvl w:val="0"/>
          <w:numId w:val="16"/>
        </w:numPr>
        <w:ind w:left="709"/>
        <w:jc w:val="both"/>
        <w:rPr>
          <w:rFonts w:ascii="Verdana" w:hAnsi="Verdana"/>
        </w:rPr>
      </w:pPr>
      <w:bookmarkStart w:id="7" w:name="_Hlk66473615"/>
      <w:r w:rsidRPr="008D14BD">
        <w:rPr>
          <w:rFonts w:ascii="Verdana" w:hAnsi="Verdana"/>
        </w:rPr>
        <w:t xml:space="preserve">Od 1. septembra 2021 se izdelki iz plastike, namenjeni za enkratno uporabo, iz člena 4(b) do (e) in (g) do (i) ne smejo uporabljati za: </w:t>
      </w:r>
    </w:p>
    <w:bookmarkEnd w:id="7"/>
    <w:p w14:paraId="3E234258" w14:textId="10CD24A4" w:rsidR="00EE4CF1" w:rsidRPr="008D14BD" w:rsidRDefault="00710998" w:rsidP="00C525D6">
      <w:pPr>
        <w:pStyle w:val="ListParagraph"/>
        <w:numPr>
          <w:ilvl w:val="1"/>
          <w:numId w:val="15"/>
        </w:numPr>
        <w:spacing w:after="0"/>
        <w:ind w:left="1134"/>
        <w:jc w:val="both"/>
        <w:rPr>
          <w:rFonts w:ascii="Verdana" w:hAnsi="Verdana"/>
        </w:rPr>
      </w:pPr>
      <w:r w:rsidRPr="008D14BD">
        <w:rPr>
          <w:rFonts w:ascii="Verdana" w:hAnsi="Verdana"/>
        </w:rPr>
        <w:t>gostinske storitve ali strežbo pijač strankam, ki ne sedijo;</w:t>
      </w:r>
    </w:p>
    <w:p w14:paraId="77260820" w14:textId="77777777" w:rsidR="0094255D" w:rsidRPr="008D14BD" w:rsidRDefault="00710998" w:rsidP="00C525D6">
      <w:pPr>
        <w:pStyle w:val="ListParagraph"/>
        <w:numPr>
          <w:ilvl w:val="1"/>
          <w:numId w:val="15"/>
        </w:numPr>
        <w:spacing w:after="0"/>
        <w:ind w:left="1134"/>
        <w:jc w:val="both"/>
        <w:rPr>
          <w:rFonts w:ascii="Verdana" w:hAnsi="Verdana"/>
        </w:rPr>
      </w:pPr>
      <w:r w:rsidRPr="008D14BD">
        <w:rPr>
          <w:rFonts w:ascii="Verdana" w:hAnsi="Verdana"/>
        </w:rPr>
        <w:t xml:space="preserve">zagotavljanje storitev strežbe hrane in pijače v javnem prevozu, zlasti v zračnem, železniškem, pomorskem prometu in potovanjih na dolge razdalje; </w:t>
      </w:r>
    </w:p>
    <w:p w14:paraId="2BEE1C84" w14:textId="2A4D6B9C" w:rsidR="002B499A" w:rsidRPr="008D14BD" w:rsidRDefault="00710998" w:rsidP="00C525D6">
      <w:pPr>
        <w:pStyle w:val="ListParagraph"/>
        <w:numPr>
          <w:ilvl w:val="1"/>
          <w:numId w:val="15"/>
        </w:numPr>
        <w:spacing w:after="0"/>
        <w:ind w:left="1134"/>
        <w:jc w:val="both"/>
        <w:rPr>
          <w:rFonts w:ascii="Verdana" w:hAnsi="Verdana"/>
        </w:rPr>
      </w:pPr>
      <w:r w:rsidRPr="008D14BD">
        <w:rPr>
          <w:rFonts w:ascii="Verdana" w:hAnsi="Verdana"/>
        </w:rPr>
        <w:lastRenderedPageBreak/>
        <w:t>druge lokacije , ki ponujajo gostinske storitve ali storitve strežbe pijač;</w:t>
      </w:r>
    </w:p>
    <w:p w14:paraId="736DE681" w14:textId="56E853A4" w:rsidR="00CB2CFD" w:rsidRPr="008D14BD" w:rsidRDefault="002B499A" w:rsidP="00C525D6">
      <w:pPr>
        <w:pStyle w:val="ListParagraph"/>
        <w:numPr>
          <w:ilvl w:val="0"/>
          <w:numId w:val="16"/>
        </w:numPr>
        <w:ind w:left="709"/>
        <w:jc w:val="both"/>
        <w:rPr>
          <w:rFonts w:ascii="Verdana" w:hAnsi="Verdana"/>
        </w:rPr>
      </w:pPr>
      <w:r w:rsidRPr="008D14BD">
        <w:rPr>
          <w:rFonts w:ascii="Verdana" w:hAnsi="Verdana"/>
        </w:rPr>
        <w:t>Od 1. septembra 2021 dalje izdelki iz plastike, namenjeni za enkratno uporabo, iz člena 4(b) do (e) in (g) do (i) ne smejo biti dostopni na trgu v prodaji na drobno.</w:t>
      </w:r>
    </w:p>
    <w:p w14:paraId="61142026" w14:textId="77777777" w:rsidR="00537243" w:rsidRPr="008D14BD" w:rsidRDefault="00537243" w:rsidP="00537243">
      <w:pPr>
        <w:jc w:val="both"/>
        <w:rPr>
          <w:rFonts w:ascii="Verdana" w:hAnsi="Verdana"/>
        </w:rPr>
      </w:pPr>
    </w:p>
    <w:p w14:paraId="62E5A404" w14:textId="00157340" w:rsidR="009820C4" w:rsidRPr="008D14BD" w:rsidRDefault="00537243" w:rsidP="005F42E9">
      <w:pPr>
        <w:pStyle w:val="Heading1"/>
        <w:tabs>
          <w:tab w:val="clear" w:pos="3969"/>
          <w:tab w:val="left" w:pos="2410"/>
        </w:tabs>
      </w:pPr>
      <w:r w:rsidRPr="008D14BD">
        <w:br/>
      </w:r>
      <w:bookmarkStart w:id="8" w:name="_Ref66120157"/>
      <w:r w:rsidRPr="008D14BD">
        <w:t>Zmanjšanje porabe nekaterih proizvodov za enkratno uporabo</w:t>
      </w:r>
      <w:bookmarkEnd w:id="8"/>
    </w:p>
    <w:p w14:paraId="5075E463" w14:textId="593841C0" w:rsidR="003517C6" w:rsidRPr="008D14BD" w:rsidRDefault="009870C4" w:rsidP="009870C4">
      <w:pPr>
        <w:pStyle w:val="Heading2"/>
        <w:numPr>
          <w:ilvl w:val="0"/>
          <w:numId w:val="0"/>
        </w:numPr>
        <w:tabs>
          <w:tab w:val="clear" w:pos="1701"/>
          <w:tab w:val="left" w:pos="1276"/>
        </w:tabs>
        <w:ind w:left="426"/>
      </w:pPr>
      <w:r w:rsidRPr="008D14BD">
        <w:t>Člen 6</w:t>
      </w:r>
      <w:r w:rsidRPr="008D14BD">
        <w:br/>
      </w:r>
      <w:bookmarkStart w:id="9" w:name="_Ref66120163"/>
      <w:r w:rsidRPr="008D14BD">
        <w:t>Proizvodi, ki so zajeti</w:t>
      </w:r>
      <w:bookmarkEnd w:id="9"/>
    </w:p>
    <w:p w14:paraId="70DD4751" w14:textId="77777777" w:rsidR="006610EC" w:rsidRPr="008D14BD" w:rsidRDefault="006610EC" w:rsidP="006610EC">
      <w:pPr>
        <w:rPr>
          <w:rFonts w:ascii="Verdana" w:hAnsi="Verdana"/>
        </w:rPr>
      </w:pPr>
    </w:p>
    <w:p w14:paraId="7F902BC6" w14:textId="241162D0" w:rsidR="003517C6" w:rsidRPr="008D14BD" w:rsidRDefault="002B499A" w:rsidP="00C525D6">
      <w:pPr>
        <w:pStyle w:val="ListParagraph"/>
        <w:numPr>
          <w:ilvl w:val="0"/>
          <w:numId w:val="19"/>
        </w:numPr>
        <w:ind w:left="709"/>
        <w:jc w:val="both"/>
        <w:rPr>
          <w:rFonts w:ascii="Verdana" w:hAnsi="Verdana"/>
        </w:rPr>
      </w:pPr>
      <w:bookmarkStart w:id="10" w:name="_Hlk66395012"/>
      <w:r w:rsidRPr="008D14BD">
        <w:rPr>
          <w:rFonts w:ascii="Verdana" w:hAnsi="Verdana"/>
        </w:rPr>
        <w:t>Cilji in ukrepi iz tega poglavja se uporabljajo</w:t>
      </w:r>
      <w:bookmarkEnd w:id="10"/>
      <w:r w:rsidRPr="008D14BD">
        <w:rPr>
          <w:rFonts w:ascii="Verdana" w:hAnsi="Verdana"/>
        </w:rPr>
        <w:t xml:space="preserve"> za naslednje plastične izdelke za enkratno uporabo:</w:t>
      </w:r>
    </w:p>
    <w:p w14:paraId="4AD81EA3" w14:textId="77777777" w:rsidR="00DB4ADB" w:rsidRPr="008D14BD" w:rsidRDefault="003517C6" w:rsidP="00C525D6">
      <w:pPr>
        <w:pStyle w:val="ListParagraph"/>
        <w:numPr>
          <w:ilvl w:val="0"/>
          <w:numId w:val="21"/>
        </w:numPr>
        <w:spacing w:line="240" w:lineRule="auto"/>
        <w:rPr>
          <w:rFonts w:ascii="Verdana" w:hAnsi="Verdana"/>
        </w:rPr>
      </w:pPr>
      <w:r w:rsidRPr="008D14BD">
        <w:rPr>
          <w:rFonts w:ascii="Verdana" w:hAnsi="Verdana"/>
        </w:rPr>
        <w:t>skodelice za pijačo, vključno s pokrovčki in zamaški;</w:t>
      </w:r>
    </w:p>
    <w:p w14:paraId="759F0DDA" w14:textId="724DD719" w:rsidR="00DB4ADB" w:rsidRPr="008D14BD" w:rsidRDefault="00DB4ADB" w:rsidP="00C525D6">
      <w:pPr>
        <w:pStyle w:val="ListParagraph"/>
        <w:numPr>
          <w:ilvl w:val="0"/>
          <w:numId w:val="21"/>
        </w:numPr>
        <w:spacing w:line="240" w:lineRule="auto"/>
        <w:rPr>
          <w:rFonts w:ascii="Verdana" w:hAnsi="Verdana"/>
        </w:rPr>
      </w:pPr>
      <w:r w:rsidRPr="008D14BD">
        <w:rPr>
          <w:rFonts w:ascii="Verdana" w:hAnsi="Verdana"/>
        </w:rPr>
        <w:t xml:space="preserve">posode za hrano, tj. posode, kot so škatle, s pokrovom ali brez njega, vključno s posodami za hrano za hitro prehrano ali druge obroke, pripravljene za takojšnje uživanje, razen posod za pijačo, krožnikov, zavitkov in ovitkov, ki vsebujejo živila, ki: </w:t>
      </w:r>
    </w:p>
    <w:p w14:paraId="12BD86D7" w14:textId="0A3DCCD8" w:rsidR="003517C6" w:rsidRPr="008D14BD" w:rsidRDefault="003517C6" w:rsidP="00C525D6">
      <w:pPr>
        <w:pStyle w:val="ListParagraph"/>
        <w:numPr>
          <w:ilvl w:val="2"/>
          <w:numId w:val="7"/>
        </w:numPr>
        <w:tabs>
          <w:tab w:val="left" w:pos="1701"/>
        </w:tabs>
        <w:spacing w:line="240" w:lineRule="auto"/>
        <w:ind w:left="1701" w:hanging="283"/>
        <w:rPr>
          <w:rFonts w:ascii="Verdana" w:hAnsi="Verdana"/>
        </w:rPr>
      </w:pPr>
      <w:r w:rsidRPr="008D14BD">
        <w:rPr>
          <w:rFonts w:ascii="Verdana" w:hAnsi="Verdana"/>
        </w:rPr>
        <w:t>so namenjena za takojšnje zaužitje, bodisi na kraju samem ali jih potrošniki odnesejo s seboj,</w:t>
      </w:r>
    </w:p>
    <w:p w14:paraId="668EF09B" w14:textId="77777777" w:rsidR="004854CF" w:rsidRPr="008D14BD" w:rsidRDefault="003517C6" w:rsidP="00C525D6">
      <w:pPr>
        <w:pStyle w:val="ListParagraph"/>
        <w:numPr>
          <w:ilvl w:val="2"/>
          <w:numId w:val="7"/>
        </w:numPr>
        <w:tabs>
          <w:tab w:val="left" w:pos="1701"/>
        </w:tabs>
        <w:spacing w:line="240" w:lineRule="auto"/>
        <w:ind w:left="1701" w:hanging="283"/>
        <w:rPr>
          <w:rFonts w:ascii="Verdana" w:hAnsi="Verdana"/>
        </w:rPr>
      </w:pPr>
      <w:r w:rsidRPr="008D14BD">
        <w:rPr>
          <w:rFonts w:ascii="Verdana" w:hAnsi="Verdana"/>
        </w:rPr>
        <w:t xml:space="preserve">se običajno zaužijejo iz posode in </w:t>
      </w:r>
    </w:p>
    <w:p w14:paraId="731014F2" w14:textId="4EF6A118" w:rsidR="00EE4CF1" w:rsidRPr="008D14BD" w:rsidRDefault="003517C6" w:rsidP="00C525D6">
      <w:pPr>
        <w:pStyle w:val="ListParagraph"/>
        <w:numPr>
          <w:ilvl w:val="2"/>
          <w:numId w:val="7"/>
        </w:numPr>
        <w:tabs>
          <w:tab w:val="left" w:pos="1701"/>
        </w:tabs>
        <w:spacing w:line="240" w:lineRule="auto"/>
        <w:ind w:left="1701" w:hanging="283"/>
        <w:rPr>
          <w:rFonts w:ascii="Verdana" w:hAnsi="Verdana"/>
        </w:rPr>
      </w:pPr>
      <w:r w:rsidRPr="008D14BD">
        <w:rPr>
          <w:rFonts w:ascii="Verdana" w:hAnsi="Verdana"/>
        </w:rPr>
        <w:t>se jih zaužije brez nadaljnje priprave, kot je kuhanje, vrenje ali segrevanje,</w:t>
      </w:r>
    </w:p>
    <w:p w14:paraId="2AD40F3A" w14:textId="3C9B19E0" w:rsidR="00EE4CF1" w:rsidRPr="008D14BD" w:rsidRDefault="00EE4CF1" w:rsidP="00C525D6">
      <w:pPr>
        <w:pStyle w:val="ListParagraph"/>
        <w:numPr>
          <w:ilvl w:val="0"/>
          <w:numId w:val="19"/>
        </w:numPr>
        <w:ind w:left="709"/>
        <w:jc w:val="both"/>
        <w:rPr>
          <w:rFonts w:ascii="Verdana" w:hAnsi="Verdana"/>
        </w:rPr>
      </w:pPr>
      <w:r w:rsidRPr="008D14BD">
        <w:rPr>
          <w:rFonts w:ascii="Verdana" w:hAnsi="Verdana"/>
        </w:rPr>
        <w:t xml:space="preserve">Ukrepi iz tega poglavja se uporabljajo tudi za embalažo za enkratno uporabo iz materialov vseh vrst. </w:t>
      </w:r>
    </w:p>
    <w:p w14:paraId="22D8CA39" w14:textId="2458F658" w:rsidR="00EE4CF1" w:rsidRPr="008D14BD"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8D14BD" w:rsidRDefault="003517C6" w:rsidP="00DA7B55">
      <w:pPr>
        <w:spacing w:line="240" w:lineRule="auto"/>
        <w:rPr>
          <w:rFonts w:ascii="Verdana" w:hAnsi="Verdana"/>
        </w:rPr>
      </w:pPr>
    </w:p>
    <w:p w14:paraId="228E0377" w14:textId="3E6E1736" w:rsidR="006610EC" w:rsidRPr="008D14BD" w:rsidRDefault="009870C4" w:rsidP="009870C4">
      <w:pPr>
        <w:pStyle w:val="Heading2"/>
        <w:numPr>
          <w:ilvl w:val="0"/>
          <w:numId w:val="0"/>
        </w:numPr>
        <w:tabs>
          <w:tab w:val="clear" w:pos="1701"/>
          <w:tab w:val="left" w:pos="1418"/>
        </w:tabs>
        <w:ind w:left="426"/>
      </w:pPr>
      <w:r w:rsidRPr="008D14BD">
        <w:t>Člen 7</w:t>
      </w:r>
      <w:r w:rsidRPr="008D14BD">
        <w:br/>
      </w:r>
      <w:bookmarkStart w:id="11" w:name="_Ref63441995"/>
      <w:r w:rsidRPr="008D14BD">
        <w:t>Nacionalni cilji</w:t>
      </w:r>
      <w:bookmarkEnd w:id="11"/>
    </w:p>
    <w:p w14:paraId="492E42DB" w14:textId="77777777" w:rsidR="006610EC" w:rsidRPr="008D14BD" w:rsidRDefault="006610EC" w:rsidP="006610EC">
      <w:pPr>
        <w:rPr>
          <w:rFonts w:ascii="Verdana" w:hAnsi="Verdana"/>
        </w:rPr>
      </w:pPr>
    </w:p>
    <w:p w14:paraId="5094710A" w14:textId="7A2B46ED" w:rsidR="00272EF8" w:rsidRPr="008D14BD" w:rsidRDefault="00910B5B" w:rsidP="00C525D6">
      <w:pPr>
        <w:pStyle w:val="ListParagraph"/>
        <w:numPr>
          <w:ilvl w:val="0"/>
          <w:numId w:val="20"/>
        </w:numPr>
        <w:ind w:left="709"/>
        <w:jc w:val="both"/>
        <w:rPr>
          <w:rFonts w:ascii="Verdana" w:hAnsi="Verdana"/>
        </w:rPr>
      </w:pPr>
      <w:r w:rsidRPr="008D14BD">
        <w:rPr>
          <w:rFonts w:ascii="Verdana" w:hAnsi="Verdana"/>
        </w:rPr>
        <w:lastRenderedPageBreak/>
        <w:t>Da bi dosegli ambiciozno in trajno zmanjšanje porabe plastičnih izdelkov za enkratno uporabo iz odstavka 1 prejšnjega člena, se določijo naslednji nacionalni cilji:</w:t>
      </w:r>
    </w:p>
    <w:p w14:paraId="69C17B00" w14:textId="3D28CD94" w:rsidR="00272EF8" w:rsidRPr="008D14BD" w:rsidRDefault="00272EF8" w:rsidP="00C525D6">
      <w:pPr>
        <w:pStyle w:val="ListParagraph"/>
        <w:numPr>
          <w:ilvl w:val="0"/>
          <w:numId w:val="22"/>
        </w:numPr>
        <w:spacing w:line="240" w:lineRule="auto"/>
        <w:rPr>
          <w:rFonts w:ascii="Verdana" w:hAnsi="Verdana"/>
        </w:rPr>
      </w:pPr>
      <w:r w:rsidRPr="008D14BD">
        <w:rPr>
          <w:rFonts w:ascii="Verdana" w:hAnsi="Verdana"/>
        </w:rPr>
        <w:t xml:space="preserve">do 31. decembra 2026 zmanjšanje potrošnje za 30 % v primerjavi z letom 2022; </w:t>
      </w:r>
    </w:p>
    <w:p w14:paraId="3E989E32" w14:textId="400E6B2C" w:rsidR="00272EF8" w:rsidRPr="008D14BD" w:rsidRDefault="00272EF8" w:rsidP="00C525D6">
      <w:pPr>
        <w:pStyle w:val="ListParagraph"/>
        <w:numPr>
          <w:ilvl w:val="0"/>
          <w:numId w:val="22"/>
        </w:numPr>
        <w:spacing w:line="240" w:lineRule="auto"/>
        <w:rPr>
          <w:rFonts w:ascii="Verdana" w:hAnsi="Verdana"/>
        </w:rPr>
      </w:pPr>
      <w:r w:rsidRPr="008D14BD">
        <w:rPr>
          <w:rFonts w:ascii="Verdana" w:hAnsi="Verdana"/>
        </w:rPr>
        <w:t>do 31. decembra 2030 zmanjšanje potrošnje za 50 % v primerjavi z letom 2022.</w:t>
      </w:r>
    </w:p>
    <w:p w14:paraId="71F8F0EB" w14:textId="2BB14403" w:rsidR="00397D00" w:rsidRPr="008D14BD" w:rsidRDefault="00272EF8" w:rsidP="00C525D6">
      <w:pPr>
        <w:pStyle w:val="ListParagraph"/>
        <w:numPr>
          <w:ilvl w:val="0"/>
          <w:numId w:val="20"/>
        </w:numPr>
        <w:ind w:left="709"/>
        <w:jc w:val="both"/>
        <w:rPr>
          <w:rFonts w:ascii="Verdana" w:hAnsi="Verdana"/>
        </w:rPr>
      </w:pPr>
      <w:r w:rsidRPr="008D14BD">
        <w:rPr>
          <w:rFonts w:ascii="Verdana" w:hAnsi="Verdana"/>
        </w:rPr>
        <w:t xml:space="preserve">Portugalska agencija za okolje (APA, I.P.) spremlja zmanjšanje porabe plastičnih proizvodov za enkratno uporabo iz prejšnjega odstavka. </w:t>
      </w:r>
    </w:p>
    <w:p w14:paraId="6D006D24" w14:textId="58634EE7" w:rsidR="00CA6349" w:rsidRPr="008D14BD" w:rsidRDefault="00CA6349" w:rsidP="00C525D6">
      <w:pPr>
        <w:pStyle w:val="ListParagraph"/>
        <w:numPr>
          <w:ilvl w:val="0"/>
          <w:numId w:val="20"/>
        </w:numPr>
        <w:ind w:left="709"/>
        <w:jc w:val="both"/>
        <w:rPr>
          <w:rFonts w:ascii="Verdana" w:hAnsi="Verdana"/>
        </w:rPr>
      </w:pPr>
      <w:r w:rsidRPr="008D14BD">
        <w:rPr>
          <w:rFonts w:ascii="Verdana" w:hAnsi="Verdana"/>
        </w:rPr>
        <w:t>Cilji iz odstavka 1 se lahko spremenijo, kadar se to zdi potrebno zaradi tehnoloških ali tržnih razlogov ali zaradi razvoja pravnega reda Evropske unije.</w:t>
      </w:r>
    </w:p>
    <w:p w14:paraId="6497D82A" w14:textId="03A8E60E" w:rsidR="00272EF8" w:rsidRPr="008D14BD" w:rsidRDefault="0001108C" w:rsidP="00C525D6">
      <w:pPr>
        <w:pStyle w:val="ListParagraph"/>
        <w:numPr>
          <w:ilvl w:val="0"/>
          <w:numId w:val="20"/>
        </w:numPr>
        <w:ind w:left="709"/>
        <w:jc w:val="both"/>
        <w:rPr>
          <w:rFonts w:ascii="Verdana" w:hAnsi="Verdana"/>
        </w:rPr>
      </w:pPr>
      <w:r w:rsidRPr="008D14BD">
        <w:rPr>
          <w:rFonts w:ascii="Verdana" w:hAnsi="Verdana"/>
        </w:rPr>
        <w:t xml:space="preserve">Cilji za zmanjšanje iz odstavka 1 se merijo v enotah, danih na trg, brez poseganja v metodologijo za izračun in preverjanje zmanjšanja porabe plastičnih izdelkov za enkratno uporabo, ki jo bo z izvedbenim aktom določila Evropska komisija. </w:t>
      </w:r>
    </w:p>
    <w:p w14:paraId="4A16461A" w14:textId="2C271DA5" w:rsidR="00A75EDB" w:rsidRPr="008D14BD" w:rsidRDefault="004400C2" w:rsidP="00C525D6">
      <w:pPr>
        <w:pStyle w:val="ListParagraph"/>
        <w:numPr>
          <w:ilvl w:val="0"/>
          <w:numId w:val="20"/>
        </w:numPr>
        <w:ind w:left="709"/>
        <w:jc w:val="both"/>
        <w:rPr>
          <w:rFonts w:ascii="Verdana" w:hAnsi="Verdana"/>
        </w:rPr>
      </w:pPr>
      <w:bookmarkStart w:id="12" w:name="_Hlk66286637"/>
      <w:r w:rsidRPr="008D14BD">
        <w:rPr>
          <w:rFonts w:ascii="Verdana" w:hAnsi="Verdana"/>
        </w:rPr>
        <w:t>Če kateri koli od ciljev iz odstavka 1 ni dosežen, vlada preuči sprejetje novih ukrepov, ki lahko med drugim vključujejo določitev omejitev pri trženju teh proizvodov.</w:t>
      </w:r>
    </w:p>
    <w:bookmarkEnd w:id="12"/>
    <w:p w14:paraId="63E08606" w14:textId="77777777" w:rsidR="003F40CB" w:rsidRPr="008D14BD" w:rsidRDefault="003F40CB" w:rsidP="003F40CB">
      <w:pPr>
        <w:pStyle w:val="ListParagraph"/>
        <w:ind w:left="928"/>
        <w:jc w:val="both"/>
        <w:rPr>
          <w:rFonts w:ascii="Verdana" w:hAnsi="Verdana" w:cs="Arial"/>
          <w:color w:val="000000" w:themeColor="text1"/>
        </w:rPr>
      </w:pPr>
    </w:p>
    <w:p w14:paraId="200B45FB" w14:textId="03D3A032" w:rsidR="006610EC" w:rsidRPr="008D14BD" w:rsidRDefault="00AC3F76" w:rsidP="000600E7">
      <w:pPr>
        <w:pStyle w:val="Heading2"/>
        <w:numPr>
          <w:ilvl w:val="0"/>
          <w:numId w:val="0"/>
        </w:numPr>
        <w:tabs>
          <w:tab w:val="clear" w:pos="1701"/>
          <w:tab w:val="left" w:pos="1276"/>
        </w:tabs>
        <w:ind w:left="426"/>
      </w:pPr>
      <w:r w:rsidRPr="008D14BD">
        <w:t>Člen 8</w:t>
      </w:r>
      <w:r w:rsidRPr="008D14BD">
        <w:br/>
        <w:t>Ukrepi</w:t>
      </w:r>
    </w:p>
    <w:p w14:paraId="1030757F" w14:textId="01220FF2" w:rsidR="00D73085" w:rsidRPr="008D14BD" w:rsidRDefault="00D73085" w:rsidP="00C525D6">
      <w:pPr>
        <w:pStyle w:val="ListParagraph"/>
        <w:numPr>
          <w:ilvl w:val="0"/>
          <w:numId w:val="23"/>
        </w:numPr>
        <w:tabs>
          <w:tab w:val="left" w:pos="993"/>
        </w:tabs>
        <w:ind w:left="709"/>
        <w:jc w:val="both"/>
        <w:rPr>
          <w:rFonts w:ascii="Verdana" w:hAnsi="Verdana"/>
        </w:rPr>
      </w:pPr>
      <w:bookmarkStart w:id="13" w:name="_Hlk65426299"/>
      <w:r w:rsidRPr="008D14BD">
        <w:rPr>
          <w:rFonts w:ascii="Verdana" w:hAnsi="Verdana"/>
        </w:rPr>
        <w:t>Od 1. januarja 2023 morajo obrati, ki uporabljajo embalažo za enkratno uporabo za živila in pijače za zagotavljanje pripravljenih obrokov za takojšnje uživanje in prevzem ali dostavo na dom, svojim strankam dati na voljo nadomestne rešitve za ponovno uporabo z zaračunavanjem pologa, ki bo povrnjen ob vrnitvi embalaže v skladu s členom 23 Unilex.</w:t>
      </w:r>
    </w:p>
    <w:bookmarkEnd w:id="13"/>
    <w:p w14:paraId="4BFA6D9C" w14:textId="0D8D0465" w:rsidR="002845B5" w:rsidRPr="008D14BD" w:rsidRDefault="002845B5" w:rsidP="00C525D6">
      <w:pPr>
        <w:pStyle w:val="ListParagraph"/>
        <w:numPr>
          <w:ilvl w:val="0"/>
          <w:numId w:val="23"/>
        </w:numPr>
        <w:tabs>
          <w:tab w:val="left" w:pos="993"/>
        </w:tabs>
        <w:ind w:left="709"/>
        <w:jc w:val="both"/>
        <w:rPr>
          <w:rFonts w:ascii="Verdana" w:hAnsi="Verdana"/>
        </w:rPr>
      </w:pPr>
      <w:r w:rsidRPr="008D14BD">
        <w:rPr>
          <w:rFonts w:ascii="Verdana" w:hAnsi="Verdana"/>
        </w:rPr>
        <w:t>Obrati iz prejšnjega odstavka ne smejo dati na voljo prodajne enote, ki jo sestavljata proizvod in embalaža za večkratno uporabo po višji ceni ali pod manj ugodnimi pogoji v primerjavi s prodajno enoto, ki jo sestavljata isti proizvod in embalaža za enkratno uporabo.</w:t>
      </w:r>
    </w:p>
    <w:p w14:paraId="37D279AC" w14:textId="10E0978B" w:rsidR="002845B5" w:rsidRPr="008D14BD" w:rsidRDefault="002845B5" w:rsidP="00C525D6">
      <w:pPr>
        <w:pStyle w:val="ListParagraph"/>
        <w:numPr>
          <w:ilvl w:val="0"/>
          <w:numId w:val="23"/>
        </w:numPr>
        <w:tabs>
          <w:tab w:val="left" w:pos="993"/>
        </w:tabs>
        <w:ind w:left="709"/>
        <w:jc w:val="both"/>
        <w:rPr>
          <w:rFonts w:ascii="Verdana" w:hAnsi="Verdana"/>
        </w:rPr>
      </w:pPr>
      <w:bookmarkStart w:id="14" w:name="_Hlk65426360"/>
      <w:r w:rsidRPr="008D14BD">
        <w:rPr>
          <w:rFonts w:ascii="Verdana" w:hAnsi="Verdana"/>
        </w:rPr>
        <w:t xml:space="preserve">Obrati iz odstavka 1 s površino, manjšo od 150 kvadratnih metrov, se lahko odločijo, da ne bodo izpolnjevali odstavka 1, brez poseganja v skladnost z obveznostmi iz člena 25b(1) Unilex. </w:t>
      </w:r>
    </w:p>
    <w:bookmarkEnd w:id="14"/>
    <w:p w14:paraId="2092922E" w14:textId="7B8B12EB" w:rsidR="002845B5" w:rsidRPr="008D14BD" w:rsidRDefault="001A4D54" w:rsidP="00C525D6">
      <w:pPr>
        <w:pStyle w:val="ListParagraph"/>
        <w:numPr>
          <w:ilvl w:val="0"/>
          <w:numId w:val="23"/>
        </w:numPr>
        <w:tabs>
          <w:tab w:val="left" w:pos="993"/>
        </w:tabs>
        <w:ind w:left="709"/>
        <w:jc w:val="both"/>
        <w:rPr>
          <w:rFonts w:ascii="Verdana" w:hAnsi="Verdana"/>
        </w:rPr>
      </w:pPr>
      <w:r w:rsidRPr="008D14BD">
        <w:rPr>
          <w:rFonts w:ascii="Verdana" w:hAnsi="Verdana"/>
        </w:rPr>
        <w:t xml:space="preserve">V primeru dobave obrokov za takojšnje uživanje prek prodajnih avtomatov, ki uporabljajo embalažo za enkratno uporabo za živila in pijače, se lahko skladnost z obveznostjo zagotavljanja nadomestnih možnosti za večkratno uporabo zagotovi tako, da se kupcem omogoči, </w:t>
      </w:r>
      <w:r w:rsidRPr="008D14BD">
        <w:rPr>
          <w:rFonts w:ascii="Verdana" w:hAnsi="Verdana"/>
        </w:rPr>
        <w:lastRenderedPageBreak/>
        <w:t>da uporabijo svoje lastne posode, pri čemer je to možnost treba jasno navesti z zagotavljanjem potrebnih informacij.</w:t>
      </w:r>
    </w:p>
    <w:p w14:paraId="2161C326" w14:textId="722EFAC1" w:rsidR="009B01EE" w:rsidRPr="008D14BD" w:rsidRDefault="009B01EE" w:rsidP="00C525D6">
      <w:pPr>
        <w:pStyle w:val="ListParagraph"/>
        <w:numPr>
          <w:ilvl w:val="0"/>
          <w:numId w:val="23"/>
        </w:numPr>
        <w:tabs>
          <w:tab w:val="left" w:pos="993"/>
        </w:tabs>
        <w:ind w:left="709"/>
        <w:jc w:val="both"/>
        <w:rPr>
          <w:rFonts w:ascii="Verdana" w:hAnsi="Verdana"/>
        </w:rPr>
      </w:pPr>
      <w:r w:rsidRPr="008D14BD">
        <w:rPr>
          <w:rFonts w:ascii="Verdana" w:hAnsi="Verdana"/>
        </w:rPr>
        <w:t xml:space="preserve">Od 1. januarja 2022 je v primeru prodaje za zaužitje na kraju samem v vseh restavracijah ali obratih za strežbo pijač obvezna uporaba posode za večkratno uporabo. </w:t>
      </w:r>
    </w:p>
    <w:p w14:paraId="498C4088" w14:textId="694CDB5F" w:rsidR="002845B5" w:rsidRPr="008D14BD" w:rsidRDefault="002845B5" w:rsidP="00C525D6">
      <w:pPr>
        <w:pStyle w:val="ListParagraph"/>
        <w:numPr>
          <w:ilvl w:val="0"/>
          <w:numId w:val="23"/>
        </w:numPr>
        <w:tabs>
          <w:tab w:val="left" w:pos="993"/>
        </w:tabs>
        <w:ind w:left="709"/>
        <w:jc w:val="both"/>
        <w:rPr>
          <w:rFonts w:ascii="Verdana" w:hAnsi="Verdana"/>
        </w:rPr>
      </w:pPr>
      <w:r w:rsidRPr="008D14BD">
        <w:rPr>
          <w:rFonts w:ascii="Verdana" w:hAnsi="Verdana"/>
        </w:rPr>
        <w:t>V skladu z ukrepom iz člena 25a(5) Unilex morajo biti skodelice, ki se dajo na voljo v obratih v sektorju hotelov, restavracij in gostinstva, primerni za ponovno uporabo.</w:t>
      </w:r>
    </w:p>
    <w:p w14:paraId="41413B7A" w14:textId="374ECD6A" w:rsidR="00794BCB" w:rsidRPr="008D14BD" w:rsidRDefault="00794BCB" w:rsidP="00C525D6">
      <w:pPr>
        <w:pStyle w:val="ListParagraph"/>
        <w:numPr>
          <w:ilvl w:val="0"/>
          <w:numId w:val="23"/>
        </w:numPr>
        <w:tabs>
          <w:tab w:val="left" w:pos="993"/>
        </w:tabs>
        <w:ind w:left="709"/>
        <w:jc w:val="both"/>
        <w:rPr>
          <w:rFonts w:ascii="Verdana" w:hAnsi="Verdana"/>
        </w:rPr>
      </w:pPr>
      <w:r w:rsidRPr="008D14BD">
        <w:rPr>
          <w:rFonts w:ascii="Verdana" w:hAnsi="Verdana"/>
        </w:rPr>
        <w:t xml:space="preserve"> Proizvajalci skodelic za pijače in posod za živila iz člena 6(1) morajo posamično ali prek integriranih sistemov upravljanja spodbujati raziskave in razvoj trajnostnih alternativnih rešitev za takšne plastične proizvode za enkratno uporabo, tako da svoje rezultate predložijo APA, I.P. in Generalnemu direktoratu za gospodarske dejavnosti (DGAE) do 30. junija 2024.</w:t>
      </w:r>
    </w:p>
    <w:p w14:paraId="4488AD4B" w14:textId="679C933C" w:rsidR="00794BCB" w:rsidRPr="008D14BD" w:rsidRDefault="00794BCB" w:rsidP="00C525D6">
      <w:pPr>
        <w:pStyle w:val="ListParagraph"/>
        <w:numPr>
          <w:ilvl w:val="0"/>
          <w:numId w:val="23"/>
        </w:numPr>
        <w:tabs>
          <w:tab w:val="left" w:pos="993"/>
        </w:tabs>
        <w:ind w:left="709"/>
        <w:jc w:val="both"/>
        <w:rPr>
          <w:rFonts w:ascii="Verdana" w:hAnsi="Verdana"/>
        </w:rPr>
      </w:pPr>
      <w:r w:rsidRPr="008D14BD">
        <w:rPr>
          <w:rFonts w:ascii="Verdana" w:hAnsi="Verdana"/>
        </w:rPr>
        <w:t>Glede na ugotovitve iz prejšnjega odstavka vlada oceni izvajanje spodbud za projekte inovacij in okoljsko primerne zasnove, ki prispevajo k nadomeščanju plastičnih izdelkov za enkratno uporabo.</w:t>
      </w:r>
    </w:p>
    <w:p w14:paraId="674B59CC" w14:textId="17533D97" w:rsidR="002B55CA" w:rsidRPr="008D14BD" w:rsidRDefault="002845B5" w:rsidP="00C525D6">
      <w:pPr>
        <w:pStyle w:val="ListParagraph"/>
        <w:numPr>
          <w:ilvl w:val="0"/>
          <w:numId w:val="23"/>
        </w:numPr>
        <w:tabs>
          <w:tab w:val="left" w:pos="993"/>
        </w:tabs>
        <w:ind w:left="709"/>
        <w:jc w:val="both"/>
        <w:rPr>
          <w:rFonts w:ascii="Verdana" w:hAnsi="Verdana"/>
        </w:rPr>
      </w:pPr>
      <w:r w:rsidRPr="008D14BD">
        <w:rPr>
          <w:rFonts w:ascii="Verdana" w:hAnsi="Verdana"/>
        </w:rPr>
        <w:t>Prispevati morajo tudi k doseganju ciljev iz člena 7, člena 25b Unilex in člena 320 zakona št. 75-B/2020 z dne 31. decembra.</w:t>
      </w:r>
    </w:p>
    <w:p w14:paraId="3A42FDB6" w14:textId="6F6E9142" w:rsidR="00824535" w:rsidRPr="008D14BD" w:rsidRDefault="00824535" w:rsidP="00C525D6">
      <w:pPr>
        <w:pStyle w:val="ListParagraph"/>
        <w:numPr>
          <w:ilvl w:val="0"/>
          <w:numId w:val="23"/>
        </w:numPr>
        <w:tabs>
          <w:tab w:val="left" w:pos="993"/>
        </w:tabs>
        <w:ind w:left="709"/>
        <w:jc w:val="both"/>
        <w:rPr>
          <w:rFonts w:ascii="Verdana" w:hAnsi="Verdana"/>
        </w:rPr>
      </w:pPr>
      <w:r w:rsidRPr="008D14BD">
        <w:rPr>
          <w:rFonts w:ascii="Verdana" w:hAnsi="Verdana"/>
        </w:rPr>
        <w:t>APA, I.P. in DGAE do 31. decembra 2024 ocenijo potrebo po uvedbi novih ukrepov za podporo doseganju ciljev iz člena 7.</w:t>
      </w:r>
    </w:p>
    <w:p w14:paraId="05FAE9EA" w14:textId="77777777" w:rsidR="00DB4ADB" w:rsidRPr="008D14BD" w:rsidRDefault="00DB4ADB" w:rsidP="00DB4ADB">
      <w:pPr>
        <w:pStyle w:val="CommentText"/>
        <w:ind w:left="928"/>
        <w:jc w:val="both"/>
        <w:rPr>
          <w:rFonts w:ascii="Verdana" w:hAnsi="Verdana"/>
          <w:sz w:val="22"/>
          <w:szCs w:val="22"/>
          <w:shd w:val="clear" w:color="auto" w:fill="F5F5F5"/>
        </w:rPr>
      </w:pPr>
    </w:p>
    <w:p w14:paraId="61C7EC5F" w14:textId="1597687A" w:rsidR="00272EF8" w:rsidRPr="008D14BD" w:rsidRDefault="00272EF8" w:rsidP="00241552">
      <w:pPr>
        <w:pStyle w:val="ListParagraph"/>
        <w:jc w:val="center"/>
        <w:rPr>
          <w:rFonts w:ascii="Verdana" w:hAnsi="Verdana" w:cs="Arial"/>
          <w:sz w:val="21"/>
          <w:szCs w:val="21"/>
        </w:rPr>
      </w:pPr>
    </w:p>
    <w:p w14:paraId="4DC3DC77" w14:textId="0D77645C" w:rsidR="00272EF8" w:rsidRPr="008D14BD" w:rsidRDefault="00AC3F76" w:rsidP="000600E7">
      <w:pPr>
        <w:pStyle w:val="Heading2"/>
        <w:numPr>
          <w:ilvl w:val="0"/>
          <w:numId w:val="0"/>
        </w:numPr>
        <w:tabs>
          <w:tab w:val="clear" w:pos="1701"/>
          <w:tab w:val="left" w:pos="1276"/>
        </w:tabs>
        <w:ind w:left="426"/>
      </w:pPr>
      <w:r w:rsidRPr="008D14BD">
        <w:t>Člen 9</w:t>
      </w:r>
      <w:r w:rsidRPr="008D14BD">
        <w:br/>
        <w:t>Sektorski sporazum</w:t>
      </w:r>
      <w:bookmarkStart w:id="15" w:name="_Ref66120795"/>
    </w:p>
    <w:p w14:paraId="31D06C8D" w14:textId="77777777" w:rsidR="00014396" w:rsidRPr="008D14BD" w:rsidRDefault="00014396" w:rsidP="00014396">
      <w:pPr>
        <w:rPr>
          <w:rFonts w:ascii="Verdana" w:hAnsi="Verdana"/>
        </w:rPr>
      </w:pPr>
    </w:p>
    <w:bookmarkEnd w:id="15"/>
    <w:p w14:paraId="0A4B94C3" w14:textId="7BF6D273" w:rsidR="003517C6" w:rsidRPr="008D14BD" w:rsidRDefault="00544073" w:rsidP="00C525D6">
      <w:pPr>
        <w:pStyle w:val="ListParagraph"/>
        <w:numPr>
          <w:ilvl w:val="0"/>
          <w:numId w:val="25"/>
        </w:numPr>
        <w:tabs>
          <w:tab w:val="left" w:pos="993"/>
        </w:tabs>
        <w:ind w:left="709"/>
        <w:jc w:val="both"/>
        <w:rPr>
          <w:rFonts w:ascii="Verdana" w:hAnsi="Verdana"/>
        </w:rPr>
      </w:pPr>
      <w:r w:rsidRPr="008D14BD">
        <w:rPr>
          <w:rFonts w:ascii="Verdana" w:hAnsi="Verdana"/>
        </w:rPr>
        <w:t>Rezultati, doseženi s sektorskim sporazumom, ki ga sklenejo DGAE in vse predstavniške strukture različnih sektorjev, vključenih v industrijo, trgovino, distribucijo in gostinstvo, morajo prispevati k doseganju ciljev iz poročila.</w:t>
      </w:r>
    </w:p>
    <w:p w14:paraId="58E91BDD" w14:textId="238AB656" w:rsidR="000216F2" w:rsidRPr="008D14BD" w:rsidRDefault="000216F2" w:rsidP="00C525D6">
      <w:pPr>
        <w:pStyle w:val="ListParagraph"/>
        <w:numPr>
          <w:ilvl w:val="0"/>
          <w:numId w:val="25"/>
        </w:numPr>
        <w:tabs>
          <w:tab w:val="left" w:pos="993"/>
        </w:tabs>
        <w:ind w:left="709"/>
        <w:jc w:val="both"/>
        <w:rPr>
          <w:rFonts w:ascii="Verdana" w:hAnsi="Verdana"/>
        </w:rPr>
      </w:pPr>
      <w:r w:rsidRPr="008D14BD">
        <w:rPr>
          <w:rFonts w:ascii="Verdana" w:hAnsi="Verdana"/>
        </w:rPr>
        <w:t xml:space="preserve">Vsak drug subjekt, ki deluje znotraj sektorjev iz prejšnjega odstavka, ki se ni vključil prek predstavniških struktur, lahko prostovoljno pristopi k Sporazumu. </w:t>
      </w:r>
    </w:p>
    <w:p w14:paraId="2B3D80B9" w14:textId="77777777" w:rsidR="00544073" w:rsidRPr="008D14BD" w:rsidRDefault="00544073" w:rsidP="00C525D6">
      <w:pPr>
        <w:pStyle w:val="ListParagraph"/>
        <w:numPr>
          <w:ilvl w:val="0"/>
          <w:numId w:val="25"/>
        </w:numPr>
        <w:tabs>
          <w:tab w:val="left" w:pos="993"/>
        </w:tabs>
        <w:ind w:left="709"/>
        <w:jc w:val="both"/>
        <w:rPr>
          <w:rFonts w:ascii="Verdana" w:hAnsi="Verdana"/>
        </w:rPr>
      </w:pPr>
      <w:bookmarkStart w:id="16" w:name="_Ref66120801"/>
      <w:r w:rsidRPr="008D14BD">
        <w:rPr>
          <w:rFonts w:ascii="Verdana" w:hAnsi="Verdana"/>
        </w:rPr>
        <w:t>Sporazumi iz prejšnjega odstavka morajo izpolnjevati naslednje zahteve:</w:t>
      </w:r>
      <w:bookmarkEnd w:id="16"/>
    </w:p>
    <w:p w14:paraId="380A7111" w14:textId="2AD04D67" w:rsidR="00544073" w:rsidRPr="008D14BD" w:rsidRDefault="00544073" w:rsidP="00C525D6">
      <w:pPr>
        <w:pStyle w:val="ListParagraph"/>
        <w:numPr>
          <w:ilvl w:val="0"/>
          <w:numId w:val="24"/>
        </w:numPr>
        <w:spacing w:line="240" w:lineRule="auto"/>
        <w:rPr>
          <w:rFonts w:ascii="Verdana" w:hAnsi="Verdana"/>
        </w:rPr>
      </w:pPr>
      <w:r w:rsidRPr="008D14BD">
        <w:rPr>
          <w:rFonts w:ascii="Verdana" w:hAnsi="Verdana"/>
        </w:rPr>
        <w:lastRenderedPageBreak/>
        <w:t>Sporazumi morajo določati cilje, sektorske ukrepe in ustrezne roke, odvisno od sektorja, vrste proizvodov in/ali velikosti zadevnih subjektov;</w:t>
      </w:r>
    </w:p>
    <w:p w14:paraId="03A0617C" w14:textId="6F08D608" w:rsidR="00544073" w:rsidRPr="008D14BD" w:rsidRDefault="00544073" w:rsidP="00C525D6">
      <w:pPr>
        <w:pStyle w:val="ListParagraph"/>
        <w:numPr>
          <w:ilvl w:val="0"/>
          <w:numId w:val="24"/>
        </w:numPr>
        <w:spacing w:line="240" w:lineRule="auto"/>
        <w:rPr>
          <w:rFonts w:ascii="Verdana" w:hAnsi="Verdana"/>
        </w:rPr>
      </w:pPr>
      <w:r w:rsidRPr="008D14BD">
        <w:rPr>
          <w:rFonts w:ascii="Verdana" w:hAnsi="Verdana"/>
        </w:rPr>
        <w:t>rezultati, dosežene v okviru sporazumov, bodo predmet vsakoletnega spremljanja s strani DGAE, ki jih pod pogoji, določnimi v samem sporazumu, da na voljo javnosti;</w:t>
      </w:r>
    </w:p>
    <w:p w14:paraId="1B81D803" w14:textId="77777777" w:rsidR="00A21790" w:rsidRPr="008D14BD" w:rsidRDefault="00284CB1" w:rsidP="00C525D6">
      <w:pPr>
        <w:pStyle w:val="ListParagraph"/>
        <w:numPr>
          <w:ilvl w:val="0"/>
          <w:numId w:val="24"/>
        </w:numPr>
        <w:spacing w:line="240" w:lineRule="auto"/>
        <w:rPr>
          <w:rFonts w:ascii="Verdana" w:hAnsi="Verdana"/>
        </w:rPr>
      </w:pPr>
      <w:r w:rsidRPr="008D14BD">
        <w:rPr>
          <w:rFonts w:ascii="Verdana" w:hAnsi="Verdana"/>
        </w:rPr>
        <w:t>sporazumi se objavijo na spletni strani DGAE.</w:t>
      </w:r>
    </w:p>
    <w:p w14:paraId="2B468A49" w14:textId="699C2C5C" w:rsidR="00284CB1" w:rsidRPr="008D14BD" w:rsidRDefault="00A21790" w:rsidP="00C525D6">
      <w:pPr>
        <w:pStyle w:val="ListParagraph"/>
        <w:numPr>
          <w:ilvl w:val="0"/>
          <w:numId w:val="25"/>
        </w:numPr>
        <w:tabs>
          <w:tab w:val="left" w:pos="993"/>
        </w:tabs>
        <w:ind w:left="709"/>
        <w:jc w:val="both"/>
        <w:rPr>
          <w:rFonts w:ascii="Verdana" w:hAnsi="Verdana"/>
        </w:rPr>
      </w:pPr>
      <w:r w:rsidRPr="008D14BD">
        <w:rPr>
          <w:rFonts w:ascii="Verdana" w:hAnsi="Verdana"/>
        </w:rPr>
        <w:t>Vse informacije, ki izhajajo iz spremljanja sektorskih ureditev iz točke (b) prejšnjega odstavka in prispevajo k oceni zmanjšanja porabe plastičnih proizvodov za enkratno uporabo, se vsako leto pošljejo APA, I.P.</w:t>
      </w:r>
    </w:p>
    <w:p w14:paraId="402788C3" w14:textId="0921CCEE" w:rsidR="00743415" w:rsidRPr="008D14BD" w:rsidRDefault="00544073" w:rsidP="00C525D6">
      <w:pPr>
        <w:pStyle w:val="ListParagraph"/>
        <w:numPr>
          <w:ilvl w:val="0"/>
          <w:numId w:val="25"/>
        </w:numPr>
        <w:tabs>
          <w:tab w:val="left" w:pos="993"/>
        </w:tabs>
        <w:ind w:left="709"/>
        <w:jc w:val="both"/>
        <w:rPr>
          <w:rFonts w:ascii="Verdana" w:hAnsi="Verdana"/>
        </w:rPr>
      </w:pPr>
      <w:r w:rsidRPr="008D14BD">
        <w:rPr>
          <w:rFonts w:ascii="Verdana" w:hAnsi="Verdana"/>
        </w:rPr>
        <w:t xml:space="preserve">Sporazumi iz prejšnjih odstavkov se pripravijo in objavijo do 30. junija 2023. </w:t>
      </w:r>
    </w:p>
    <w:p w14:paraId="0324057B" w14:textId="77777777" w:rsidR="00284CB1" w:rsidRPr="008D14BD" w:rsidRDefault="00284CB1" w:rsidP="00407DEE">
      <w:pPr>
        <w:pStyle w:val="ListParagraph"/>
        <w:ind w:left="928"/>
        <w:jc w:val="both"/>
        <w:rPr>
          <w:rFonts w:ascii="Verdana" w:hAnsi="Verdana" w:cs="Arial"/>
        </w:rPr>
      </w:pPr>
    </w:p>
    <w:p w14:paraId="21D34718" w14:textId="4B6E5EB2" w:rsidR="00D61808" w:rsidRPr="008D14BD" w:rsidRDefault="008A461E" w:rsidP="008A461E">
      <w:pPr>
        <w:pStyle w:val="Heading1"/>
        <w:tabs>
          <w:tab w:val="clear" w:pos="3969"/>
          <w:tab w:val="left" w:pos="2268"/>
          <w:tab w:val="left" w:pos="2410"/>
        </w:tabs>
      </w:pPr>
      <w:r w:rsidRPr="008D14BD">
        <w:br/>
        <w:t>Zahteve za plastične proizvode za enkratno uporabo</w:t>
      </w:r>
    </w:p>
    <w:p w14:paraId="4261089B" w14:textId="77777777" w:rsidR="00F256AF" w:rsidRPr="008D14BD" w:rsidRDefault="00F256AF" w:rsidP="00DA7B55">
      <w:pPr>
        <w:autoSpaceDE w:val="0"/>
        <w:autoSpaceDN w:val="0"/>
        <w:adjustRightInd w:val="0"/>
        <w:rPr>
          <w:rFonts w:ascii="Verdana" w:hAnsi="Verdana" w:cs="EU Albertina"/>
          <w:color w:val="000000"/>
        </w:rPr>
      </w:pPr>
    </w:p>
    <w:p w14:paraId="1DDF2FB0" w14:textId="56BF29EE" w:rsidR="000B1395" w:rsidRPr="008D14BD" w:rsidRDefault="00AC3F76" w:rsidP="000600E7">
      <w:pPr>
        <w:pStyle w:val="Heading2"/>
        <w:numPr>
          <w:ilvl w:val="0"/>
          <w:numId w:val="0"/>
        </w:numPr>
        <w:tabs>
          <w:tab w:val="clear" w:pos="1701"/>
          <w:tab w:val="left" w:pos="1276"/>
        </w:tabs>
        <w:ind w:left="426"/>
      </w:pPr>
      <w:bookmarkStart w:id="17" w:name="_Ref66120924"/>
      <w:r w:rsidRPr="008D14BD">
        <w:t>Člen 10</w:t>
      </w:r>
      <w:r w:rsidRPr="008D14BD">
        <w:br/>
      </w:r>
      <w:bookmarkEnd w:id="17"/>
      <w:r w:rsidRPr="008D14BD">
        <w:t>Zahteve glede zasnove posode za pijačo</w:t>
      </w:r>
    </w:p>
    <w:p w14:paraId="32932739" w14:textId="77777777" w:rsidR="006610EC" w:rsidRPr="008D14BD" w:rsidRDefault="006610EC" w:rsidP="000B1395">
      <w:pPr>
        <w:jc w:val="center"/>
        <w:rPr>
          <w:rFonts w:ascii="Verdana" w:hAnsi="Verdana"/>
          <w:b/>
        </w:rPr>
      </w:pPr>
    </w:p>
    <w:p w14:paraId="3F2E2D86" w14:textId="4AAAD1B0" w:rsidR="000B1395" w:rsidRPr="008D14BD" w:rsidRDefault="000B1395" w:rsidP="00C525D6">
      <w:pPr>
        <w:pStyle w:val="ListParagraph"/>
        <w:numPr>
          <w:ilvl w:val="0"/>
          <w:numId w:val="26"/>
        </w:numPr>
        <w:tabs>
          <w:tab w:val="left" w:pos="993"/>
        </w:tabs>
        <w:ind w:left="709"/>
        <w:jc w:val="both"/>
        <w:rPr>
          <w:rFonts w:ascii="Verdana" w:hAnsi="Verdana"/>
        </w:rPr>
      </w:pPr>
      <w:r w:rsidRPr="008D14BD">
        <w:rPr>
          <w:rFonts w:ascii="Verdana" w:hAnsi="Verdana"/>
        </w:rPr>
        <w:t>Od 3. julija 2024 plastične posode za enkratno uporabo za pijače s prostornino do treh litrov, tj. posode, ki se uporabljajo za tekočino, kot so steklenice za pijačo in sestavljena embalaža z pijačo, vključno z njihovimi pokrovčki in zamaški, kadar so navedeni pokrovčki in zamaški v fazi predvidene uporabe proizvoda pritrjeni na posodo.</w:t>
      </w:r>
    </w:p>
    <w:p w14:paraId="6995420C" w14:textId="45131C9A" w:rsidR="000B1395" w:rsidRPr="008D14BD" w:rsidRDefault="00407DEE" w:rsidP="00C525D6">
      <w:pPr>
        <w:pStyle w:val="ListParagraph"/>
        <w:numPr>
          <w:ilvl w:val="0"/>
          <w:numId w:val="26"/>
        </w:numPr>
        <w:tabs>
          <w:tab w:val="left" w:pos="993"/>
        </w:tabs>
        <w:ind w:left="709"/>
        <w:jc w:val="both"/>
        <w:rPr>
          <w:rFonts w:ascii="Verdana" w:hAnsi="Verdana"/>
        </w:rPr>
      </w:pPr>
      <w:r w:rsidRPr="008D14BD">
        <w:rPr>
          <w:rFonts w:ascii="Verdana" w:hAnsi="Verdana"/>
        </w:rPr>
        <w:t>Iz prejšnjega odstavka so izključeni:</w:t>
      </w:r>
    </w:p>
    <w:p w14:paraId="1E13B46E" w14:textId="77777777" w:rsidR="000B1395" w:rsidRPr="008D14BD" w:rsidRDefault="000B1395" w:rsidP="00C525D6">
      <w:pPr>
        <w:pStyle w:val="ListParagraph"/>
        <w:numPr>
          <w:ilvl w:val="0"/>
          <w:numId w:val="27"/>
        </w:numPr>
        <w:spacing w:line="240" w:lineRule="auto"/>
        <w:rPr>
          <w:rFonts w:ascii="Verdana" w:hAnsi="Verdana"/>
        </w:rPr>
      </w:pPr>
      <w:r w:rsidRPr="008D14BD">
        <w:rPr>
          <w:rFonts w:ascii="Verdana" w:hAnsi="Verdana"/>
        </w:rPr>
        <w:t xml:space="preserve">– stekleni ali kovinski vsebniki za pijače, katerih pokrovčki in zamaški so izdelani iz plastike; </w:t>
      </w:r>
    </w:p>
    <w:p w14:paraId="74FDB347" w14:textId="77777777" w:rsidR="000B1395" w:rsidRPr="008D14BD" w:rsidRDefault="000B1395" w:rsidP="00C525D6">
      <w:pPr>
        <w:pStyle w:val="ListParagraph"/>
        <w:numPr>
          <w:ilvl w:val="0"/>
          <w:numId w:val="27"/>
        </w:numPr>
        <w:spacing w:line="240" w:lineRule="auto"/>
        <w:rPr>
          <w:rFonts w:ascii="Verdana" w:hAnsi="Verdana"/>
        </w:rPr>
      </w:pPr>
      <w:r w:rsidRPr="008D14BD">
        <w:rPr>
          <w:rFonts w:ascii="Verdana" w:hAnsi="Verdana"/>
        </w:rPr>
        <w:t>– posode za pijačo, ki so namenjene in se uporabljajo za živila za posebne zdravstvene namene, ki so opredeljeni v členu 2(g) Uredbe (EU) št. 609/2013 Evropskega parlamenta in Sveta (3), ki so v tekoči obliki.</w:t>
      </w:r>
    </w:p>
    <w:p w14:paraId="43D3AA65" w14:textId="0B3AC49C" w:rsidR="000B1395" w:rsidRPr="008D14BD" w:rsidRDefault="000B1395" w:rsidP="00C525D6">
      <w:pPr>
        <w:pStyle w:val="ListParagraph"/>
        <w:numPr>
          <w:ilvl w:val="0"/>
          <w:numId w:val="26"/>
        </w:numPr>
        <w:tabs>
          <w:tab w:val="left" w:pos="993"/>
        </w:tabs>
        <w:ind w:left="709"/>
        <w:jc w:val="both"/>
        <w:rPr>
          <w:rFonts w:ascii="Verdana" w:hAnsi="Verdana"/>
        </w:rPr>
      </w:pPr>
      <w:r w:rsidRPr="008D14BD">
        <w:rPr>
          <w:rFonts w:ascii="Verdana" w:hAnsi="Verdana"/>
        </w:rPr>
        <w:t>Za namene zgornjih odstavkov se kovinski pokrovčki ali zamaški s plastičnimi tesnili ne štejejo za plastične.</w:t>
      </w:r>
    </w:p>
    <w:p w14:paraId="2A3CCB6B" w14:textId="21E6BCBC" w:rsidR="000B1395" w:rsidRPr="008D14BD" w:rsidRDefault="000B1395" w:rsidP="00C525D6">
      <w:pPr>
        <w:pStyle w:val="ListParagraph"/>
        <w:numPr>
          <w:ilvl w:val="0"/>
          <w:numId w:val="26"/>
        </w:numPr>
        <w:tabs>
          <w:tab w:val="left" w:pos="993"/>
        </w:tabs>
        <w:ind w:left="709"/>
        <w:jc w:val="both"/>
        <w:rPr>
          <w:rFonts w:ascii="Verdana" w:hAnsi="Verdana"/>
        </w:rPr>
      </w:pPr>
      <w:r w:rsidRPr="008D14BD">
        <w:rPr>
          <w:rFonts w:ascii="Verdana" w:hAnsi="Verdana"/>
        </w:rPr>
        <w:t xml:space="preserve">Za namene tega člena se za plastične proizvode za enkratno uporabo iz odstavka 1 domneva, da so skladni z usklajenimi standardi na tem </w:t>
      </w:r>
      <w:r w:rsidRPr="008D14BD">
        <w:rPr>
          <w:rFonts w:ascii="Verdana" w:hAnsi="Verdana"/>
        </w:rPr>
        <w:lastRenderedPageBreak/>
        <w:t>področju ali z delom, ki se zanje uporablja in ki se objavi na ravni Evropske unije v skladu z zahtevami iz odstavka 1.</w:t>
      </w:r>
    </w:p>
    <w:p w14:paraId="14D80B17" w14:textId="77777777" w:rsidR="000B1395" w:rsidRPr="008D14BD" w:rsidRDefault="000B1395" w:rsidP="000B1395">
      <w:pPr>
        <w:rPr>
          <w:rFonts w:ascii="Verdana" w:hAnsi="Verdana"/>
        </w:rPr>
      </w:pPr>
    </w:p>
    <w:p w14:paraId="47E09CB1" w14:textId="6E6EEAB2" w:rsidR="00910B5B" w:rsidRPr="008D14BD" w:rsidRDefault="00AC3F76" w:rsidP="000600E7">
      <w:pPr>
        <w:pStyle w:val="Heading2"/>
        <w:numPr>
          <w:ilvl w:val="0"/>
          <w:numId w:val="0"/>
        </w:numPr>
        <w:ind w:left="426"/>
      </w:pPr>
      <w:bookmarkStart w:id="18" w:name="_Ref66120945"/>
      <w:r w:rsidRPr="008D14BD">
        <w:t>Člen 11</w:t>
      </w:r>
      <w:r w:rsidRPr="008D14BD">
        <w:br/>
      </w:r>
      <w:bookmarkEnd w:id="18"/>
      <w:r w:rsidRPr="008D14BD">
        <w:t>Zahteve za vključitev reciklirane plastike v steklenice za pijačo</w:t>
      </w:r>
    </w:p>
    <w:p w14:paraId="71D0ED01" w14:textId="77777777" w:rsidR="00C756A3" w:rsidRPr="008D14BD" w:rsidRDefault="00C756A3" w:rsidP="00C756A3">
      <w:pPr>
        <w:rPr>
          <w:rFonts w:ascii="Verdana" w:hAnsi="Verdana"/>
        </w:rPr>
      </w:pPr>
    </w:p>
    <w:p w14:paraId="293CC75C" w14:textId="0F21C308" w:rsidR="00910B5B" w:rsidRPr="008D14BD"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rsidRPr="008D14BD">
        <w:rPr>
          <w:rFonts w:ascii="Verdana" w:hAnsi="Verdana"/>
        </w:rPr>
        <w:t>Od 1. januarja 2025 morajo plastenke za enkratno uporabo za pijače s prostornino do treh litrov, vključno z njihovimi pokrovčki in zamaški, izdelanimi iz polietilen tereftalata kot glavne sestavine (»steklenice PET«), vsebovati najmanj 25 % reciklirane plastike, izračunane kot povprečje za vse plastenke PET, dane na trg</w:t>
      </w:r>
      <w:bookmarkEnd w:id="19"/>
      <w:r w:rsidRPr="008D14BD">
        <w:rPr>
          <w:rFonts w:ascii="Verdana" w:hAnsi="Verdana"/>
        </w:rPr>
        <w:t>.</w:t>
      </w:r>
      <w:bookmarkEnd w:id="20"/>
    </w:p>
    <w:p w14:paraId="1BB8DA42" w14:textId="46544031" w:rsidR="00910B5B" w:rsidRPr="008D14BD" w:rsidRDefault="00910B5B" w:rsidP="00C525D6">
      <w:pPr>
        <w:pStyle w:val="ListParagraph"/>
        <w:numPr>
          <w:ilvl w:val="0"/>
          <w:numId w:val="28"/>
        </w:numPr>
        <w:tabs>
          <w:tab w:val="left" w:pos="993"/>
        </w:tabs>
        <w:ind w:left="709"/>
        <w:jc w:val="both"/>
        <w:rPr>
          <w:rFonts w:ascii="Verdana" w:hAnsi="Verdana"/>
        </w:rPr>
      </w:pPr>
      <w:bookmarkStart w:id="21" w:name="_Ref66120985"/>
      <w:r w:rsidRPr="008D14BD">
        <w:rPr>
          <w:rFonts w:ascii="Verdana" w:hAnsi="Verdana"/>
        </w:rPr>
        <w:t>Od 1. januarja 2030 morajo plastenke za enkratno uporabo za pijače s prostornino do treh litrov, vključno z njihovimi pokrovčki in zamaški, vsebovati vsaj 30 % reciklirane plastike, izračunane kot povprečje za vse steklenice za pijače, dane na trg.</w:t>
      </w:r>
      <w:bookmarkEnd w:id="21"/>
    </w:p>
    <w:p w14:paraId="1D99D48B" w14:textId="667F57C9" w:rsidR="00910B5B" w:rsidRPr="008D14BD" w:rsidRDefault="00910B5B" w:rsidP="00C525D6">
      <w:pPr>
        <w:pStyle w:val="ListParagraph"/>
        <w:numPr>
          <w:ilvl w:val="0"/>
          <w:numId w:val="28"/>
        </w:numPr>
        <w:tabs>
          <w:tab w:val="left" w:pos="993"/>
        </w:tabs>
        <w:ind w:left="709"/>
        <w:jc w:val="both"/>
        <w:rPr>
          <w:rFonts w:ascii="Verdana" w:hAnsi="Verdana"/>
        </w:rPr>
      </w:pPr>
      <w:r w:rsidRPr="008D14BD">
        <w:rPr>
          <w:rFonts w:ascii="Verdana" w:hAnsi="Verdana"/>
        </w:rPr>
        <w:t xml:space="preserve">Iz odstavkov 1 in 2 tega člena je izključeno naslednje: </w:t>
      </w:r>
    </w:p>
    <w:p w14:paraId="317BA5AC" w14:textId="1FBF2639" w:rsidR="00910B5B" w:rsidRPr="008D14BD" w:rsidRDefault="00910B5B" w:rsidP="00C525D6">
      <w:pPr>
        <w:pStyle w:val="ListParagraph"/>
        <w:numPr>
          <w:ilvl w:val="0"/>
          <w:numId w:val="29"/>
        </w:numPr>
        <w:spacing w:line="240" w:lineRule="auto"/>
        <w:rPr>
          <w:rFonts w:ascii="Verdana" w:hAnsi="Verdana"/>
        </w:rPr>
      </w:pPr>
      <w:r w:rsidRPr="008D14BD">
        <w:rPr>
          <w:rFonts w:ascii="Verdana" w:hAnsi="Verdana"/>
        </w:rPr>
        <w:t>steklene ali kovinske steklenice za pijače s pokrovčki in zamaški iz plastike;</w:t>
      </w:r>
    </w:p>
    <w:p w14:paraId="6F8F94C4" w14:textId="77777777" w:rsidR="00910B5B" w:rsidRPr="008D14BD" w:rsidRDefault="00910B5B" w:rsidP="00C525D6">
      <w:pPr>
        <w:pStyle w:val="ListParagraph"/>
        <w:numPr>
          <w:ilvl w:val="0"/>
          <w:numId w:val="29"/>
        </w:numPr>
        <w:spacing w:line="240" w:lineRule="auto"/>
        <w:rPr>
          <w:rFonts w:ascii="Verdana" w:hAnsi="Verdana"/>
        </w:rPr>
      </w:pPr>
      <w:r w:rsidRPr="008D14BD">
        <w:rPr>
          <w:rFonts w:ascii="Verdana" w:hAnsi="Verdana"/>
        </w:rPr>
        <w:t xml:space="preserve">steklenice za pijače, namenjene in uporabljene za živila za posebne zdravstvene namene, kot so opredeljeni v členu 2(g) Uredbe (EU) št. 609/2013, ki so v tekoči obliki. </w:t>
      </w:r>
    </w:p>
    <w:p w14:paraId="724B28DF" w14:textId="77777777" w:rsidR="00910B5B" w:rsidRPr="008D14BD" w:rsidRDefault="00910B5B" w:rsidP="00C525D6">
      <w:pPr>
        <w:pStyle w:val="ListParagraph"/>
        <w:numPr>
          <w:ilvl w:val="0"/>
          <w:numId w:val="28"/>
        </w:numPr>
        <w:tabs>
          <w:tab w:val="left" w:pos="993"/>
        </w:tabs>
        <w:ind w:left="709"/>
        <w:jc w:val="both"/>
        <w:rPr>
          <w:rFonts w:ascii="Verdana" w:hAnsi="Verdana"/>
        </w:rPr>
      </w:pPr>
      <w:r w:rsidRPr="008D14BD">
        <w:rPr>
          <w:rFonts w:ascii="Verdana" w:hAnsi="Verdana"/>
        </w:rPr>
        <w:t>Za namene tega člena se kovinski pokrovčki ali zamaški s plastičnimi tesnili ne štejejo za plastične.</w:t>
      </w:r>
    </w:p>
    <w:p w14:paraId="46E244C4" w14:textId="4F894862" w:rsidR="007E1EED" w:rsidRPr="008D14BD" w:rsidRDefault="00910B5B" w:rsidP="00C525D6">
      <w:pPr>
        <w:pStyle w:val="ListParagraph"/>
        <w:numPr>
          <w:ilvl w:val="0"/>
          <w:numId w:val="28"/>
        </w:numPr>
        <w:tabs>
          <w:tab w:val="left" w:pos="993"/>
        </w:tabs>
        <w:ind w:left="709"/>
        <w:jc w:val="both"/>
        <w:rPr>
          <w:rFonts w:ascii="Verdana" w:hAnsi="Verdana"/>
        </w:rPr>
      </w:pPr>
      <w:r w:rsidRPr="008D14BD">
        <w:rPr>
          <w:rFonts w:ascii="Verdana" w:hAnsi="Verdana"/>
        </w:rPr>
        <w:t>Odstotkov iz odstavkov 1 in 2 se mora vsako leto držati vsak embaler, ki daje svoje steklenice v promet.</w:t>
      </w:r>
    </w:p>
    <w:p w14:paraId="486BF503" w14:textId="1E9AB095" w:rsidR="00910B5B" w:rsidRPr="008D14BD" w:rsidRDefault="007E1EED" w:rsidP="00C525D6">
      <w:pPr>
        <w:pStyle w:val="ListParagraph"/>
        <w:numPr>
          <w:ilvl w:val="0"/>
          <w:numId w:val="28"/>
        </w:numPr>
        <w:tabs>
          <w:tab w:val="left" w:pos="993"/>
        </w:tabs>
        <w:ind w:left="709"/>
        <w:jc w:val="both"/>
        <w:rPr>
          <w:rFonts w:ascii="Verdana" w:hAnsi="Verdana"/>
        </w:rPr>
      </w:pPr>
      <w:r w:rsidRPr="008D14BD">
        <w:rPr>
          <w:rFonts w:ascii="Verdana" w:hAnsi="Verdana"/>
        </w:rPr>
        <w:t>Embalerji morajo na zahtevo pristojnih organov predložiti ustrezno dokazilo o količini reciklirane plastike v steklenicah za pijačo, zlasti s pomočjo izjav svojih proizvajalcev ali dobaviteljev.</w:t>
      </w:r>
    </w:p>
    <w:p w14:paraId="70A3539F" w14:textId="60AAB4A9" w:rsidR="00910B5B" w:rsidRPr="008D14BD" w:rsidRDefault="00910B5B" w:rsidP="00C525D6">
      <w:pPr>
        <w:pStyle w:val="ListParagraph"/>
        <w:numPr>
          <w:ilvl w:val="0"/>
          <w:numId w:val="28"/>
        </w:numPr>
        <w:tabs>
          <w:tab w:val="left" w:pos="993"/>
        </w:tabs>
        <w:ind w:left="709"/>
        <w:jc w:val="both"/>
        <w:rPr>
          <w:rFonts w:ascii="Verdana" w:hAnsi="Verdana"/>
        </w:rPr>
      </w:pPr>
      <w:r w:rsidRPr="008D14BD">
        <w:rPr>
          <w:rFonts w:ascii="Verdana" w:hAnsi="Verdana"/>
        </w:rPr>
        <w:t xml:space="preserve">Za namene preverjanja skladnosti s cilji iz odstavka 1 tega člena se upoštevajo pravila za izračun, določena v izvedbenem aktu, ki ga sprejme Evropska komisija. </w:t>
      </w:r>
    </w:p>
    <w:p w14:paraId="08D164A0" w14:textId="640DF22A" w:rsidR="00910B5B" w:rsidRPr="008D14BD" w:rsidRDefault="00910B5B" w:rsidP="00910B5B">
      <w:pPr>
        <w:rPr>
          <w:rFonts w:ascii="Verdana" w:hAnsi="Verdana"/>
        </w:rPr>
      </w:pPr>
    </w:p>
    <w:p w14:paraId="233E763D" w14:textId="378D6E9D" w:rsidR="006610EC" w:rsidRPr="008D14BD" w:rsidRDefault="00AC3F76" w:rsidP="000600E7">
      <w:pPr>
        <w:pStyle w:val="Heading2"/>
        <w:numPr>
          <w:ilvl w:val="0"/>
          <w:numId w:val="0"/>
        </w:numPr>
        <w:tabs>
          <w:tab w:val="clear" w:pos="1701"/>
          <w:tab w:val="left" w:pos="1418"/>
        </w:tabs>
        <w:ind w:left="426"/>
      </w:pPr>
      <w:r w:rsidRPr="008D14BD">
        <w:t>Člen 12</w:t>
      </w:r>
      <w:r w:rsidRPr="008D14BD">
        <w:br/>
        <w:t xml:space="preserve">Zahteve glede </w:t>
      </w:r>
      <w:bookmarkStart w:id="22" w:name="_Ref63690920"/>
      <w:r w:rsidRPr="008D14BD">
        <w:t>označevanja</w:t>
      </w:r>
      <w:bookmarkStart w:id="23" w:name="_Ref66121082"/>
      <w:bookmarkEnd w:id="22"/>
    </w:p>
    <w:p w14:paraId="23B4288E" w14:textId="7CC123E7" w:rsidR="000B1395" w:rsidRPr="008D14BD"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rsidRPr="008D14BD">
        <w:rPr>
          <w:rFonts w:ascii="Verdana" w:hAnsi="Verdana"/>
        </w:rPr>
        <w:lastRenderedPageBreak/>
        <w:t>Od 3. julija 2021</w:t>
      </w:r>
      <w:bookmarkEnd w:id="24"/>
      <w:r w:rsidRPr="008D14BD">
        <w:rPr>
          <w:rFonts w:ascii="Verdana" w:hAnsi="Verdana"/>
        </w:rPr>
        <w:t xml:space="preserve"> se lahko naslednji plastični izdelki za enkratno uporabo dajo na trg samo, če so v skladu z določbami o označevanju</w:t>
      </w:r>
      <w:bookmarkEnd w:id="25"/>
      <w:r w:rsidRPr="008D14BD">
        <w:rPr>
          <w:rFonts w:ascii="Verdana" w:hAnsi="Verdana"/>
        </w:rPr>
        <w:t xml:space="preserve"> iz naslednjih odstavkov tega člena:</w:t>
      </w:r>
    </w:p>
    <w:p w14:paraId="51848D1A" w14:textId="77777777" w:rsidR="000B1395" w:rsidRPr="008D14BD" w:rsidRDefault="000B1395" w:rsidP="00C525D6">
      <w:pPr>
        <w:pStyle w:val="ListParagraph"/>
        <w:numPr>
          <w:ilvl w:val="0"/>
          <w:numId w:val="30"/>
        </w:numPr>
        <w:spacing w:line="240" w:lineRule="auto"/>
        <w:rPr>
          <w:rFonts w:ascii="Verdana" w:hAnsi="Verdana"/>
        </w:rPr>
      </w:pPr>
      <w:r w:rsidRPr="008D14BD">
        <w:rPr>
          <w:rFonts w:ascii="Verdana" w:hAnsi="Verdana"/>
        </w:rPr>
        <w:t>sanitarne brisače (blazinic), tamponi in tamponski aplikatorji;</w:t>
      </w:r>
    </w:p>
    <w:p w14:paraId="6525FD27" w14:textId="77777777" w:rsidR="000B1395" w:rsidRPr="008D14BD" w:rsidRDefault="000B1395" w:rsidP="00C525D6">
      <w:pPr>
        <w:pStyle w:val="ListParagraph"/>
        <w:numPr>
          <w:ilvl w:val="0"/>
          <w:numId w:val="30"/>
        </w:numPr>
        <w:spacing w:line="240" w:lineRule="auto"/>
        <w:rPr>
          <w:rFonts w:ascii="Verdana" w:hAnsi="Verdana"/>
        </w:rPr>
      </w:pPr>
      <w:r w:rsidRPr="008D14BD">
        <w:rPr>
          <w:rFonts w:ascii="Verdana" w:hAnsi="Verdana"/>
        </w:rPr>
        <w:t>vlažilni robčki, torej predhodno navlažene brisače za osebno higieno in gospodinjsko rabo;</w:t>
      </w:r>
    </w:p>
    <w:p w14:paraId="7D6DB1C8" w14:textId="77777777" w:rsidR="000B1395" w:rsidRPr="008D14BD" w:rsidRDefault="000B1395" w:rsidP="00C525D6">
      <w:pPr>
        <w:pStyle w:val="ListParagraph"/>
        <w:numPr>
          <w:ilvl w:val="0"/>
          <w:numId w:val="30"/>
        </w:numPr>
        <w:spacing w:line="240" w:lineRule="auto"/>
        <w:rPr>
          <w:rFonts w:ascii="Verdana" w:hAnsi="Verdana"/>
        </w:rPr>
      </w:pPr>
      <w:r w:rsidRPr="008D14BD">
        <w:rPr>
          <w:rFonts w:ascii="Verdana" w:hAnsi="Verdana"/>
        </w:rPr>
        <w:t xml:space="preserve">tobačni izdelki s filtri in filtri, ki se tržijo za uporabo v kombinaciji s tobačnimi izdelki; ter </w:t>
      </w:r>
    </w:p>
    <w:p w14:paraId="744A4615" w14:textId="77777777" w:rsidR="000B1395" w:rsidRPr="008D14BD" w:rsidRDefault="000B1395" w:rsidP="00C525D6">
      <w:pPr>
        <w:pStyle w:val="ListParagraph"/>
        <w:numPr>
          <w:ilvl w:val="0"/>
          <w:numId w:val="30"/>
        </w:numPr>
        <w:spacing w:line="240" w:lineRule="auto"/>
        <w:rPr>
          <w:rFonts w:ascii="Verdana" w:hAnsi="Verdana"/>
        </w:rPr>
      </w:pPr>
      <w:r w:rsidRPr="008D14BD">
        <w:rPr>
          <w:rFonts w:ascii="Verdana" w:hAnsi="Verdana"/>
        </w:rPr>
        <w:t xml:space="preserve">skodelice za pijačo. </w:t>
      </w:r>
    </w:p>
    <w:p w14:paraId="2FB5D019" w14:textId="77777777" w:rsidR="000B1395" w:rsidRPr="008D14BD" w:rsidRDefault="000B1395" w:rsidP="00C525D6">
      <w:pPr>
        <w:pStyle w:val="ListParagraph"/>
        <w:numPr>
          <w:ilvl w:val="0"/>
          <w:numId w:val="13"/>
        </w:numPr>
        <w:jc w:val="both"/>
        <w:rPr>
          <w:rFonts w:ascii="Verdana" w:hAnsi="Verdana"/>
        </w:rPr>
      </w:pPr>
      <w:r w:rsidRPr="008D14BD">
        <w:rPr>
          <w:rFonts w:ascii="Verdana" w:hAnsi="Verdana"/>
        </w:rPr>
        <w:t>Plastični izdelki za enkratno uporabo iz prejšnjega odstavka morajo imeti na embalaži ali na samem izdelku jasno čitljivo in neizbrisno oznako, ki mora vsebovati naslednje informacije, namenjene potrošnikom:</w:t>
      </w:r>
    </w:p>
    <w:p w14:paraId="6CFD1D28" w14:textId="77777777" w:rsidR="000B1395" w:rsidRPr="008D14BD" w:rsidRDefault="000B1395" w:rsidP="00C525D6">
      <w:pPr>
        <w:pStyle w:val="ListParagraph"/>
        <w:numPr>
          <w:ilvl w:val="0"/>
          <w:numId w:val="31"/>
        </w:numPr>
        <w:spacing w:line="240" w:lineRule="auto"/>
        <w:rPr>
          <w:rFonts w:ascii="Verdana" w:hAnsi="Verdana"/>
        </w:rPr>
      </w:pPr>
      <w:r w:rsidRPr="008D14BD">
        <w:rPr>
          <w:rFonts w:ascii="Verdana" w:hAnsi="Verdana"/>
        </w:rPr>
        <w:t xml:space="preserve">ustrezna sredstva za odstranjevanje odpadkov, ki so primerna za proizvod oziroma ki se jim je v primeru tega proizvoda treba izogniti, v skladu s hierarhijo ravnanja z odpadki; ter </w:t>
      </w:r>
    </w:p>
    <w:p w14:paraId="45546BB6" w14:textId="00EB4430" w:rsidR="000B1395" w:rsidRPr="008D14BD" w:rsidRDefault="000B1395" w:rsidP="00C525D6">
      <w:pPr>
        <w:pStyle w:val="ListParagraph"/>
        <w:numPr>
          <w:ilvl w:val="0"/>
          <w:numId w:val="31"/>
        </w:numPr>
        <w:spacing w:line="240" w:lineRule="auto"/>
        <w:rPr>
          <w:rFonts w:ascii="Verdana" w:hAnsi="Verdana"/>
        </w:rPr>
      </w:pPr>
      <w:r w:rsidRPr="008D14BD">
        <w:rPr>
          <w:rFonts w:ascii="Verdana" w:hAnsi="Verdana"/>
        </w:rPr>
        <w:t xml:space="preserve">prisotnost plastike v proizvodu in posledični negativni vplivi smetenja ali drugih neprimernih načinov odstranjevanja izdelkov na okolje. </w:t>
      </w:r>
    </w:p>
    <w:p w14:paraId="52B4F969" w14:textId="23F7E8B2" w:rsidR="000B1395" w:rsidRPr="008D14BD" w:rsidRDefault="000B1395" w:rsidP="00C525D6">
      <w:pPr>
        <w:pStyle w:val="ListParagraph"/>
        <w:numPr>
          <w:ilvl w:val="0"/>
          <w:numId w:val="13"/>
        </w:numPr>
        <w:jc w:val="both"/>
        <w:rPr>
          <w:rFonts w:ascii="Verdana" w:hAnsi="Verdana"/>
        </w:rPr>
      </w:pPr>
      <w:r w:rsidRPr="008D14BD">
        <w:rPr>
          <w:rFonts w:ascii="Verdana" w:hAnsi="Verdana"/>
        </w:rPr>
        <w:t>Pravila o specifikacijah označevanja iz prejšnjih odstavkov so določena v Izvedbeni uredbi Komisije (EU) 2020/2151 z dne 17. decembra 2020.</w:t>
      </w:r>
    </w:p>
    <w:p w14:paraId="03D11840" w14:textId="2FEB97F4" w:rsidR="000B1395" w:rsidRPr="008D14BD" w:rsidRDefault="000B1395" w:rsidP="00C525D6">
      <w:pPr>
        <w:pStyle w:val="ListParagraph"/>
        <w:numPr>
          <w:ilvl w:val="0"/>
          <w:numId w:val="13"/>
        </w:numPr>
        <w:jc w:val="both"/>
        <w:rPr>
          <w:rFonts w:ascii="Verdana" w:hAnsi="Verdana"/>
        </w:rPr>
      </w:pPr>
      <w:r w:rsidRPr="008D14BD">
        <w:rPr>
          <w:rFonts w:ascii="Verdana" w:hAnsi="Verdana"/>
        </w:rPr>
        <w:t>Določbe tega člena, ki se nanašajo na tobačne izdelke, se dodajo določbam iz uredbe z zakonsko močjo št. 109/2015 z dne 26. avgusta.</w:t>
      </w:r>
    </w:p>
    <w:p w14:paraId="4528C33F" w14:textId="77777777" w:rsidR="000B1395" w:rsidRPr="008D14BD" w:rsidRDefault="000B1395" w:rsidP="00A85085">
      <w:pPr>
        <w:spacing w:before="120" w:after="120" w:line="240" w:lineRule="auto"/>
        <w:jc w:val="both"/>
        <w:rPr>
          <w:rFonts w:ascii="Verdana" w:hAnsi="Verdana" w:cs="Arial"/>
          <w:color w:val="3C3C3C"/>
          <w:sz w:val="21"/>
          <w:szCs w:val="21"/>
        </w:rPr>
      </w:pPr>
    </w:p>
    <w:p w14:paraId="182C2EF4" w14:textId="77777777" w:rsidR="00F9082F" w:rsidRPr="008D14BD" w:rsidRDefault="00F9082F" w:rsidP="00893B34">
      <w:pPr>
        <w:jc w:val="both"/>
        <w:rPr>
          <w:rFonts w:ascii="Verdana" w:hAnsi="Verdana"/>
        </w:rPr>
      </w:pPr>
    </w:p>
    <w:p w14:paraId="6AE4673B" w14:textId="762ECF40" w:rsidR="009820C4" w:rsidRPr="008D14BD" w:rsidRDefault="003F14EA" w:rsidP="00E92A33">
      <w:pPr>
        <w:pStyle w:val="Heading1"/>
        <w:tabs>
          <w:tab w:val="clear" w:pos="3969"/>
          <w:tab w:val="left" w:pos="2410"/>
        </w:tabs>
      </w:pPr>
      <w:r w:rsidRPr="008D14BD">
        <w:br/>
      </w:r>
      <w:bookmarkStart w:id="26" w:name="_Ref66121225"/>
      <w:r w:rsidRPr="008D14BD">
        <w:t>Razširjena odgovornost proizvajalca</w:t>
      </w:r>
      <w:bookmarkEnd w:id="26"/>
    </w:p>
    <w:p w14:paraId="4D4FD2B1" w14:textId="6A54F531" w:rsidR="00CF3B6A" w:rsidRPr="008D14BD" w:rsidRDefault="00AC3F76" w:rsidP="000600E7">
      <w:pPr>
        <w:pStyle w:val="Heading2"/>
        <w:numPr>
          <w:ilvl w:val="0"/>
          <w:numId w:val="0"/>
        </w:numPr>
        <w:tabs>
          <w:tab w:val="clear" w:pos="1701"/>
          <w:tab w:val="left" w:pos="1418"/>
        </w:tabs>
        <w:ind w:left="426"/>
      </w:pPr>
      <w:bookmarkStart w:id="27" w:name="_Ref66121190"/>
      <w:r w:rsidRPr="008D14BD">
        <w:t>Člen 13</w:t>
      </w:r>
      <w:r w:rsidRPr="008D14BD">
        <w:br/>
      </w:r>
      <w:bookmarkEnd w:id="27"/>
      <w:r w:rsidRPr="008D14BD">
        <w:t>Prilagoditev sheme razširjene odgovornosti proizvajalca</w:t>
      </w:r>
    </w:p>
    <w:p w14:paraId="078DCD32" w14:textId="77777777" w:rsidR="006610EC" w:rsidRPr="008D14BD" w:rsidRDefault="006610EC" w:rsidP="006610EC">
      <w:pPr>
        <w:rPr>
          <w:rFonts w:ascii="Verdana" w:hAnsi="Verdana"/>
        </w:rPr>
      </w:pPr>
    </w:p>
    <w:p w14:paraId="3392D79B" w14:textId="0F56A5E4" w:rsidR="00CF3B6A" w:rsidRPr="008D14BD"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rsidRPr="008D14BD">
        <w:rPr>
          <w:rFonts w:ascii="Verdana" w:hAnsi="Verdana"/>
        </w:rPr>
        <w:t>Do 1. januarja 2023 se sedanja razširjena shema odgovornosti proizvajalca za embalažo in odpadno embalažo za naslednje plastične proizvode za enkratno uporabo, ki se dajejo na trg, spremeni, da se ugodi zahtevam iz člena 15:</w:t>
      </w:r>
      <w:bookmarkEnd w:id="28"/>
      <w:bookmarkEnd w:id="29"/>
    </w:p>
    <w:bookmarkEnd w:id="30"/>
    <w:p w14:paraId="02229E91" w14:textId="77777777" w:rsidR="00197BF8" w:rsidRPr="008D14BD" w:rsidRDefault="00197BF8" w:rsidP="00C525D6">
      <w:pPr>
        <w:pStyle w:val="ListParagraph"/>
        <w:numPr>
          <w:ilvl w:val="0"/>
          <w:numId w:val="33"/>
        </w:numPr>
        <w:spacing w:line="240" w:lineRule="auto"/>
        <w:rPr>
          <w:rFonts w:ascii="Verdana" w:hAnsi="Verdana"/>
        </w:rPr>
      </w:pPr>
      <w:r w:rsidRPr="008D14BD">
        <w:rPr>
          <w:rFonts w:ascii="Verdana" w:hAnsi="Verdana"/>
        </w:rPr>
        <w:lastRenderedPageBreak/>
        <w:t xml:space="preserve">Posode za hrano, tj. posode, kot so škatle, s pokrovom ali brez, ki se uporabljajo za živila, ki: </w:t>
      </w:r>
    </w:p>
    <w:p w14:paraId="0529DB33" w14:textId="77777777" w:rsidR="00197BF8" w:rsidRPr="008D14BD"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sidRPr="008D14BD">
        <w:rPr>
          <w:rFonts w:ascii="Verdana" w:hAnsi="Verdana"/>
        </w:rPr>
        <w:t>so namenjena za takojšnje zaužitje, bodisi na kraju samem ali jih potrošniki odnesejo s seboj,</w:t>
      </w:r>
    </w:p>
    <w:p w14:paraId="31CAE1B0" w14:textId="77777777" w:rsidR="00197BF8" w:rsidRPr="008D14BD"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sidRPr="008D14BD">
        <w:rPr>
          <w:rFonts w:ascii="Verdana" w:hAnsi="Verdana"/>
        </w:rPr>
        <w:t>se običajno zaužijejo iz posode in</w:t>
      </w:r>
    </w:p>
    <w:p w14:paraId="4F40E336" w14:textId="77777777" w:rsidR="00197BF8" w:rsidRPr="008D14BD"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sidRPr="008D14BD">
        <w:rPr>
          <w:rFonts w:ascii="Verdana" w:hAnsi="Verdana"/>
        </w:rPr>
        <w:t xml:space="preserve">se jih zaužije brez nadaljnje priprave, kot je kuhanje, vrenje ali segrevanje, </w:t>
      </w:r>
    </w:p>
    <w:p w14:paraId="075967C0" w14:textId="77777777" w:rsidR="00197BF8" w:rsidRPr="008D14BD" w:rsidRDefault="00197BF8" w:rsidP="00197BF8">
      <w:pPr>
        <w:tabs>
          <w:tab w:val="left" w:pos="567"/>
        </w:tabs>
        <w:spacing w:after="200" w:line="276" w:lineRule="auto"/>
        <w:ind w:left="1134"/>
        <w:jc w:val="both"/>
        <w:rPr>
          <w:rFonts w:ascii="Verdana" w:hAnsi="Verdana"/>
        </w:rPr>
      </w:pPr>
      <w:r w:rsidRPr="008D14BD">
        <w:rPr>
          <w:rFonts w:ascii="Verdana" w:hAnsi="Verdana"/>
        </w:rPr>
        <w:t>vključno s posodami za živila, ki se uporabljajo za hitro prehrano ali druge obroke, namenjene za takojšnje zaužitje, razen vsebnikov za pijačo, krožnikov, zavitkov in ovojev s hrano;</w:t>
      </w:r>
    </w:p>
    <w:p w14:paraId="0BEDD35F" w14:textId="77777777" w:rsidR="00197BF8" w:rsidRPr="008D14BD" w:rsidRDefault="00197BF8" w:rsidP="00C525D6">
      <w:pPr>
        <w:pStyle w:val="ListParagraph"/>
        <w:numPr>
          <w:ilvl w:val="0"/>
          <w:numId w:val="33"/>
        </w:numPr>
        <w:spacing w:line="240" w:lineRule="auto"/>
        <w:rPr>
          <w:rFonts w:ascii="Verdana" w:hAnsi="Verdana"/>
        </w:rPr>
      </w:pPr>
      <w:r w:rsidRPr="008D14BD">
        <w:rPr>
          <w:rFonts w:ascii="Verdana" w:hAnsi="Verdana"/>
        </w:rPr>
        <w:t xml:space="preserve">zavitki in ovoji iz prožnega materiala, ki vsebujejo živila, namenjena za takojšnje zaužitje iz zavitka ali ovoja brez nadaljnje priprave; </w:t>
      </w:r>
    </w:p>
    <w:p w14:paraId="3DD293D7" w14:textId="77777777" w:rsidR="00197BF8" w:rsidRPr="008D14BD" w:rsidRDefault="00197BF8" w:rsidP="00C525D6">
      <w:pPr>
        <w:pStyle w:val="ListParagraph"/>
        <w:numPr>
          <w:ilvl w:val="0"/>
          <w:numId w:val="33"/>
        </w:numPr>
        <w:spacing w:line="240" w:lineRule="auto"/>
        <w:rPr>
          <w:rFonts w:ascii="Verdana" w:hAnsi="Verdana"/>
        </w:rPr>
      </w:pPr>
      <w:r w:rsidRPr="008D14BD">
        <w:rPr>
          <w:rFonts w:ascii="Verdana" w:hAnsi="Verdana"/>
        </w:rPr>
        <w:t xml:space="preserve">vsebniki za pijače s prostornino do treh litrov, torej posode, ki se uporabljajo za tekočine, kot so steklenice za pijače, vključno z njihovimi pokrovčki in zamaški, in sestavljena embalaža za pijače, vključno s pokrovčki in zamaški, vendar ne stekleni ali kovinski vsebniki za pijače, katerih pokrovčki in zamaški so narejeni iz plastike; </w:t>
      </w:r>
    </w:p>
    <w:p w14:paraId="527E7F03" w14:textId="77777777" w:rsidR="00197BF8" w:rsidRPr="008D14BD" w:rsidRDefault="00197BF8" w:rsidP="00C525D6">
      <w:pPr>
        <w:pStyle w:val="ListParagraph"/>
        <w:numPr>
          <w:ilvl w:val="0"/>
          <w:numId w:val="33"/>
        </w:numPr>
        <w:spacing w:line="240" w:lineRule="auto"/>
        <w:rPr>
          <w:rFonts w:ascii="Verdana" w:hAnsi="Verdana"/>
        </w:rPr>
      </w:pPr>
      <w:r w:rsidRPr="008D14BD">
        <w:rPr>
          <w:rFonts w:ascii="Verdana" w:hAnsi="Verdana"/>
        </w:rPr>
        <w:t xml:space="preserve">skodelice za pijačo, vključno s pokrovčki in zamaški; </w:t>
      </w:r>
    </w:p>
    <w:p w14:paraId="59DB831C" w14:textId="1B14A90A" w:rsidR="00197BF8" w:rsidRPr="008D14BD" w:rsidRDefault="00197BF8" w:rsidP="00C525D6">
      <w:pPr>
        <w:pStyle w:val="ListParagraph"/>
        <w:numPr>
          <w:ilvl w:val="0"/>
          <w:numId w:val="33"/>
        </w:numPr>
        <w:spacing w:line="240" w:lineRule="auto"/>
        <w:rPr>
          <w:rFonts w:ascii="Verdana" w:hAnsi="Verdana"/>
        </w:rPr>
      </w:pPr>
      <w:r w:rsidRPr="008D14BD">
        <w:rPr>
          <w:rFonts w:ascii="Verdana" w:hAnsi="Verdana"/>
        </w:rPr>
        <w:t>lahke plastične nosilne vrečke.</w:t>
      </w:r>
    </w:p>
    <w:p w14:paraId="7E641AC3" w14:textId="6163971C" w:rsidR="00197BF8" w:rsidRPr="008D14BD"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8D14BD" w:rsidRDefault="00700314" w:rsidP="00C525D6">
      <w:pPr>
        <w:pStyle w:val="ListParagraph"/>
        <w:numPr>
          <w:ilvl w:val="0"/>
          <w:numId w:val="32"/>
        </w:numPr>
        <w:jc w:val="both"/>
        <w:rPr>
          <w:rFonts w:ascii="Verdana" w:hAnsi="Verdana"/>
        </w:rPr>
      </w:pPr>
      <w:bookmarkStart w:id="32" w:name="_Hlk65800069"/>
      <w:bookmarkEnd w:id="31"/>
      <w:r w:rsidRPr="008D14BD">
        <w:rPr>
          <w:rFonts w:ascii="Verdana" w:hAnsi="Verdana"/>
        </w:rPr>
        <w:t>Sprememba iz prejšnjega odstavka se objavi najpozneje eno leto pred začetkom njene veljavnosti.</w:t>
      </w:r>
    </w:p>
    <w:p w14:paraId="53598B95" w14:textId="77777777" w:rsidR="001D7D5A" w:rsidRPr="008D14BD" w:rsidRDefault="001D7D5A" w:rsidP="00F7675E">
      <w:pPr>
        <w:pStyle w:val="ListParagraph"/>
        <w:ind w:left="928"/>
        <w:jc w:val="both"/>
        <w:rPr>
          <w:rFonts w:ascii="Verdana" w:hAnsi="Verdana"/>
        </w:rPr>
      </w:pPr>
    </w:p>
    <w:p w14:paraId="42F5CA37" w14:textId="10733D2B" w:rsidR="00AA57E3" w:rsidRPr="008D14BD" w:rsidRDefault="00AC3F76" w:rsidP="000600E7">
      <w:pPr>
        <w:pStyle w:val="Heading2"/>
        <w:numPr>
          <w:ilvl w:val="0"/>
          <w:numId w:val="0"/>
        </w:numPr>
        <w:tabs>
          <w:tab w:val="clear" w:pos="1701"/>
          <w:tab w:val="left" w:pos="1418"/>
        </w:tabs>
        <w:ind w:left="426"/>
      </w:pPr>
      <w:bookmarkStart w:id="33" w:name="_Ref66121335"/>
      <w:bookmarkEnd w:id="32"/>
      <w:r w:rsidRPr="008D14BD">
        <w:t>Člen 14</w:t>
      </w:r>
      <w:r w:rsidRPr="008D14BD">
        <w:br/>
      </w:r>
      <w:bookmarkEnd w:id="33"/>
      <w:r w:rsidRPr="008D14BD">
        <w:t>Ustvarjanje shem razširjene odgovornosti proizvajalcev za plastične proizvode za enkratno uporabo</w:t>
      </w:r>
    </w:p>
    <w:p w14:paraId="34F37462" w14:textId="77777777" w:rsidR="006610EC" w:rsidRPr="008D14BD" w:rsidRDefault="006610EC" w:rsidP="00AA57E3">
      <w:pPr>
        <w:jc w:val="center"/>
        <w:rPr>
          <w:rFonts w:ascii="Verdana" w:hAnsi="Verdana"/>
          <w:b/>
        </w:rPr>
      </w:pPr>
    </w:p>
    <w:p w14:paraId="2759F1AD" w14:textId="488A6E81" w:rsidR="00AA57E3" w:rsidRPr="008D14BD" w:rsidRDefault="00AA57E3" w:rsidP="00C525D6">
      <w:pPr>
        <w:pStyle w:val="ListParagraph"/>
        <w:numPr>
          <w:ilvl w:val="0"/>
          <w:numId w:val="34"/>
        </w:numPr>
        <w:jc w:val="both"/>
        <w:rPr>
          <w:rFonts w:ascii="Verdana" w:hAnsi="Verdana"/>
        </w:rPr>
      </w:pPr>
      <w:bookmarkStart w:id="34" w:name="_Ref63444386"/>
      <w:bookmarkStart w:id="35" w:name="_Ref63444377"/>
      <w:r w:rsidRPr="008D14BD">
        <w:rPr>
          <w:rFonts w:ascii="Verdana" w:hAnsi="Verdana"/>
        </w:rPr>
        <w:t>Do 1. januarja 2023 mora biti vzpostavljen sistem razširjene odgovornosti proizvajalcev za tobačne izdelke s filtri in filtre, ki se tržijo za uporabo v kombinaciji s tobačnimi izdelki;</w:t>
      </w:r>
      <w:bookmarkEnd w:id="34"/>
      <w:r w:rsidRPr="008D14BD">
        <w:rPr>
          <w:rFonts w:ascii="Verdana" w:hAnsi="Verdana"/>
        </w:rPr>
        <w:t xml:space="preserve"> </w:t>
      </w:r>
    </w:p>
    <w:p w14:paraId="40994946" w14:textId="419FC4E7" w:rsidR="00AA57E3" w:rsidRPr="008D14BD" w:rsidRDefault="00AA57E3" w:rsidP="00C525D6">
      <w:pPr>
        <w:pStyle w:val="ListParagraph"/>
        <w:numPr>
          <w:ilvl w:val="0"/>
          <w:numId w:val="34"/>
        </w:numPr>
        <w:jc w:val="both"/>
        <w:rPr>
          <w:rFonts w:ascii="Verdana" w:hAnsi="Verdana"/>
        </w:rPr>
      </w:pPr>
      <w:bookmarkStart w:id="36" w:name="_Ref66121489"/>
      <w:r w:rsidRPr="008D14BD">
        <w:rPr>
          <w:rFonts w:ascii="Verdana" w:hAnsi="Verdana"/>
        </w:rPr>
        <w:t>do 1. januarja 2025 morajo biti vzpostavljene sheme razširjene odgovornosti proizvajalcev za naslednje plastične izdelke za enkratno uporabo:</w:t>
      </w:r>
      <w:bookmarkEnd w:id="35"/>
      <w:bookmarkEnd w:id="36"/>
    </w:p>
    <w:p w14:paraId="539CCA96" w14:textId="77777777" w:rsidR="00AA57E3" w:rsidRPr="008D14BD" w:rsidRDefault="00AA57E3" w:rsidP="00C525D6">
      <w:pPr>
        <w:pStyle w:val="ListParagraph"/>
        <w:numPr>
          <w:ilvl w:val="0"/>
          <w:numId w:val="35"/>
        </w:numPr>
        <w:spacing w:line="240" w:lineRule="auto"/>
        <w:rPr>
          <w:rFonts w:ascii="Verdana" w:hAnsi="Verdana"/>
        </w:rPr>
      </w:pPr>
      <w:r w:rsidRPr="008D14BD">
        <w:rPr>
          <w:rFonts w:ascii="Verdana" w:hAnsi="Verdana"/>
        </w:rPr>
        <w:t xml:space="preserve">vlažilni robčki, torej predhodno navlažene brisače za osebno higieno in gospodinjsko rabo; </w:t>
      </w:r>
    </w:p>
    <w:p w14:paraId="4114B342" w14:textId="77777777" w:rsidR="00AA57E3" w:rsidRPr="008D14BD" w:rsidRDefault="00AA57E3" w:rsidP="00C525D6">
      <w:pPr>
        <w:pStyle w:val="ListParagraph"/>
        <w:numPr>
          <w:ilvl w:val="0"/>
          <w:numId w:val="35"/>
        </w:numPr>
        <w:spacing w:line="240" w:lineRule="auto"/>
        <w:rPr>
          <w:rFonts w:ascii="Verdana" w:hAnsi="Verdana"/>
        </w:rPr>
      </w:pPr>
      <w:r w:rsidRPr="008D14BD">
        <w:rPr>
          <w:rFonts w:ascii="Verdana" w:hAnsi="Verdana"/>
        </w:rPr>
        <w:lastRenderedPageBreak/>
        <w:t>baloni, razen balonov za industrijsko in drugo poklicno rabo in uporabo, ki se ne razdeljujejo potrošnikom;</w:t>
      </w:r>
    </w:p>
    <w:p w14:paraId="522DD1DA" w14:textId="7C4D7238" w:rsidR="00AA57E3" w:rsidRPr="008D14BD" w:rsidRDefault="00AA57E3" w:rsidP="00C525D6">
      <w:pPr>
        <w:pStyle w:val="ListParagraph"/>
        <w:numPr>
          <w:ilvl w:val="0"/>
          <w:numId w:val="35"/>
        </w:numPr>
        <w:spacing w:line="240" w:lineRule="auto"/>
        <w:rPr>
          <w:rFonts w:ascii="Verdana" w:hAnsi="Verdana"/>
        </w:rPr>
      </w:pPr>
      <w:r w:rsidRPr="008D14BD">
        <w:rPr>
          <w:rFonts w:ascii="Verdana" w:hAnsi="Verdana"/>
        </w:rPr>
        <w:t>skodelice za pijačo, vključno s pokrovčki in zamaški;</w:t>
      </w:r>
    </w:p>
    <w:p w14:paraId="42D88118" w14:textId="55FDD9ED" w:rsidR="00AA57E3" w:rsidRPr="008D14BD" w:rsidRDefault="00AA57E3" w:rsidP="00C525D6">
      <w:pPr>
        <w:pStyle w:val="ListParagraph"/>
        <w:numPr>
          <w:ilvl w:val="0"/>
          <w:numId w:val="34"/>
        </w:numPr>
        <w:jc w:val="both"/>
        <w:rPr>
          <w:rFonts w:ascii="Verdana" w:hAnsi="Verdana"/>
        </w:rPr>
      </w:pPr>
      <w:bookmarkStart w:id="37" w:name="_Ref63672653"/>
      <w:bookmarkStart w:id="38" w:name="_Ref63697458"/>
      <w:r w:rsidRPr="008D14BD">
        <w:rPr>
          <w:rFonts w:ascii="Verdana" w:hAnsi="Verdana"/>
        </w:rPr>
        <w:t xml:space="preserve">Do 1. januarja 2025 mora biti vzpostavljena shema razširjene odgovornosti proizvajalcev za ribolovno orodje, ki vsebuje plastiko in je dano na trg, ki mora določati najnižjo nacionalno letno stopnjo zbiranja odpadnega ribolovnega orodja, ki vsebuje plastiko, za recikliranje. </w:t>
      </w:r>
      <w:bookmarkEnd w:id="37"/>
      <w:bookmarkEnd w:id="38"/>
    </w:p>
    <w:p w14:paraId="52EACFCD" w14:textId="1800FB3B" w:rsidR="00700314" w:rsidRPr="008D14BD" w:rsidRDefault="00AA57E3" w:rsidP="00C525D6">
      <w:pPr>
        <w:pStyle w:val="ListParagraph"/>
        <w:numPr>
          <w:ilvl w:val="0"/>
          <w:numId w:val="34"/>
        </w:numPr>
        <w:jc w:val="both"/>
        <w:rPr>
          <w:rFonts w:ascii="Verdana" w:hAnsi="Verdana"/>
        </w:rPr>
      </w:pPr>
      <w:r w:rsidRPr="008D14BD">
        <w:rPr>
          <w:rFonts w:ascii="Verdana" w:hAnsi="Verdana"/>
        </w:rPr>
        <w:t>Za izvedbo študije, ki podpira opredelitev stopnje iz prejšnjega odstavka, je odgovoren Generalni direktorat za naravne vire, varnost in pomorske storitve (DGRM).</w:t>
      </w:r>
      <w:bookmarkStart w:id="39" w:name="_Hlk65427440"/>
    </w:p>
    <w:p w14:paraId="06EFD80B" w14:textId="160A381E" w:rsidR="00700314" w:rsidRPr="008D14BD" w:rsidRDefault="00700314" w:rsidP="00C525D6">
      <w:pPr>
        <w:pStyle w:val="ListParagraph"/>
        <w:numPr>
          <w:ilvl w:val="0"/>
          <w:numId w:val="34"/>
        </w:numPr>
        <w:jc w:val="both"/>
        <w:rPr>
          <w:rFonts w:ascii="Verdana" w:hAnsi="Verdana"/>
        </w:rPr>
      </w:pPr>
      <w:r w:rsidRPr="008D14BD">
        <w:rPr>
          <w:rFonts w:ascii="Verdana" w:hAnsi="Verdana"/>
        </w:rPr>
        <w:t>Vzpostavitev vsakršne sheme razširjene odgovornosti proizvajalcev iz odstavkov 1, 2 in 3 se objavi najpozneje eno leto pred začetkom njene veljavnosti.</w:t>
      </w:r>
      <w:bookmarkEnd w:id="39"/>
    </w:p>
    <w:p w14:paraId="756377B4" w14:textId="77777777" w:rsidR="00AA57E3" w:rsidRPr="008D14BD" w:rsidRDefault="00AA57E3" w:rsidP="00040D73">
      <w:pPr>
        <w:pStyle w:val="ListParagraph"/>
        <w:tabs>
          <w:tab w:val="left" w:pos="284"/>
        </w:tabs>
        <w:autoSpaceDE w:val="0"/>
        <w:autoSpaceDN w:val="0"/>
        <w:adjustRightInd w:val="0"/>
        <w:spacing w:before="120" w:after="120" w:line="240" w:lineRule="auto"/>
        <w:ind w:left="426"/>
        <w:jc w:val="both"/>
        <w:rPr>
          <w:rFonts w:ascii="Verdana" w:hAnsi="Verdana"/>
        </w:rPr>
      </w:pPr>
    </w:p>
    <w:p w14:paraId="793F53FD" w14:textId="3286B9D4" w:rsidR="00F92863" w:rsidRPr="008D14BD" w:rsidRDefault="00AC3F76" w:rsidP="00AC3F76">
      <w:pPr>
        <w:pStyle w:val="Heading2"/>
        <w:numPr>
          <w:ilvl w:val="0"/>
          <w:numId w:val="0"/>
        </w:numPr>
        <w:tabs>
          <w:tab w:val="clear" w:pos="1701"/>
          <w:tab w:val="left" w:pos="1276"/>
        </w:tabs>
        <w:ind w:left="426"/>
      </w:pPr>
      <w:bookmarkStart w:id="40" w:name="_Ref66121553"/>
      <w:r w:rsidRPr="008D14BD">
        <w:t>Člen 15</w:t>
      </w:r>
      <w:r w:rsidRPr="008D14BD">
        <w:br/>
      </w:r>
      <w:bookmarkEnd w:id="40"/>
      <w:r w:rsidRPr="008D14BD">
        <w:t>Stroški, ki jih krijejo sheme razširjene odgovornosti proizvajalcev</w:t>
      </w:r>
    </w:p>
    <w:p w14:paraId="0390D9A7" w14:textId="77777777" w:rsidR="006610EC" w:rsidRPr="008D14BD" w:rsidRDefault="006610EC" w:rsidP="00040D73">
      <w:pPr>
        <w:pStyle w:val="ListParagraph"/>
        <w:tabs>
          <w:tab w:val="left" w:pos="284"/>
        </w:tabs>
        <w:autoSpaceDE w:val="0"/>
        <w:autoSpaceDN w:val="0"/>
        <w:adjustRightInd w:val="0"/>
        <w:spacing w:before="120" w:after="120" w:line="240" w:lineRule="auto"/>
        <w:ind w:left="426"/>
        <w:jc w:val="both"/>
        <w:rPr>
          <w:rFonts w:ascii="Verdana" w:hAnsi="Verdana"/>
        </w:rPr>
      </w:pPr>
    </w:p>
    <w:p w14:paraId="08105367" w14:textId="1DFBFEB6" w:rsidR="00F92863" w:rsidRPr="008D14BD" w:rsidRDefault="00F92863" w:rsidP="00C525D6">
      <w:pPr>
        <w:pStyle w:val="ListParagraph"/>
        <w:numPr>
          <w:ilvl w:val="0"/>
          <w:numId w:val="36"/>
        </w:numPr>
        <w:jc w:val="both"/>
        <w:rPr>
          <w:rFonts w:ascii="Verdana" w:hAnsi="Verdana"/>
        </w:rPr>
      </w:pPr>
      <w:bookmarkStart w:id="41" w:name="_Ref63444260"/>
      <w:r w:rsidRPr="008D14BD">
        <w:rPr>
          <w:rFonts w:ascii="Verdana" w:hAnsi="Verdana"/>
        </w:rPr>
        <w:t>Poleg stroškov, predvidenih v členu 13(3)(a) GSWM in Unilex, morajo proizvajalci plastičnih izdelkov za enkratno uporabo iz člena 13 kriti tudi naslednje stroške, če niso že vključeni v navedene stroške:</w:t>
      </w:r>
      <w:bookmarkEnd w:id="41"/>
      <w:r w:rsidRPr="008D14BD">
        <w:rPr>
          <w:rFonts w:ascii="Verdana" w:hAnsi="Verdana"/>
        </w:rPr>
        <w:t xml:space="preserve"> </w:t>
      </w:r>
    </w:p>
    <w:p w14:paraId="755C5CD9" w14:textId="6FEA5A33" w:rsidR="00F92863" w:rsidRPr="008D14BD" w:rsidRDefault="00F92863" w:rsidP="00C525D6">
      <w:pPr>
        <w:pStyle w:val="ListParagraph"/>
        <w:numPr>
          <w:ilvl w:val="0"/>
          <w:numId w:val="37"/>
        </w:numPr>
        <w:spacing w:line="240" w:lineRule="auto"/>
        <w:rPr>
          <w:rFonts w:ascii="Verdana" w:hAnsi="Verdana"/>
        </w:rPr>
      </w:pPr>
      <w:r w:rsidRPr="008D14BD">
        <w:rPr>
          <w:rFonts w:ascii="Verdana" w:hAnsi="Verdana"/>
        </w:rPr>
        <w:t xml:space="preserve">Stroške ukrepov za ozaveščanje iz te uredbe z zakonsko močjo v zvezi s temi proizvodi; </w:t>
      </w:r>
    </w:p>
    <w:p w14:paraId="7362E724" w14:textId="77777777" w:rsidR="00F92863" w:rsidRPr="008D14BD" w:rsidRDefault="00F92863" w:rsidP="00C525D6">
      <w:pPr>
        <w:pStyle w:val="ListParagraph"/>
        <w:numPr>
          <w:ilvl w:val="0"/>
          <w:numId w:val="37"/>
        </w:numPr>
        <w:spacing w:line="240" w:lineRule="auto"/>
        <w:rPr>
          <w:rFonts w:ascii="Verdana" w:hAnsi="Verdana"/>
        </w:rPr>
      </w:pPr>
      <w:r w:rsidRPr="008D14BD">
        <w:rPr>
          <w:rFonts w:ascii="Verdana" w:hAnsi="Verdana"/>
        </w:rPr>
        <w:t xml:space="preserve">stroške zbiranja odpadkov za tiste proizvode, ki se zavržejo v javne sisteme zbiranja, vključno z infrastrukturo in njenim delovanjem, ter poznejši prevoz in obdelava teh odpadkov; ter </w:t>
      </w:r>
    </w:p>
    <w:p w14:paraId="344A4917" w14:textId="77777777" w:rsidR="00F92863" w:rsidRPr="008D14BD" w:rsidRDefault="00F92863" w:rsidP="00C525D6">
      <w:pPr>
        <w:pStyle w:val="ListParagraph"/>
        <w:numPr>
          <w:ilvl w:val="0"/>
          <w:numId w:val="37"/>
        </w:numPr>
        <w:spacing w:line="240" w:lineRule="auto"/>
        <w:rPr>
          <w:rFonts w:ascii="Verdana" w:hAnsi="Verdana"/>
        </w:rPr>
      </w:pPr>
      <w:r w:rsidRPr="008D14BD">
        <w:rPr>
          <w:rFonts w:ascii="Verdana" w:hAnsi="Verdana"/>
        </w:rPr>
        <w:t>stroške čiščenja okolja zaradi odvrženih smeti, ki izhajajo iz teh proizvodov, ter poznejšega prevoza in obdelave teh smeti.</w:t>
      </w:r>
    </w:p>
    <w:p w14:paraId="20E2B852" w14:textId="544EF49E" w:rsidR="00F92863" w:rsidRPr="008D14BD" w:rsidRDefault="00F92863" w:rsidP="00C525D6">
      <w:pPr>
        <w:pStyle w:val="ListParagraph"/>
        <w:numPr>
          <w:ilvl w:val="0"/>
          <w:numId w:val="36"/>
        </w:numPr>
        <w:jc w:val="both"/>
        <w:rPr>
          <w:rFonts w:ascii="Verdana" w:hAnsi="Verdana"/>
        </w:rPr>
      </w:pPr>
      <w:bookmarkStart w:id="42" w:name="_Ref63444269"/>
      <w:r w:rsidRPr="008D14BD">
        <w:rPr>
          <w:rFonts w:ascii="Verdana" w:hAnsi="Verdana"/>
        </w:rPr>
        <w:t>Proizvajalci plastičnih izdelkov za enkratno uporabo iz odstavkov 1 in 2 morajo kriti vsaj naslednje stroške:</w:t>
      </w:r>
      <w:bookmarkEnd w:id="42"/>
      <w:r w:rsidRPr="008D14BD">
        <w:rPr>
          <w:rFonts w:ascii="Verdana" w:hAnsi="Verdana"/>
        </w:rPr>
        <w:t xml:space="preserve"> </w:t>
      </w:r>
    </w:p>
    <w:p w14:paraId="34C5E7C6" w14:textId="6CEF6915" w:rsidR="00F92863" w:rsidRPr="008D14BD" w:rsidRDefault="00F92863" w:rsidP="00C525D6">
      <w:pPr>
        <w:pStyle w:val="ListParagraph"/>
        <w:numPr>
          <w:ilvl w:val="0"/>
          <w:numId w:val="38"/>
        </w:numPr>
        <w:spacing w:line="240" w:lineRule="auto"/>
        <w:rPr>
          <w:rFonts w:ascii="Verdana" w:hAnsi="Verdana"/>
        </w:rPr>
      </w:pPr>
      <w:r w:rsidRPr="008D14BD">
        <w:rPr>
          <w:rFonts w:ascii="Verdana" w:hAnsi="Verdana"/>
        </w:rPr>
        <w:t>Stroške ukrepov za ozaveščanje iz te uredbe z zakonsko močjo v zvezi s temi proizvodi;</w:t>
      </w:r>
    </w:p>
    <w:p w14:paraId="2759636F" w14:textId="77777777" w:rsidR="00F92863" w:rsidRPr="008D14BD" w:rsidRDefault="00F92863" w:rsidP="00C525D6">
      <w:pPr>
        <w:pStyle w:val="ListParagraph"/>
        <w:numPr>
          <w:ilvl w:val="0"/>
          <w:numId w:val="38"/>
        </w:numPr>
        <w:spacing w:line="240" w:lineRule="auto"/>
        <w:rPr>
          <w:rFonts w:ascii="Verdana" w:hAnsi="Verdana"/>
        </w:rPr>
      </w:pPr>
      <w:r w:rsidRPr="008D14BD">
        <w:rPr>
          <w:rFonts w:ascii="Verdana" w:hAnsi="Verdana"/>
        </w:rPr>
        <w:t xml:space="preserve">stroške čiščenja okolja zaradi odvrženih smeti, ki izhajajo iz teh proizvodov, ter poznejšega prevoza in obdelave teh smeti ter </w:t>
      </w:r>
    </w:p>
    <w:p w14:paraId="2B485E43" w14:textId="4F86EA8B" w:rsidR="00F92863" w:rsidRPr="008D14BD" w:rsidRDefault="00F92863" w:rsidP="00C525D6">
      <w:pPr>
        <w:pStyle w:val="ListParagraph"/>
        <w:numPr>
          <w:ilvl w:val="0"/>
          <w:numId w:val="38"/>
        </w:numPr>
        <w:spacing w:line="240" w:lineRule="auto"/>
        <w:rPr>
          <w:rFonts w:ascii="Verdana" w:hAnsi="Verdana"/>
        </w:rPr>
      </w:pPr>
      <w:r w:rsidRPr="008D14BD">
        <w:rPr>
          <w:rFonts w:ascii="Verdana" w:hAnsi="Verdana"/>
        </w:rPr>
        <w:t xml:space="preserve">stroški zbiranja podatkov in poročanja v skladu s členom 13(1)(c) in (d) GSWM. </w:t>
      </w:r>
    </w:p>
    <w:p w14:paraId="1254E804" w14:textId="77777777" w:rsidR="00F92863" w:rsidRPr="008D14BD" w:rsidRDefault="00F92863" w:rsidP="00C525D6">
      <w:pPr>
        <w:pStyle w:val="ListParagraph"/>
        <w:numPr>
          <w:ilvl w:val="0"/>
          <w:numId w:val="36"/>
        </w:numPr>
        <w:jc w:val="both"/>
        <w:rPr>
          <w:rFonts w:ascii="Verdana" w:hAnsi="Verdana"/>
        </w:rPr>
      </w:pPr>
      <w:bookmarkStart w:id="43" w:name="_Ref63444276"/>
      <w:r w:rsidRPr="008D14BD">
        <w:rPr>
          <w:rFonts w:ascii="Verdana" w:hAnsi="Verdana"/>
        </w:rPr>
        <w:lastRenderedPageBreak/>
        <w:t>V primeru tobačnih izdelkov s filtri in filtrov, ki se tržijo za uporabo v kombinaciji s tobačnimi izdelki, morajo proizvajalci kriti tudi stroške zbiranja odpadkov za tiste proizvode, ki se zavržejo v javne sisteme zbiranja, vključno z infrastrukturo in njenim delovanjem, ter poznejšega prevoza in obdelave teh odpadkov.</w:t>
      </w:r>
      <w:bookmarkEnd w:id="43"/>
      <w:r w:rsidRPr="008D14BD">
        <w:rPr>
          <w:rFonts w:ascii="Verdana" w:hAnsi="Verdana"/>
        </w:rPr>
        <w:t xml:space="preserve"> </w:t>
      </w:r>
    </w:p>
    <w:p w14:paraId="5E55935B" w14:textId="77777777" w:rsidR="00F92863" w:rsidRPr="008D14BD" w:rsidRDefault="00F92863" w:rsidP="00C525D6">
      <w:pPr>
        <w:pStyle w:val="ListParagraph"/>
        <w:numPr>
          <w:ilvl w:val="0"/>
          <w:numId w:val="36"/>
        </w:numPr>
        <w:jc w:val="both"/>
        <w:rPr>
          <w:rFonts w:ascii="Verdana" w:hAnsi="Verdana"/>
        </w:rPr>
      </w:pPr>
      <w:bookmarkStart w:id="44" w:name="_Ref63444282"/>
      <w:r w:rsidRPr="008D14BD">
        <w:rPr>
          <w:rFonts w:ascii="Verdana" w:hAnsi="Verdana"/>
        </w:rPr>
        <w:t>Stroški iz prejšnjega odstavka lahko vključujejo vzpostavitev posebne infrastrukture za zbiranje odpadkov za te proizvode, kot so ustrezne posode za odpadke na lokacijah, ki so najbolj obremenjene zaradi smetenja.</w:t>
      </w:r>
      <w:bookmarkEnd w:id="44"/>
      <w:r w:rsidRPr="008D14BD">
        <w:rPr>
          <w:rFonts w:ascii="Verdana" w:hAnsi="Verdana"/>
        </w:rPr>
        <w:t xml:space="preserve"> </w:t>
      </w:r>
    </w:p>
    <w:p w14:paraId="1402E2DA" w14:textId="14DE25D9" w:rsidR="00F92863" w:rsidRPr="008D14BD" w:rsidRDefault="00F92863" w:rsidP="00C525D6">
      <w:pPr>
        <w:pStyle w:val="ListParagraph"/>
        <w:numPr>
          <w:ilvl w:val="0"/>
          <w:numId w:val="36"/>
        </w:numPr>
        <w:jc w:val="both"/>
        <w:rPr>
          <w:rFonts w:ascii="Verdana" w:hAnsi="Verdana"/>
        </w:rPr>
      </w:pPr>
      <w:r w:rsidRPr="008D14BD">
        <w:rPr>
          <w:rFonts w:ascii="Verdana" w:hAnsi="Verdana"/>
        </w:rPr>
        <w:t>Stroški iz prejšnji odstavkov, ki jih je treba kriti, ne smejo presegati stroškov, ki so potrebni za stroškovno učinkovito opravljanje storitev, navedenih v teh odstavkih, in se med zadevnimi akterji določijo na pregleden način.</w:t>
      </w:r>
    </w:p>
    <w:p w14:paraId="4DC58209" w14:textId="295EBFA3" w:rsidR="00F92863" w:rsidRPr="008D14BD" w:rsidRDefault="00F92863" w:rsidP="00C525D6">
      <w:pPr>
        <w:pStyle w:val="ListParagraph"/>
        <w:numPr>
          <w:ilvl w:val="0"/>
          <w:numId w:val="36"/>
        </w:numPr>
        <w:jc w:val="both"/>
        <w:rPr>
          <w:rFonts w:ascii="Verdana" w:hAnsi="Verdana"/>
        </w:rPr>
      </w:pPr>
      <w:r w:rsidRPr="008D14BD">
        <w:rPr>
          <w:rFonts w:ascii="Verdana" w:hAnsi="Verdana"/>
        </w:rPr>
        <w:t>Stroški čiščenja okolja zaradi odvrženih smeti so omejeni na dejavnosti, ki jih izvajajo javni organi ali se izvajajo v njihovem imenu, metodologija izračuna pa se razvije na način, ki omogoča, da se stroški čiščenja okolja zaradi odvrženih smeti določijo sorazmerno.</w:t>
      </w:r>
    </w:p>
    <w:p w14:paraId="2D1A7FFE" w14:textId="77777777" w:rsidR="00F92863" w:rsidRPr="008D14BD" w:rsidRDefault="00F92863" w:rsidP="00C525D6">
      <w:pPr>
        <w:pStyle w:val="ListParagraph"/>
        <w:numPr>
          <w:ilvl w:val="0"/>
          <w:numId w:val="36"/>
        </w:numPr>
        <w:jc w:val="both"/>
        <w:rPr>
          <w:rFonts w:ascii="Verdana" w:hAnsi="Verdana"/>
        </w:rPr>
      </w:pPr>
      <w:r w:rsidRPr="008D14BD">
        <w:rPr>
          <w:rFonts w:ascii="Verdana" w:hAnsi="Verdana"/>
        </w:rPr>
        <w:t>Za čim večje zmanjšanje upravnih stroškov se finančni prispevki za stroške čiščenja smeti določijo z opredelitvijo ustreznih večletnih fiksnih zneskov, ki se določijo po odredbi članov vlade, pristojnih za gospodarske in okoljske zadeve.</w:t>
      </w:r>
    </w:p>
    <w:p w14:paraId="6CACFC40" w14:textId="5C1FE9BF" w:rsidR="00F92863" w:rsidRPr="008D14BD" w:rsidRDefault="00F92863" w:rsidP="00C525D6">
      <w:pPr>
        <w:pStyle w:val="ListParagraph"/>
        <w:numPr>
          <w:ilvl w:val="0"/>
          <w:numId w:val="36"/>
        </w:numPr>
        <w:jc w:val="both"/>
        <w:rPr>
          <w:rFonts w:ascii="Verdana" w:hAnsi="Verdana"/>
        </w:rPr>
      </w:pPr>
      <w:r w:rsidRPr="008D14BD">
        <w:rPr>
          <w:rFonts w:ascii="Verdana" w:hAnsi="Verdana"/>
        </w:rPr>
        <w:t>Finančni prispevki iz prejšnjega odstavka se lahko posodobijo in morajo biti vselej skladni s smernicami, ki jih je Evropska komisija sprejela glede meril v zvezi s stroški čiščenja okolja zaradi odvrženih smeti.</w:t>
      </w:r>
    </w:p>
    <w:p w14:paraId="5AD567E5" w14:textId="01156E0F" w:rsidR="00231C0A" w:rsidRPr="008D14BD" w:rsidRDefault="00231C0A" w:rsidP="00C525D6">
      <w:pPr>
        <w:pStyle w:val="ListParagraph"/>
        <w:numPr>
          <w:ilvl w:val="0"/>
          <w:numId w:val="36"/>
        </w:numPr>
        <w:jc w:val="both"/>
        <w:rPr>
          <w:rFonts w:ascii="Verdana" w:hAnsi="Verdana"/>
        </w:rPr>
      </w:pPr>
      <w:bookmarkStart w:id="45" w:name="_Ref63672961"/>
      <w:r w:rsidRPr="008D14BD">
        <w:rPr>
          <w:rFonts w:ascii="Verdana" w:hAnsi="Verdana"/>
        </w:rPr>
        <w:t>Kar zadeva sheme razširjene odgovornosti proizvajalcev, vzpostavljene v skladu s točko (3) člena 14, proizvajalci ribolovnega orodja, ki vsebuje plastiko, krijejo stroške ločenega zbiranja odpadnega ribolovnega orodja, ki vsebuje plastiko, ki je bilo dostavljeno v ustrezne pristaniške sprejemne zmogljivosti v skladu z uredbo z zakonsko močjo št. 102/2020 z dne 9. decembra ali v druge enakovredne sisteme zbiranja, ki ne sodijo na področje uporabe navedene direktive, ter stroške njihovega poznejšega prevoza in obdelave.</w:t>
      </w:r>
      <w:bookmarkEnd w:id="45"/>
      <w:r w:rsidRPr="008D14BD">
        <w:rPr>
          <w:rFonts w:ascii="Verdana" w:hAnsi="Verdana"/>
        </w:rPr>
        <w:t xml:space="preserve"> </w:t>
      </w:r>
    </w:p>
    <w:p w14:paraId="47FFA491" w14:textId="2E2BE508" w:rsidR="00231C0A" w:rsidRPr="008D14BD" w:rsidRDefault="00231C0A" w:rsidP="00C525D6">
      <w:pPr>
        <w:pStyle w:val="ListParagraph"/>
        <w:numPr>
          <w:ilvl w:val="0"/>
          <w:numId w:val="36"/>
        </w:numPr>
        <w:jc w:val="both"/>
        <w:rPr>
          <w:rFonts w:ascii="Verdana" w:hAnsi="Verdana"/>
        </w:rPr>
      </w:pPr>
      <w:bookmarkStart w:id="46" w:name="_Ref63672968"/>
      <w:r w:rsidRPr="008D14BD">
        <w:rPr>
          <w:rFonts w:ascii="Verdana" w:hAnsi="Verdana"/>
        </w:rPr>
        <w:t>Proizvajalci ribolovnega orodja krijejo tudi stroške ukrepov za ozaveščanje iz člena 18 te uredbe v zvezi s temi proizvodi.</w:t>
      </w:r>
      <w:bookmarkEnd w:id="46"/>
      <w:r w:rsidRPr="008D14BD">
        <w:rPr>
          <w:rFonts w:ascii="Verdana" w:hAnsi="Verdana"/>
        </w:rPr>
        <w:t xml:space="preserve"> </w:t>
      </w:r>
    </w:p>
    <w:p w14:paraId="3559297D" w14:textId="26D04FCD" w:rsidR="00231C0A" w:rsidRPr="008D14BD" w:rsidRDefault="00231C0A" w:rsidP="00C525D6">
      <w:pPr>
        <w:pStyle w:val="ListParagraph"/>
        <w:numPr>
          <w:ilvl w:val="0"/>
          <w:numId w:val="36"/>
        </w:numPr>
        <w:jc w:val="both"/>
        <w:rPr>
          <w:rFonts w:ascii="Verdana" w:hAnsi="Verdana"/>
        </w:rPr>
      </w:pPr>
      <w:r w:rsidRPr="008D14BD">
        <w:rPr>
          <w:rFonts w:ascii="Verdana" w:hAnsi="Verdana"/>
        </w:rPr>
        <w:t xml:space="preserve">Zahteve iz odstavkov 9 in 10 dopolnjujejo zahteve, ki se uporabljajo za odpadke z ribiških plovil, določene v uredbi z zakonsko močjo št. 102/2020 z dne 9. decembra. </w:t>
      </w:r>
    </w:p>
    <w:p w14:paraId="690C7125" w14:textId="69198AB9" w:rsidR="00F92863" w:rsidRPr="008D14BD" w:rsidRDefault="00F92863" w:rsidP="00F92863">
      <w:pPr>
        <w:rPr>
          <w:rFonts w:ascii="Verdana" w:hAnsi="Verdana"/>
        </w:rPr>
      </w:pPr>
    </w:p>
    <w:p w14:paraId="64CD888A" w14:textId="162B1D69" w:rsidR="003F14EA" w:rsidRPr="008D14BD" w:rsidRDefault="00AC3F76" w:rsidP="000600E7">
      <w:pPr>
        <w:pStyle w:val="Heading2"/>
        <w:numPr>
          <w:ilvl w:val="0"/>
          <w:numId w:val="0"/>
        </w:numPr>
        <w:tabs>
          <w:tab w:val="clear" w:pos="1701"/>
          <w:tab w:val="left" w:pos="1418"/>
        </w:tabs>
        <w:ind w:left="426"/>
      </w:pPr>
      <w:r w:rsidRPr="008D14BD">
        <w:t>Člen 16</w:t>
      </w:r>
      <w:r w:rsidRPr="008D14BD">
        <w:br/>
      </w:r>
      <w:bookmarkStart w:id="47" w:name="_Ref66121774"/>
      <w:r w:rsidRPr="008D14BD">
        <w:t>Pooblaščeni zastopnik</w:t>
      </w:r>
      <w:bookmarkEnd w:id="47"/>
    </w:p>
    <w:p w14:paraId="0E6F245D" w14:textId="77777777" w:rsidR="00014396" w:rsidRPr="008D14BD" w:rsidRDefault="00014396" w:rsidP="00014396">
      <w:pPr>
        <w:rPr>
          <w:rFonts w:ascii="Verdana" w:hAnsi="Verdana"/>
        </w:rPr>
      </w:pPr>
    </w:p>
    <w:p w14:paraId="5E8ECB47" w14:textId="794F8C80" w:rsidR="00231C0A" w:rsidRPr="008D14BD" w:rsidRDefault="00231C0A" w:rsidP="00C525D6">
      <w:pPr>
        <w:pStyle w:val="ListParagraph"/>
        <w:numPr>
          <w:ilvl w:val="0"/>
          <w:numId w:val="39"/>
        </w:numPr>
        <w:jc w:val="both"/>
        <w:rPr>
          <w:rFonts w:ascii="Verdana" w:hAnsi="Verdana"/>
        </w:rPr>
      </w:pPr>
      <w:r w:rsidRPr="008D14BD">
        <w:rPr>
          <w:rFonts w:ascii="Verdana" w:hAnsi="Verdana"/>
        </w:rPr>
        <w:t>Proizvajalci plastičnih izdelkov za enkratno uporabo iz členov 13 in 14, ki imajo sedež v drugi državi članici Evropske unije ali v tretji državi in ki izdelke prek sredstev za komunikacijo na daljavo prodajajo neposredno končnim potrošnikom na Portugalskem, morajo imenovati fizično ali pravno osebo s sedežem na Portugalskem za svojega pooblaščenega zastopnika, ki je odgovoren za izpolnjevanje obveznosti iz te uredbe z zakonsko močjo.</w:t>
      </w:r>
    </w:p>
    <w:p w14:paraId="7C661ED7" w14:textId="27C8AC62" w:rsidR="00231C0A" w:rsidRPr="008D14BD" w:rsidRDefault="00231C0A" w:rsidP="00C525D6">
      <w:pPr>
        <w:pStyle w:val="ListParagraph"/>
        <w:numPr>
          <w:ilvl w:val="0"/>
          <w:numId w:val="39"/>
        </w:numPr>
        <w:jc w:val="both"/>
        <w:rPr>
          <w:rFonts w:ascii="Verdana" w:hAnsi="Verdana"/>
        </w:rPr>
      </w:pPr>
      <w:r w:rsidRPr="008D14BD">
        <w:rPr>
          <w:rFonts w:ascii="Verdana" w:hAnsi="Verdana"/>
        </w:rPr>
        <w:t>Brez poseganja v obveznost iz odstavka 13 lahko proizvajalci plastičnih izdelkov za enkratno uporabo iz členov 13 in 14 s sedežem v drugi državi članici Evropske unije imenujejo fizično ali pravno osebo s sedežem na Portugalskem za svojega pooblaščenega zastopnika za izpolnjevanje obveznosti proizvajalca iz te uredbe z zakonsko močjo.</w:t>
      </w:r>
    </w:p>
    <w:p w14:paraId="55C99F0A" w14:textId="3DA443E7" w:rsidR="001F7456" w:rsidRPr="008D14BD" w:rsidRDefault="001F7456" w:rsidP="00C525D6">
      <w:pPr>
        <w:pStyle w:val="ListParagraph"/>
        <w:numPr>
          <w:ilvl w:val="0"/>
          <w:numId w:val="39"/>
        </w:numPr>
        <w:jc w:val="both"/>
        <w:rPr>
          <w:rFonts w:ascii="Verdana" w:hAnsi="Verdana"/>
        </w:rPr>
      </w:pPr>
      <w:r w:rsidRPr="008D14BD">
        <w:rPr>
          <w:rFonts w:ascii="Verdana" w:hAnsi="Verdana"/>
        </w:rPr>
        <w:t>Proizvajalci s sedežem na Portugalskem, ki prodajajo plastične proizvode za enkratno uporabo iz členov 13 in 14 prek sredstev za komunikacijo na daljavo neposredno končnim potrošnikom v drugi državi članici, v kateri nimajo sedeža, imenujejo pooblaščenega predstavnika v tej državi članici, ki je odgovoren za izpolnjevanje obveznosti proizvajalca na podlagi te uredbe z zakonsko močjo na ozemlju te druge države članice.</w:t>
      </w:r>
    </w:p>
    <w:p w14:paraId="77BFA3F9" w14:textId="2747B585" w:rsidR="00CC50F8" w:rsidRPr="008D14BD" w:rsidRDefault="003679EF" w:rsidP="00C525D6">
      <w:pPr>
        <w:pStyle w:val="ListParagraph"/>
        <w:numPr>
          <w:ilvl w:val="0"/>
          <w:numId w:val="39"/>
        </w:numPr>
        <w:jc w:val="both"/>
        <w:rPr>
          <w:rFonts w:ascii="Verdana" w:hAnsi="Verdana"/>
        </w:rPr>
      </w:pPr>
      <w:r w:rsidRPr="008D14BD">
        <w:rPr>
          <w:rFonts w:ascii="Verdana" w:hAnsi="Verdana"/>
        </w:rPr>
        <w:t>Pri tem morajo biti izpolnjeni pogoji za imenovanje pooblaščenega zastopnika in druge ustrezne obveznosti iz člena 20 Unilex.</w:t>
      </w:r>
    </w:p>
    <w:p w14:paraId="7547E496" w14:textId="621945A0" w:rsidR="004A192F" w:rsidRPr="008D14BD"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Pr="008D14BD"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8D14BD" w:rsidRDefault="003F14EA" w:rsidP="00AA057C">
      <w:pPr>
        <w:pStyle w:val="Heading1"/>
        <w:tabs>
          <w:tab w:val="clear" w:pos="3969"/>
          <w:tab w:val="left" w:pos="2410"/>
        </w:tabs>
        <w:ind w:firstLine="180"/>
      </w:pPr>
      <w:r w:rsidRPr="008D14BD">
        <w:br/>
        <w:t>Ločeno zbiranje</w:t>
      </w:r>
    </w:p>
    <w:p w14:paraId="6118BF46" w14:textId="0F140822" w:rsidR="00ED79DD" w:rsidRPr="008D14BD" w:rsidRDefault="00AC3F76" w:rsidP="000600E7">
      <w:pPr>
        <w:pStyle w:val="Heading2"/>
        <w:numPr>
          <w:ilvl w:val="0"/>
          <w:numId w:val="0"/>
        </w:numPr>
        <w:tabs>
          <w:tab w:val="clear" w:pos="1701"/>
          <w:tab w:val="left" w:pos="1418"/>
        </w:tabs>
        <w:ind w:left="426"/>
      </w:pPr>
      <w:r w:rsidRPr="008D14BD">
        <w:t>Člen 17</w:t>
      </w:r>
      <w:r w:rsidRPr="008D14BD">
        <w:br/>
      </w:r>
      <w:bookmarkStart w:id="48" w:name="_Ref66121801"/>
      <w:r w:rsidRPr="008D14BD">
        <w:t>Cilji ločenega zbiranja steklenic</w:t>
      </w:r>
      <w:bookmarkEnd w:id="48"/>
    </w:p>
    <w:p w14:paraId="663DD529" w14:textId="77777777" w:rsidR="00DA0902" w:rsidRPr="008D14BD" w:rsidRDefault="00DA0902" w:rsidP="00DA0902">
      <w:pPr>
        <w:rPr>
          <w:rFonts w:ascii="Verdana" w:hAnsi="Verdana"/>
        </w:rPr>
      </w:pPr>
    </w:p>
    <w:p w14:paraId="4881CA6C" w14:textId="46F49258" w:rsidR="006236DA" w:rsidRPr="008D14BD" w:rsidRDefault="006236DA" w:rsidP="00C525D6">
      <w:pPr>
        <w:pStyle w:val="ListParagraph"/>
        <w:numPr>
          <w:ilvl w:val="0"/>
          <w:numId w:val="40"/>
        </w:numPr>
        <w:jc w:val="both"/>
        <w:rPr>
          <w:rFonts w:ascii="Verdana" w:hAnsi="Verdana"/>
        </w:rPr>
      </w:pPr>
      <w:bookmarkStart w:id="49" w:name="_Ref63698199"/>
      <w:r w:rsidRPr="008D14BD">
        <w:rPr>
          <w:rFonts w:ascii="Verdana" w:hAnsi="Verdana"/>
        </w:rPr>
        <w:lastRenderedPageBreak/>
        <w:t>Proizvajalci plastenk za enkratno uporabo za pijače s prostornino do treh litrov, vključno z njihovimi pokrovčki in zamaški, morajo zagotoviti:</w:t>
      </w:r>
    </w:p>
    <w:p w14:paraId="00529814" w14:textId="55C98796" w:rsidR="006236DA" w:rsidRPr="008D14BD" w:rsidRDefault="006236DA" w:rsidP="00C525D6">
      <w:pPr>
        <w:pStyle w:val="ListParagraph"/>
        <w:numPr>
          <w:ilvl w:val="0"/>
          <w:numId w:val="41"/>
        </w:numPr>
        <w:spacing w:line="240" w:lineRule="auto"/>
        <w:rPr>
          <w:rFonts w:ascii="Verdana" w:hAnsi="Verdana"/>
        </w:rPr>
      </w:pPr>
      <w:r w:rsidRPr="008D14BD">
        <w:rPr>
          <w:rFonts w:ascii="Verdana" w:hAnsi="Verdana"/>
        </w:rPr>
        <w:t>do 31. decembra 2025 ločeno zbiranje odpadkov za recikliranje v deležu najmanj 77 % takih proizvodov, danih na trg v danem letu, glede na maso;</w:t>
      </w:r>
    </w:p>
    <w:p w14:paraId="1B95B4D1" w14:textId="2F6357FD" w:rsidR="006236DA" w:rsidRPr="008D14BD" w:rsidRDefault="006236DA" w:rsidP="00C525D6">
      <w:pPr>
        <w:pStyle w:val="ListParagraph"/>
        <w:numPr>
          <w:ilvl w:val="0"/>
          <w:numId w:val="41"/>
        </w:numPr>
        <w:spacing w:line="240" w:lineRule="auto"/>
        <w:rPr>
          <w:rFonts w:ascii="Verdana" w:hAnsi="Verdana"/>
        </w:rPr>
      </w:pPr>
      <w:r w:rsidRPr="008D14BD">
        <w:rPr>
          <w:rFonts w:ascii="Verdana" w:hAnsi="Verdana"/>
        </w:rPr>
        <w:t>do 31. decembra 2029 ločeno zbiranje odpadkov za recikliranje v deležu najmanj 90 % takih proizvodov, danih na trg v danem letu, glede na maso.</w:t>
      </w:r>
    </w:p>
    <w:p w14:paraId="2A1F56ED" w14:textId="4E3E67AA" w:rsidR="006236DA" w:rsidRPr="008D14BD" w:rsidRDefault="006236DA" w:rsidP="00C525D6">
      <w:pPr>
        <w:pStyle w:val="ListParagraph"/>
        <w:numPr>
          <w:ilvl w:val="0"/>
          <w:numId w:val="40"/>
        </w:numPr>
        <w:jc w:val="both"/>
        <w:rPr>
          <w:rFonts w:ascii="Verdana" w:hAnsi="Verdana"/>
        </w:rPr>
      </w:pPr>
      <w:r w:rsidRPr="008D14BD">
        <w:rPr>
          <w:rFonts w:ascii="Verdana" w:hAnsi="Verdana"/>
        </w:rPr>
        <w:t>K doseganju ciljev, določenih v prejšnjih odstavkih, bo pripomogel tudi sistem odlaganja plastične embalaže za enkratno uporabo iz člena 23c Unilex v sedanji obliki.</w:t>
      </w:r>
    </w:p>
    <w:bookmarkEnd w:id="49"/>
    <w:p w14:paraId="53319A72" w14:textId="61D4E81F" w:rsidR="00A53FF8" w:rsidRPr="008D14BD" w:rsidRDefault="00A53FF8" w:rsidP="00C525D6">
      <w:pPr>
        <w:pStyle w:val="ListParagraph"/>
        <w:numPr>
          <w:ilvl w:val="0"/>
          <w:numId w:val="40"/>
        </w:numPr>
        <w:jc w:val="both"/>
        <w:rPr>
          <w:rFonts w:ascii="Verdana" w:hAnsi="Verdana"/>
        </w:rPr>
      </w:pPr>
      <w:r w:rsidRPr="008D14BD">
        <w:rPr>
          <w:rFonts w:ascii="Verdana" w:hAnsi="Verdana"/>
        </w:rPr>
        <w:t>Iz odstavkov 1 in 2 se izključi naslednje:</w:t>
      </w:r>
    </w:p>
    <w:p w14:paraId="0351D4D5" w14:textId="2D9F9A35" w:rsidR="006236DA" w:rsidRPr="008D14BD" w:rsidRDefault="00A53FF8" w:rsidP="00C525D6">
      <w:pPr>
        <w:pStyle w:val="ListParagraph"/>
        <w:numPr>
          <w:ilvl w:val="0"/>
          <w:numId w:val="42"/>
        </w:numPr>
        <w:spacing w:line="240" w:lineRule="auto"/>
        <w:rPr>
          <w:rFonts w:ascii="Verdana" w:hAnsi="Verdana"/>
        </w:rPr>
      </w:pPr>
      <w:r w:rsidRPr="008D14BD">
        <w:rPr>
          <w:rFonts w:ascii="Verdana" w:hAnsi="Verdana"/>
        </w:rPr>
        <w:t xml:space="preserve">steklene ali kovinske steklenice za pijače s pokrovčki in zamaški iz plastike; </w:t>
      </w:r>
    </w:p>
    <w:p w14:paraId="3CEC0E19" w14:textId="77777777" w:rsidR="00A53FF8" w:rsidRPr="008D14BD" w:rsidRDefault="00A53FF8" w:rsidP="00C525D6">
      <w:pPr>
        <w:pStyle w:val="ListParagraph"/>
        <w:numPr>
          <w:ilvl w:val="0"/>
          <w:numId w:val="42"/>
        </w:numPr>
        <w:spacing w:line="240" w:lineRule="auto"/>
        <w:rPr>
          <w:rFonts w:ascii="Verdana" w:hAnsi="Verdana"/>
        </w:rPr>
      </w:pPr>
      <w:r w:rsidRPr="008D14BD">
        <w:rPr>
          <w:rFonts w:ascii="Verdana" w:hAnsi="Verdana"/>
        </w:rPr>
        <w:t>steklenice za pijače, namenjene in uporabljene za živila za posebne zdravstvene namene, kot so opredeljeni v točki (g) člena 2 Uredbe (EU) št. 609/2013, ki so v tekoči obliki.</w:t>
      </w:r>
    </w:p>
    <w:p w14:paraId="0D3B6430" w14:textId="20E31A6E" w:rsidR="003067B2" w:rsidRPr="008D14BD" w:rsidRDefault="003067B2" w:rsidP="00C525D6">
      <w:pPr>
        <w:pStyle w:val="ListParagraph"/>
        <w:numPr>
          <w:ilvl w:val="0"/>
          <w:numId w:val="40"/>
        </w:numPr>
        <w:jc w:val="both"/>
        <w:rPr>
          <w:rFonts w:ascii="Verdana" w:hAnsi="Verdana"/>
        </w:rPr>
      </w:pPr>
      <w:r w:rsidRPr="008D14BD">
        <w:rPr>
          <w:rFonts w:ascii="Verdana" w:hAnsi="Verdana"/>
        </w:rPr>
        <w:t xml:space="preserve">Pri preverjanju skladnosti s cilji iz odstavkov 1 in 2 se upoštevajo pravila za izračun, določena v izvedbenem aktu, ki ga sprejme Evropska komisija. </w:t>
      </w:r>
    </w:p>
    <w:p w14:paraId="5B274A4B" w14:textId="1678079D" w:rsidR="002B07FB" w:rsidRPr="008D14BD" w:rsidRDefault="00486308" w:rsidP="00C525D6">
      <w:pPr>
        <w:pStyle w:val="ListParagraph"/>
        <w:numPr>
          <w:ilvl w:val="0"/>
          <w:numId w:val="40"/>
        </w:numPr>
        <w:jc w:val="both"/>
        <w:rPr>
          <w:rFonts w:ascii="Verdana" w:hAnsi="Verdana"/>
        </w:rPr>
      </w:pPr>
      <w:r w:rsidRPr="008D14BD">
        <w:rPr>
          <w:rFonts w:ascii="Verdana" w:hAnsi="Verdana"/>
        </w:rPr>
        <w:t>Za količino plastenk za enkratno uporabo za pijače s prostornino do treh litrov, ki so bile dane v promet, se šteje, da je enaka količini odpadkov, nastalih iz takih plastenk, vključno s smetmi, v danem letu.</w:t>
      </w:r>
    </w:p>
    <w:p w14:paraId="4DBFCC05" w14:textId="77777777" w:rsidR="00E1488F" w:rsidRPr="008D14BD" w:rsidRDefault="00E1488F" w:rsidP="003B7EF0">
      <w:pPr>
        <w:spacing w:after="0"/>
        <w:rPr>
          <w:rFonts w:ascii="Verdana" w:hAnsi="Verdana"/>
          <w:b/>
          <w:sz w:val="24"/>
        </w:rPr>
      </w:pPr>
    </w:p>
    <w:p w14:paraId="18717885" w14:textId="7BE4F46B" w:rsidR="00E06216" w:rsidRPr="008D14BD" w:rsidRDefault="00CD4ECA" w:rsidP="00A66A89">
      <w:pPr>
        <w:pStyle w:val="Heading1"/>
        <w:tabs>
          <w:tab w:val="clear" w:pos="3969"/>
          <w:tab w:val="left" w:pos="2552"/>
        </w:tabs>
      </w:pPr>
      <w:r w:rsidRPr="008D14BD">
        <w:br/>
        <w:t>Ukrepi za osveščanje</w:t>
      </w:r>
    </w:p>
    <w:p w14:paraId="4B983E0F" w14:textId="0E88C2AB" w:rsidR="00E06216" w:rsidRPr="008D14BD" w:rsidRDefault="00AC3F76" w:rsidP="00AC3F76">
      <w:pPr>
        <w:pStyle w:val="Heading2"/>
        <w:numPr>
          <w:ilvl w:val="0"/>
          <w:numId w:val="0"/>
        </w:numPr>
        <w:tabs>
          <w:tab w:val="clear" w:pos="1701"/>
          <w:tab w:val="left" w:pos="1418"/>
        </w:tabs>
        <w:ind w:left="426"/>
      </w:pPr>
      <w:bookmarkStart w:id="50" w:name="_Ref63444090"/>
      <w:r w:rsidRPr="008D14BD">
        <w:t>Člen 18</w:t>
      </w:r>
      <w:r w:rsidRPr="008D14BD">
        <w:br/>
      </w:r>
      <w:bookmarkStart w:id="51" w:name="_Ref66121837"/>
      <w:r w:rsidRPr="008D14BD">
        <w:t>Ukrepi za ozaveščanje</w:t>
      </w:r>
      <w:bookmarkEnd w:id="50"/>
      <w:bookmarkEnd w:id="51"/>
    </w:p>
    <w:p w14:paraId="176D4E94" w14:textId="77777777" w:rsidR="00DA0902" w:rsidRPr="008D14BD" w:rsidRDefault="00DA0902" w:rsidP="000E29F8">
      <w:pPr>
        <w:rPr>
          <w:rFonts w:ascii="Verdana" w:hAnsi="Verdana"/>
        </w:rPr>
      </w:pPr>
    </w:p>
    <w:p w14:paraId="6254D43E" w14:textId="4CDEA858" w:rsidR="00EE73F2" w:rsidRPr="008D14BD" w:rsidRDefault="00EE73F2" w:rsidP="00C525D6">
      <w:pPr>
        <w:pStyle w:val="ListParagraph"/>
        <w:numPr>
          <w:ilvl w:val="0"/>
          <w:numId w:val="43"/>
        </w:numPr>
        <w:ind w:left="709"/>
        <w:jc w:val="both"/>
        <w:rPr>
          <w:rFonts w:ascii="Verdana" w:hAnsi="Verdana"/>
        </w:rPr>
      </w:pPr>
      <w:r w:rsidRPr="008D14BD">
        <w:rPr>
          <w:rFonts w:ascii="Verdana" w:hAnsi="Verdana"/>
        </w:rPr>
        <w:t>Proizvajalci, ki dajejo na trg proizvode iz odstavka 3 tega člena in ribolovno orodje, morajo spodbujati kampanje obveščanja in ozaveščanja potrošnikov ter uporabnikov takih proizvodov, s ciljem spodbujati odgovorno ravnanje in zmanjšati količino odpadkov iz takih proizvodov.</w:t>
      </w:r>
    </w:p>
    <w:p w14:paraId="6B5F3553" w14:textId="77777777" w:rsidR="00EE73F2" w:rsidRPr="008D14BD" w:rsidRDefault="00EE73F2" w:rsidP="00C525D6">
      <w:pPr>
        <w:pStyle w:val="ListParagraph"/>
        <w:numPr>
          <w:ilvl w:val="0"/>
          <w:numId w:val="43"/>
        </w:numPr>
        <w:ind w:left="709"/>
        <w:jc w:val="both"/>
        <w:rPr>
          <w:rFonts w:ascii="Verdana" w:hAnsi="Verdana"/>
        </w:rPr>
      </w:pPr>
      <w:r w:rsidRPr="008D14BD">
        <w:rPr>
          <w:rFonts w:ascii="Verdana" w:hAnsi="Verdana"/>
        </w:rPr>
        <w:lastRenderedPageBreak/>
        <w:t>Kampanje iz prejšnjega odstavka morajo vključevati vsaj informacije o:</w:t>
      </w:r>
    </w:p>
    <w:p w14:paraId="3E8D9316" w14:textId="40533EE7" w:rsidR="00EE73F2" w:rsidRPr="008D14BD" w:rsidRDefault="00EE73F2" w:rsidP="00C525D6">
      <w:pPr>
        <w:pStyle w:val="ListParagraph"/>
        <w:numPr>
          <w:ilvl w:val="0"/>
          <w:numId w:val="44"/>
        </w:numPr>
        <w:spacing w:line="240" w:lineRule="auto"/>
        <w:ind w:left="1134"/>
        <w:rPr>
          <w:rFonts w:ascii="Verdana" w:hAnsi="Verdana"/>
        </w:rPr>
      </w:pPr>
      <w:r w:rsidRPr="008D14BD">
        <w:rPr>
          <w:rFonts w:ascii="Verdana" w:hAnsi="Verdana"/>
        </w:rPr>
        <w:t>Razpoložljivosti nadomestnih možnosti za večkratno uporabo, sistemih ponovne uporabe in možnostih ravnanja z odpadki za plastične proizvode za enkratno uporabo in ribolovno orodje, ki vsebuje plastiko, ter o najboljših praksah ravnanja z odpadki, ki se izvajajo v skladu s členom 6 GSWM;</w:t>
      </w:r>
    </w:p>
    <w:p w14:paraId="0AFDDD62" w14:textId="77777777" w:rsidR="001D4FEE" w:rsidRPr="008D14BD" w:rsidRDefault="00EE73F2" w:rsidP="00C525D6">
      <w:pPr>
        <w:pStyle w:val="ListParagraph"/>
        <w:numPr>
          <w:ilvl w:val="0"/>
          <w:numId w:val="44"/>
        </w:numPr>
        <w:spacing w:line="240" w:lineRule="auto"/>
        <w:ind w:left="1134"/>
        <w:rPr>
          <w:rFonts w:ascii="Verdana" w:hAnsi="Verdana"/>
        </w:rPr>
      </w:pPr>
      <w:r w:rsidRPr="008D14BD">
        <w:rPr>
          <w:rFonts w:ascii="Verdana" w:hAnsi="Verdana"/>
        </w:rPr>
        <w:t xml:space="preserve">vplivu odstranjevanja odpadkov in drugih neprimernih metod odstranjevanja odpadkov iz plastičnih proizvodov za enkratno uporabo in ribolovnega orodja, ki vsebuje plastiko, na okolje, še posebej na morsko okolje; ter </w:t>
      </w:r>
    </w:p>
    <w:p w14:paraId="21CDC05E" w14:textId="4822A51C" w:rsidR="00EE73F2" w:rsidRPr="008D14BD" w:rsidRDefault="00EE73F2" w:rsidP="00C525D6">
      <w:pPr>
        <w:pStyle w:val="ListParagraph"/>
        <w:numPr>
          <w:ilvl w:val="0"/>
          <w:numId w:val="44"/>
        </w:numPr>
        <w:spacing w:line="240" w:lineRule="auto"/>
        <w:ind w:left="1134"/>
        <w:rPr>
          <w:rFonts w:ascii="Verdana" w:hAnsi="Verdana"/>
        </w:rPr>
      </w:pPr>
      <w:r w:rsidRPr="008D14BD">
        <w:rPr>
          <w:rFonts w:ascii="Verdana" w:hAnsi="Verdana"/>
        </w:rPr>
        <w:t>vplivu neustreznega načina odstranjevanja teh plastičnih proizvodov za enkratno uporabo na kanalizacijsko omrežje.</w:t>
      </w:r>
    </w:p>
    <w:p w14:paraId="6D59A259" w14:textId="7D55787E" w:rsidR="00EE73F2" w:rsidRPr="008D14BD" w:rsidRDefault="00EE73F2" w:rsidP="00C525D6">
      <w:pPr>
        <w:pStyle w:val="ListParagraph"/>
        <w:numPr>
          <w:ilvl w:val="0"/>
          <w:numId w:val="43"/>
        </w:numPr>
        <w:ind w:left="709"/>
        <w:jc w:val="both"/>
        <w:rPr>
          <w:rFonts w:ascii="Verdana" w:hAnsi="Verdana"/>
        </w:rPr>
      </w:pPr>
      <w:r w:rsidRPr="008D14BD">
        <w:rPr>
          <w:rFonts w:ascii="Verdana" w:hAnsi="Verdana"/>
        </w:rPr>
        <w:t>plastični proizvodi za enkratno uporabo, za katere se izvajajo kampanje ozaveščanja in obveščanja iz odstavka 1 tega člena, so:</w:t>
      </w:r>
    </w:p>
    <w:p w14:paraId="22B6261F"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posode za hrano, tj. posode, kot so škatle, s pokrovom ali brez, ki se uporabljajo za živila, ki: </w:t>
      </w:r>
    </w:p>
    <w:p w14:paraId="40E13B6B" w14:textId="77777777" w:rsidR="00EE73F2" w:rsidRPr="008D14BD" w:rsidRDefault="00EE73F2" w:rsidP="00C525D6">
      <w:pPr>
        <w:pStyle w:val="ListParagraph"/>
        <w:numPr>
          <w:ilvl w:val="0"/>
          <w:numId w:val="45"/>
        </w:numPr>
        <w:autoSpaceDE w:val="0"/>
        <w:autoSpaceDN w:val="0"/>
        <w:adjustRightInd w:val="0"/>
        <w:ind w:left="1560"/>
        <w:jc w:val="both"/>
        <w:rPr>
          <w:rFonts w:ascii="Verdana" w:hAnsi="Verdana"/>
        </w:rPr>
      </w:pPr>
      <w:r w:rsidRPr="008D14BD">
        <w:rPr>
          <w:rFonts w:ascii="Verdana" w:hAnsi="Verdana"/>
        </w:rPr>
        <w:t xml:space="preserve">so namenjena za takojšnje zaužitje, bodisi na kraju samem ali jih potrošniki odnesejo s seboj, </w:t>
      </w:r>
    </w:p>
    <w:p w14:paraId="1BB14EA4" w14:textId="77777777" w:rsidR="00EE73F2" w:rsidRPr="008D14BD" w:rsidRDefault="00EE73F2" w:rsidP="00C525D6">
      <w:pPr>
        <w:pStyle w:val="ListParagraph"/>
        <w:numPr>
          <w:ilvl w:val="0"/>
          <w:numId w:val="45"/>
        </w:numPr>
        <w:autoSpaceDE w:val="0"/>
        <w:autoSpaceDN w:val="0"/>
        <w:adjustRightInd w:val="0"/>
        <w:ind w:left="1560"/>
        <w:jc w:val="both"/>
        <w:rPr>
          <w:rFonts w:ascii="Verdana" w:hAnsi="Verdana"/>
        </w:rPr>
      </w:pPr>
      <w:r w:rsidRPr="008D14BD">
        <w:rPr>
          <w:rFonts w:ascii="Verdana" w:hAnsi="Verdana"/>
        </w:rPr>
        <w:t xml:space="preserve">se običajno zaužijejo iz posode in </w:t>
      </w:r>
    </w:p>
    <w:p w14:paraId="7C22AA17" w14:textId="77777777" w:rsidR="00EE73F2" w:rsidRPr="008D14BD" w:rsidRDefault="00EE73F2" w:rsidP="00C525D6">
      <w:pPr>
        <w:pStyle w:val="ListParagraph"/>
        <w:numPr>
          <w:ilvl w:val="0"/>
          <w:numId w:val="45"/>
        </w:numPr>
        <w:autoSpaceDE w:val="0"/>
        <w:autoSpaceDN w:val="0"/>
        <w:adjustRightInd w:val="0"/>
        <w:ind w:left="1560"/>
        <w:jc w:val="both"/>
        <w:rPr>
          <w:rFonts w:ascii="Verdana" w:hAnsi="Verdana"/>
        </w:rPr>
      </w:pPr>
      <w:r w:rsidRPr="008D14BD">
        <w:rPr>
          <w:rFonts w:ascii="Verdana" w:hAnsi="Verdana"/>
        </w:rPr>
        <w:t xml:space="preserve">so pripravljena za uživanje brez kakršne koli nadaljnje priprave, tj. brez kuhanja, vrenja ali segrevanja, </w:t>
      </w:r>
    </w:p>
    <w:p w14:paraId="58E41D41" w14:textId="77777777" w:rsidR="00EE73F2" w:rsidRPr="008D14BD" w:rsidRDefault="00EE73F2" w:rsidP="006B0045">
      <w:pPr>
        <w:pStyle w:val="ListParagraph"/>
        <w:spacing w:line="240" w:lineRule="auto"/>
        <w:ind w:left="1134"/>
        <w:rPr>
          <w:rFonts w:ascii="Verdana" w:hAnsi="Verdana"/>
        </w:rPr>
      </w:pPr>
      <w:r w:rsidRPr="008D14BD">
        <w:rPr>
          <w:rFonts w:ascii="Verdana" w:hAnsi="Verdana"/>
        </w:rPr>
        <w:t xml:space="preserve">vključno s posodami za živila, ki se uporabljajo za hitro prehrano ali druge obroke, namenjene za takojšnje zaužitje, razen vsebnikov za pijačo, krožnikov, zavitkov in ovojev s hrano; </w:t>
      </w:r>
    </w:p>
    <w:p w14:paraId="42432BD7"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zavitki in ovoji iz prožnega materiala, ki vsebuje živila, namenjena za takojšnje zaužitje iz zavitka ali ovoja brez nadaljnje priprave; </w:t>
      </w:r>
    </w:p>
    <w:p w14:paraId="25F5C028"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 vsebniki za pijače s prostornino do treh litrov, torej posode, ki se uporabljajo za tekočine, kot so steklenice za pijače, vključno z njihovimi pokrovčki in zamaški, in sestavljena embalaža za pijače, vključno s pokrovčki in zamaški, vendar ne stekleni ali kovinski vsebniki za pijače, katerih pokrovčki in zamaški so narejeni iz plastike; </w:t>
      </w:r>
    </w:p>
    <w:p w14:paraId="5FD98B55"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skodelice za pijačo, vključno s pokrovčki in zamaški; </w:t>
      </w:r>
    </w:p>
    <w:p w14:paraId="37C31CB0"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 tobačni izdelki s filtri in filtri, ki se tržijo za uporabo skupaj s tobačnimi izdelki; </w:t>
      </w:r>
    </w:p>
    <w:p w14:paraId="5330597D"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 vlažilni robčki, torej predhodno navlažene brisače za osebno higieno in gospodinjsko rabo; </w:t>
      </w:r>
    </w:p>
    <w:p w14:paraId="00E5EA2E"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 xml:space="preserve"> baloni, razen balonov za industrijsko in drugo poklicno rabo in uporabo, ki se ne razdeljujejo potrošnikom; </w:t>
      </w:r>
    </w:p>
    <w:p w14:paraId="0F558B0E" w14:textId="7981C8AC"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t>lahke plastične nosilne vrečke;</w:t>
      </w:r>
    </w:p>
    <w:p w14:paraId="5FC44F3C" w14:textId="77777777" w:rsidR="00EE73F2" w:rsidRPr="008D14BD" w:rsidRDefault="00EE73F2" w:rsidP="00C525D6">
      <w:pPr>
        <w:pStyle w:val="ListParagraph"/>
        <w:numPr>
          <w:ilvl w:val="0"/>
          <w:numId w:val="46"/>
        </w:numPr>
        <w:spacing w:line="240" w:lineRule="auto"/>
        <w:ind w:left="1134"/>
        <w:rPr>
          <w:rFonts w:ascii="Verdana" w:hAnsi="Verdana"/>
        </w:rPr>
      </w:pPr>
      <w:r w:rsidRPr="008D14BD">
        <w:rPr>
          <w:rFonts w:ascii="Verdana" w:hAnsi="Verdana"/>
        </w:rPr>
        <w:lastRenderedPageBreak/>
        <w:t xml:space="preserve"> sanitarne brisače (blazinice), tamponi in tamponski aplikatorji;</w:t>
      </w:r>
    </w:p>
    <w:p w14:paraId="3B85A2EB" w14:textId="3E56771B" w:rsidR="00EE73F2" w:rsidRPr="008D14BD" w:rsidRDefault="004E09D6" w:rsidP="00C525D6">
      <w:pPr>
        <w:pStyle w:val="ListParagraph"/>
        <w:numPr>
          <w:ilvl w:val="0"/>
          <w:numId w:val="43"/>
        </w:numPr>
        <w:ind w:left="709"/>
        <w:jc w:val="both"/>
        <w:rPr>
          <w:rFonts w:ascii="Verdana" w:hAnsi="Verdana"/>
        </w:rPr>
      </w:pPr>
      <w:r w:rsidRPr="008D14BD">
        <w:rPr>
          <w:rFonts w:ascii="Verdana" w:hAnsi="Verdana"/>
        </w:rPr>
        <w:t>Za plastične proizvode za enkratno uporabo iz točk (a) do (g) prejšnjega odstavka morajo proizvajalci izpolnjevati obveznost iz tega člena prek vodstvenega organa integriranega sistema, na katerega prenesejo razširjeno odgovornost proizvajalca, ali posamičnega sistema, odobrenega v skladu s pravili Unilex.</w:t>
      </w:r>
    </w:p>
    <w:p w14:paraId="58299463" w14:textId="31299E33" w:rsidR="00B779E1" w:rsidRPr="008D14BD" w:rsidRDefault="005016C9" w:rsidP="00C525D6">
      <w:pPr>
        <w:pStyle w:val="ListParagraph"/>
        <w:numPr>
          <w:ilvl w:val="0"/>
          <w:numId w:val="43"/>
        </w:numPr>
        <w:ind w:left="709"/>
        <w:jc w:val="both"/>
        <w:rPr>
          <w:rFonts w:ascii="Verdana" w:hAnsi="Verdana"/>
        </w:rPr>
      </w:pPr>
      <w:r w:rsidRPr="008D14BD">
        <w:rPr>
          <w:rFonts w:ascii="Verdana" w:hAnsi="Verdana"/>
        </w:rPr>
        <w:t xml:space="preserve">V primeru plastičnih proizvodov za enkratno uporabo iz odstavka 3(h) morajo proizvajalci obveznosti iz odstavkov 1 in 2 izpolnjevati posamezno in/ali prek reprezentativnega združenja. </w:t>
      </w:r>
    </w:p>
    <w:p w14:paraId="4B055247" w14:textId="2EBF5C69" w:rsidR="002B37F4" w:rsidRPr="008D14BD" w:rsidRDefault="004C777A" w:rsidP="00C525D6">
      <w:pPr>
        <w:pStyle w:val="ListParagraph"/>
        <w:numPr>
          <w:ilvl w:val="0"/>
          <w:numId w:val="43"/>
        </w:numPr>
        <w:ind w:left="709"/>
        <w:jc w:val="both"/>
        <w:rPr>
          <w:rFonts w:ascii="Verdana" w:hAnsi="Verdana"/>
        </w:rPr>
      </w:pPr>
      <w:r w:rsidRPr="008D14BD">
        <w:rPr>
          <w:rFonts w:ascii="Verdana" w:hAnsi="Verdana"/>
        </w:rPr>
        <w:t>Proizvajalci in/ali združenja iz prejšnjega odstavka morajo poslati APA, I.P. in DGAE poročilo, ki prikazuje kampanje, izvedene v skladu z odstavkoma 1 in 2, do 30. aprila naslednjega leta, ki vsebuje najmanj informacije iz dokumenta, objavljenega na spletnih portalih APA, I.P. in DGAE.</w:t>
      </w:r>
    </w:p>
    <w:p w14:paraId="25C23FBA" w14:textId="0F60BA64" w:rsidR="004C777A" w:rsidRPr="008D14BD" w:rsidRDefault="002B37F4" w:rsidP="00C525D6">
      <w:pPr>
        <w:pStyle w:val="ListParagraph"/>
        <w:numPr>
          <w:ilvl w:val="0"/>
          <w:numId w:val="43"/>
        </w:numPr>
        <w:ind w:left="709"/>
        <w:jc w:val="both"/>
        <w:rPr>
          <w:rFonts w:ascii="Verdana" w:hAnsi="Verdana"/>
        </w:rPr>
      </w:pPr>
      <w:r w:rsidRPr="008D14BD">
        <w:rPr>
          <w:rFonts w:ascii="Verdana" w:hAnsi="Verdana"/>
        </w:rPr>
        <w:t>Brez poseganja v odgovornost proizvajalcev iz prejšnjih odstavkov, morajo drugi gospodarski subjekti, vključeni v trgovinsko verigo, zlasti distributerji, prodajalci in ponudniki gostinskih storitev, odgovorni za dajanje proizvodov iz odstavka 3 tega člena in ribolovnega orodja na trg, glede na svojo bližino potrošnikom in končnim uporabnikom, prav tako prispevati k obveščanju in ozaveščenosti o takih proizvodih.</w:t>
      </w:r>
    </w:p>
    <w:p w14:paraId="4359F6E2" w14:textId="46BE87AA" w:rsidR="00A26F33" w:rsidRPr="008D14BD" w:rsidRDefault="00A26F33" w:rsidP="00C525D6">
      <w:pPr>
        <w:pStyle w:val="ListParagraph"/>
        <w:numPr>
          <w:ilvl w:val="0"/>
          <w:numId w:val="43"/>
        </w:numPr>
        <w:ind w:left="709"/>
        <w:jc w:val="both"/>
        <w:rPr>
          <w:rFonts w:ascii="Verdana" w:hAnsi="Verdana"/>
        </w:rPr>
      </w:pPr>
      <w:r w:rsidRPr="008D14BD">
        <w:rPr>
          <w:rFonts w:ascii="Verdana" w:hAnsi="Verdana"/>
        </w:rPr>
        <w:t>Gospodarski subjekti iz prejšnjega odstavka morajo voditi evidenco, v kateri so prikazani izvedeni ukrepi obveščanja in ozaveščanja, in jo na zahtevo dati na razpolago pristojnim organom.</w:t>
      </w:r>
    </w:p>
    <w:p w14:paraId="617C23B6" w14:textId="58FCB739" w:rsidR="008B4B7F" w:rsidRPr="008D14BD" w:rsidRDefault="008B4B7F" w:rsidP="009820C4">
      <w:pPr>
        <w:rPr>
          <w:rFonts w:ascii="Verdana" w:hAnsi="Verdana"/>
          <w:b/>
          <w:sz w:val="24"/>
        </w:rPr>
      </w:pPr>
    </w:p>
    <w:p w14:paraId="07713E95" w14:textId="47FB0247" w:rsidR="006B0668" w:rsidRPr="008D14BD" w:rsidRDefault="00AE50FA" w:rsidP="000600E7">
      <w:pPr>
        <w:pStyle w:val="Heading1"/>
        <w:tabs>
          <w:tab w:val="clear" w:pos="3969"/>
          <w:tab w:val="left" w:pos="2268"/>
        </w:tabs>
        <w:ind w:firstLine="540"/>
      </w:pPr>
      <w:r w:rsidRPr="008D14BD">
        <w:br/>
        <w:t>Poročanje</w:t>
      </w:r>
    </w:p>
    <w:p w14:paraId="1B798C4B" w14:textId="4329DFBF" w:rsidR="0075174E" w:rsidRPr="008D14BD" w:rsidRDefault="00AC3F76" w:rsidP="00AC3F76">
      <w:pPr>
        <w:pStyle w:val="Heading2"/>
        <w:numPr>
          <w:ilvl w:val="0"/>
          <w:numId w:val="0"/>
        </w:numPr>
        <w:tabs>
          <w:tab w:val="clear" w:pos="1701"/>
          <w:tab w:val="left" w:pos="1418"/>
        </w:tabs>
        <w:ind w:left="426"/>
      </w:pPr>
      <w:r w:rsidRPr="008D14BD">
        <w:t>Člen 19</w:t>
      </w:r>
      <w:r w:rsidRPr="008D14BD">
        <w:br/>
        <w:t>Registracija proizvajalcev</w:t>
      </w:r>
    </w:p>
    <w:p w14:paraId="465253EE" w14:textId="77777777" w:rsidR="0075174E" w:rsidRPr="008D14BD" w:rsidRDefault="0075174E" w:rsidP="0075174E">
      <w:pPr>
        <w:rPr>
          <w:rFonts w:ascii="Verdana" w:hAnsi="Verdana"/>
        </w:rPr>
      </w:pPr>
    </w:p>
    <w:p w14:paraId="30FE0A7E" w14:textId="730BFBEF" w:rsidR="00655287" w:rsidRPr="008D14BD" w:rsidRDefault="00655287" w:rsidP="00C525D6">
      <w:pPr>
        <w:pStyle w:val="ListParagraph"/>
        <w:numPr>
          <w:ilvl w:val="0"/>
          <w:numId w:val="47"/>
        </w:numPr>
        <w:ind w:left="709"/>
        <w:jc w:val="both"/>
        <w:rPr>
          <w:rFonts w:ascii="Verdana" w:hAnsi="Verdana" w:cs="EU Albertina"/>
          <w:color w:val="000000"/>
        </w:rPr>
      </w:pPr>
      <w:r w:rsidRPr="008D14BD">
        <w:rPr>
          <w:rFonts w:ascii="Verdana" w:hAnsi="Verdana"/>
        </w:rPr>
        <w:t>Proizvajalci plastičnih proizvodov za enkratno uporabo iz te uredbe z zakonsko močjo morajo vnašati in predložiti podatke v integrirani elektronski sistem registra odpadkov (SIRER), kot je določeno v členih 97, 98 in 99 GSWM, in sicer z obveščanjem APA, I. P. o vrsti in količini proizvodov, danih na trg, brez poseganja v druge posebne informacije v primeru proizvodov, ki spadajo v poseben tok odpadkov, in v</w:t>
      </w:r>
      <w:r w:rsidRPr="008D14BD">
        <w:rPr>
          <w:rFonts w:ascii="Verdana" w:hAnsi="Verdana"/>
          <w:color w:val="000000"/>
        </w:rPr>
        <w:t xml:space="preserve"> skladu z določbami uredbe SIRER.</w:t>
      </w:r>
    </w:p>
    <w:p w14:paraId="564433F5" w14:textId="77777777" w:rsidR="001D4FEE" w:rsidRPr="008D14BD" w:rsidRDefault="00655287" w:rsidP="00C525D6">
      <w:pPr>
        <w:pStyle w:val="ListParagraph"/>
        <w:numPr>
          <w:ilvl w:val="0"/>
          <w:numId w:val="47"/>
        </w:numPr>
        <w:ind w:left="709"/>
        <w:jc w:val="both"/>
        <w:rPr>
          <w:rFonts w:ascii="Verdana" w:hAnsi="Verdana"/>
        </w:rPr>
      </w:pPr>
      <w:r w:rsidRPr="008D14BD">
        <w:rPr>
          <w:rFonts w:ascii="Verdana" w:hAnsi="Verdana"/>
        </w:rPr>
        <w:lastRenderedPageBreak/>
        <w:t>Za namene predložitve podatkov iz odstavka 31 proizvajalci proizvodov ali njihovi pooblaščeni zastopniki vsako leto do 31. marca leta (</w:t>
      </w:r>
      <w:r w:rsidRPr="008D14BD">
        <w:rPr>
          <w:rFonts w:ascii="Verdana" w:hAnsi="Verdana"/>
          <w:i/>
        </w:rPr>
        <w:t>n</w:t>
      </w:r>
      <w:r w:rsidRPr="008D14BD">
        <w:rPr>
          <w:rFonts w:ascii="Verdana" w:hAnsi="Verdana"/>
        </w:rPr>
        <w:t>) morajo predložiti:</w:t>
      </w:r>
    </w:p>
    <w:p w14:paraId="3535B3DD" w14:textId="77777777" w:rsidR="001D4FEE" w:rsidRPr="008D14BD" w:rsidRDefault="00655287" w:rsidP="00C525D6">
      <w:pPr>
        <w:pStyle w:val="ListParagraph"/>
        <w:numPr>
          <w:ilvl w:val="0"/>
          <w:numId w:val="48"/>
        </w:numPr>
        <w:ind w:left="1134"/>
        <w:jc w:val="both"/>
        <w:rPr>
          <w:rFonts w:ascii="Verdana" w:hAnsi="Verdana"/>
        </w:rPr>
      </w:pPr>
      <w:r w:rsidRPr="008D14BD">
        <w:rPr>
          <w:rFonts w:ascii="Verdana" w:hAnsi="Verdana"/>
        </w:rPr>
        <w:t>poročilo o popravkih iz prejšnjega leta (</w:t>
      </w:r>
      <w:r w:rsidRPr="008D14BD">
        <w:rPr>
          <w:rFonts w:ascii="Verdana" w:hAnsi="Verdana"/>
          <w:i/>
        </w:rPr>
        <w:t>n-1</w:t>
      </w:r>
      <w:r w:rsidRPr="008D14BD">
        <w:rPr>
          <w:rFonts w:ascii="Verdana" w:hAnsi="Verdana"/>
        </w:rPr>
        <w:t xml:space="preserve">) za sporočanje informacij o količinah proizvodov, danih na trg v letu </w:t>
      </w:r>
      <w:r w:rsidRPr="008D14BD">
        <w:rPr>
          <w:rFonts w:ascii="Verdana" w:hAnsi="Verdana"/>
          <w:i/>
        </w:rPr>
        <w:t>n-1</w:t>
      </w:r>
      <w:r w:rsidRPr="008D14BD">
        <w:rPr>
          <w:rFonts w:ascii="Verdana" w:hAnsi="Verdana"/>
        </w:rPr>
        <w:t>;</w:t>
      </w:r>
    </w:p>
    <w:p w14:paraId="33716009" w14:textId="6841F9F4" w:rsidR="00655287" w:rsidRPr="008D14BD" w:rsidRDefault="00655287" w:rsidP="00C525D6">
      <w:pPr>
        <w:pStyle w:val="ListParagraph"/>
        <w:numPr>
          <w:ilvl w:val="0"/>
          <w:numId w:val="48"/>
        </w:numPr>
        <w:ind w:left="1134" w:hanging="357"/>
        <w:jc w:val="both"/>
        <w:rPr>
          <w:rFonts w:ascii="Verdana" w:hAnsi="Verdana"/>
        </w:rPr>
      </w:pPr>
      <w:r w:rsidRPr="008D14BD">
        <w:rPr>
          <w:rFonts w:ascii="Verdana" w:hAnsi="Verdana"/>
        </w:rPr>
        <w:t xml:space="preserve">poročilo o oceni za leto n za sporočanje informacij o količinah proizvodov, za katere ocenjujejo, da bodo dani na trg v letu </w:t>
      </w:r>
      <w:r w:rsidRPr="008D14BD">
        <w:rPr>
          <w:rFonts w:ascii="Verdana" w:hAnsi="Verdana"/>
          <w:i/>
        </w:rPr>
        <w:t>n</w:t>
      </w:r>
      <w:r w:rsidRPr="008D14BD">
        <w:rPr>
          <w:rFonts w:ascii="Verdana" w:hAnsi="Verdana"/>
        </w:rPr>
        <w:t>.</w:t>
      </w:r>
    </w:p>
    <w:p w14:paraId="35305B8F" w14:textId="13A601C9" w:rsidR="00006B68" w:rsidRPr="008D14BD" w:rsidRDefault="00006B68" w:rsidP="00C525D6">
      <w:pPr>
        <w:pStyle w:val="ListParagraph"/>
        <w:numPr>
          <w:ilvl w:val="0"/>
          <w:numId w:val="47"/>
        </w:numPr>
        <w:ind w:left="709"/>
        <w:jc w:val="both"/>
        <w:rPr>
          <w:rFonts w:ascii="Verdana" w:hAnsi="Verdana"/>
        </w:rPr>
      </w:pPr>
      <w:bookmarkStart w:id="52" w:name="_Hlk66371193"/>
      <w:r w:rsidRPr="008D14BD">
        <w:rPr>
          <w:rFonts w:ascii="Verdana" w:hAnsi="Verdana"/>
        </w:rPr>
        <w:t xml:space="preserve">Za namene merjenja skladnosti z ukrepi, predvidenimi v tej uredbi z zakonsko močjo, APA, I.P. v skladu s posebno zakonodajo ali predpisi zbira naslednje informacije: </w:t>
      </w:r>
    </w:p>
    <w:p w14:paraId="281594D3" w14:textId="77777777" w:rsidR="00006B68" w:rsidRPr="008D14BD" w:rsidRDefault="00006B68" w:rsidP="00C525D6">
      <w:pPr>
        <w:pStyle w:val="ListParagraph"/>
        <w:numPr>
          <w:ilvl w:val="0"/>
          <w:numId w:val="49"/>
        </w:numPr>
        <w:ind w:left="1134"/>
        <w:jc w:val="both"/>
        <w:rPr>
          <w:rFonts w:ascii="Verdana" w:hAnsi="Verdana"/>
        </w:rPr>
      </w:pPr>
      <w:r w:rsidRPr="008D14BD">
        <w:rPr>
          <w:rFonts w:ascii="Verdana" w:hAnsi="Verdana"/>
        </w:rPr>
        <w:t xml:space="preserve">podatke o skodelicah za pijače in posodah za živila, ki so bile dane v promet, za dokazovanje zmanjšanja potrošnje v skladu s členom 7; </w:t>
      </w:r>
    </w:p>
    <w:p w14:paraId="5EFB3AEB" w14:textId="77777777" w:rsidR="00006B68" w:rsidRPr="008D14BD" w:rsidRDefault="00006B68" w:rsidP="00C525D6">
      <w:pPr>
        <w:pStyle w:val="ListParagraph"/>
        <w:numPr>
          <w:ilvl w:val="0"/>
          <w:numId w:val="49"/>
        </w:numPr>
        <w:ind w:left="1134"/>
        <w:jc w:val="both"/>
        <w:rPr>
          <w:rFonts w:ascii="Verdana" w:hAnsi="Verdana"/>
        </w:rPr>
      </w:pPr>
      <w:r w:rsidRPr="008D14BD">
        <w:rPr>
          <w:rFonts w:ascii="Verdana" w:hAnsi="Verdana"/>
        </w:rPr>
        <w:t xml:space="preserve">podatke o plastenkah za enkratno uporabo za pijače s prostornino do treh litrov, ki so bile zbrane ločeno, da se dokaže skladnost s ciljem ločenega zbiranja iz člena 17; </w:t>
      </w:r>
    </w:p>
    <w:p w14:paraId="67102229" w14:textId="77777777" w:rsidR="00006B68" w:rsidRPr="008D14BD" w:rsidRDefault="00006B68" w:rsidP="00C525D6">
      <w:pPr>
        <w:pStyle w:val="ListParagraph"/>
        <w:numPr>
          <w:ilvl w:val="0"/>
          <w:numId w:val="49"/>
        </w:numPr>
        <w:ind w:left="1134"/>
        <w:jc w:val="both"/>
        <w:rPr>
          <w:rFonts w:ascii="Verdana" w:hAnsi="Verdana"/>
        </w:rPr>
      </w:pPr>
      <w:r w:rsidRPr="008D14BD">
        <w:rPr>
          <w:rFonts w:ascii="Verdana" w:hAnsi="Verdana"/>
        </w:rPr>
        <w:t>podatke o ribolovnem orodju z vsebnostjo plastike, ki je bilo dano na trg, in o letno zbranih odpadnih ribolovnih orodjih;</w:t>
      </w:r>
    </w:p>
    <w:p w14:paraId="70FB6219" w14:textId="77777777" w:rsidR="00006B68" w:rsidRPr="008D14BD" w:rsidRDefault="00006B68" w:rsidP="00C525D6">
      <w:pPr>
        <w:pStyle w:val="ListParagraph"/>
        <w:numPr>
          <w:ilvl w:val="0"/>
          <w:numId w:val="49"/>
        </w:numPr>
        <w:ind w:left="1134"/>
        <w:jc w:val="both"/>
        <w:rPr>
          <w:rFonts w:ascii="Verdana" w:hAnsi="Verdana"/>
        </w:rPr>
      </w:pPr>
      <w:r w:rsidRPr="008D14BD">
        <w:rPr>
          <w:rFonts w:ascii="Verdana" w:hAnsi="Verdana"/>
        </w:rPr>
        <w:t>informacije o vsebnosti recikliranega materiala v steklenicah za pijače, da se dokaže skladnost s cilji iz člena 11;</w:t>
      </w:r>
    </w:p>
    <w:p w14:paraId="76EF45CD" w14:textId="24CC0CDA" w:rsidR="00006B68" w:rsidRPr="008D14BD" w:rsidRDefault="00006B68" w:rsidP="00C525D6">
      <w:pPr>
        <w:pStyle w:val="ListParagraph"/>
        <w:numPr>
          <w:ilvl w:val="0"/>
          <w:numId w:val="49"/>
        </w:numPr>
        <w:ind w:left="1134"/>
        <w:jc w:val="both"/>
        <w:rPr>
          <w:rFonts w:ascii="Verdana" w:hAnsi="Verdana"/>
        </w:rPr>
      </w:pPr>
      <w:r w:rsidRPr="008D14BD">
        <w:rPr>
          <w:rFonts w:ascii="Verdana" w:hAnsi="Verdana"/>
        </w:rPr>
        <w:t xml:space="preserve">podatki o odpadkih iz tobačnih izdelkov s filtri in filtrov, ki se tržijo za uporabo v kombinaciji s tobačnimi izdelki, zbranih v skladu s členom 15(3). </w:t>
      </w:r>
    </w:p>
    <w:p w14:paraId="626F4EE8" w14:textId="77777777" w:rsidR="00006B68" w:rsidRPr="008D14BD" w:rsidRDefault="00006B68" w:rsidP="008855C2">
      <w:pPr>
        <w:pStyle w:val="ListParagraph"/>
        <w:ind w:left="709"/>
        <w:jc w:val="both"/>
        <w:rPr>
          <w:rFonts w:ascii="Verdana" w:hAnsi="Verdana"/>
        </w:rPr>
      </w:pPr>
    </w:p>
    <w:p w14:paraId="56B0C35B" w14:textId="472AB424" w:rsidR="00006B68" w:rsidRPr="008D14BD" w:rsidRDefault="00006B68" w:rsidP="00C525D6">
      <w:pPr>
        <w:pStyle w:val="ListParagraph"/>
        <w:numPr>
          <w:ilvl w:val="0"/>
          <w:numId w:val="47"/>
        </w:numPr>
        <w:ind w:left="709"/>
        <w:jc w:val="both"/>
        <w:rPr>
          <w:rFonts w:ascii="Verdana" w:hAnsi="Verdana"/>
        </w:rPr>
      </w:pPr>
      <w:r w:rsidRPr="008D14BD">
        <w:rPr>
          <w:rFonts w:ascii="Verdana" w:hAnsi="Verdana"/>
        </w:rPr>
        <w:t>Prvo poročevalno obdobje iz točk (a) do (c) se nanaša na leto 2022.</w:t>
      </w:r>
    </w:p>
    <w:p w14:paraId="1748737B" w14:textId="270DC7A5" w:rsidR="00006B68" w:rsidRPr="008D14BD" w:rsidRDefault="00006B68" w:rsidP="00C525D6">
      <w:pPr>
        <w:pStyle w:val="ListParagraph"/>
        <w:numPr>
          <w:ilvl w:val="0"/>
          <w:numId w:val="47"/>
        </w:numPr>
        <w:ind w:left="709"/>
        <w:jc w:val="both"/>
        <w:rPr>
          <w:rFonts w:ascii="Verdana" w:hAnsi="Verdana"/>
        </w:rPr>
      </w:pPr>
      <w:r w:rsidRPr="008D14BD">
        <w:rPr>
          <w:rFonts w:ascii="Verdana" w:hAnsi="Verdana"/>
        </w:rPr>
        <w:t>Prvo poročevalno obdobje iz točk (d) in (e) velja za leto 2023.</w:t>
      </w:r>
    </w:p>
    <w:bookmarkEnd w:id="52"/>
    <w:p w14:paraId="4C26F6C4" w14:textId="76816B5C" w:rsidR="00B63641" w:rsidRPr="008D14BD" w:rsidRDefault="00B63641" w:rsidP="00C525D6">
      <w:pPr>
        <w:pStyle w:val="ListParagraph"/>
        <w:numPr>
          <w:ilvl w:val="0"/>
          <w:numId w:val="47"/>
        </w:numPr>
        <w:ind w:left="709"/>
        <w:jc w:val="both"/>
        <w:rPr>
          <w:rFonts w:ascii="Verdana" w:hAnsi="Verdana"/>
        </w:rPr>
      </w:pPr>
      <w:r w:rsidRPr="008D14BD">
        <w:rPr>
          <w:rFonts w:ascii="Verdana" w:hAnsi="Verdana"/>
        </w:rPr>
        <w:t>Za zbiranje in obdelavo podatkov, ki izhajajo iz obveznosti iz prejšnjega odstavka, velja zakonodaja o varstvu osebnih podatkov.</w:t>
      </w:r>
    </w:p>
    <w:p w14:paraId="3D42586E" w14:textId="77777777" w:rsidR="00B63641" w:rsidRPr="008D14BD" w:rsidRDefault="00B63641" w:rsidP="008855C2">
      <w:pPr>
        <w:pStyle w:val="ListParagraph"/>
        <w:ind w:left="709"/>
        <w:jc w:val="both"/>
        <w:rPr>
          <w:rFonts w:ascii="Verdana" w:hAnsi="Verdana"/>
        </w:rPr>
      </w:pPr>
    </w:p>
    <w:p w14:paraId="1D7B605F" w14:textId="3BF02AFE" w:rsidR="006B0668" w:rsidRPr="008D14BD" w:rsidRDefault="00DD1E2B" w:rsidP="008855C2">
      <w:pPr>
        <w:pStyle w:val="Heading1"/>
        <w:tabs>
          <w:tab w:val="clear" w:pos="3969"/>
        </w:tabs>
      </w:pPr>
      <w:r w:rsidRPr="008D14BD">
        <w:br/>
        <w:t>Sistem spremljanja in upravnega prekrška</w:t>
      </w:r>
    </w:p>
    <w:p w14:paraId="504AC209" w14:textId="3D54499C" w:rsidR="006B0668" w:rsidRPr="008D14BD" w:rsidRDefault="00AC3F76" w:rsidP="00AC3F76">
      <w:pPr>
        <w:pStyle w:val="Heading2"/>
        <w:numPr>
          <w:ilvl w:val="0"/>
          <w:numId w:val="0"/>
        </w:numPr>
        <w:tabs>
          <w:tab w:val="clear" w:pos="1701"/>
          <w:tab w:val="left" w:pos="1418"/>
        </w:tabs>
        <w:ind w:left="426"/>
      </w:pPr>
      <w:r w:rsidRPr="008D14BD">
        <w:t>Člen 20</w:t>
      </w:r>
      <w:r w:rsidRPr="008D14BD">
        <w:br/>
        <w:t>Inšpekcija in spremljanje</w:t>
      </w:r>
    </w:p>
    <w:p w14:paraId="52BFFB6C" w14:textId="77777777" w:rsidR="00B82A72" w:rsidRPr="008D14BD" w:rsidRDefault="00B82A72" w:rsidP="00B82A72">
      <w:pPr>
        <w:rPr>
          <w:rFonts w:ascii="Verdana" w:hAnsi="Verdana"/>
        </w:rPr>
      </w:pPr>
    </w:p>
    <w:p w14:paraId="5F02C2E9" w14:textId="59F292EB" w:rsidR="006B0668" w:rsidRPr="008D14BD" w:rsidRDefault="006B0668" w:rsidP="00C525D6">
      <w:pPr>
        <w:pStyle w:val="ListParagraph"/>
        <w:numPr>
          <w:ilvl w:val="0"/>
          <w:numId w:val="50"/>
        </w:numPr>
        <w:ind w:left="709"/>
        <w:jc w:val="both"/>
        <w:rPr>
          <w:rFonts w:ascii="Verdana" w:hAnsi="Verdana"/>
        </w:rPr>
      </w:pPr>
      <w:r w:rsidRPr="008D14BD">
        <w:rPr>
          <w:rFonts w:ascii="Verdana" w:hAnsi="Verdana"/>
        </w:rPr>
        <w:t xml:space="preserve">Za spremljanje skladnosti z določbami te uredbe z zakonsko močjo so odgovorni Generalni inšpektorat za kmetijstvo, morje, okolje in prostor </w:t>
      </w:r>
      <w:r w:rsidRPr="008D14BD">
        <w:rPr>
          <w:rFonts w:ascii="Verdana" w:hAnsi="Verdana"/>
        </w:rPr>
        <w:lastRenderedPageBreak/>
        <w:t>(IGAMAOT), Organ za varnost hrane in gospodarsko varnost (ASAE) ter Davčni in carinski organ (AT) ter policijski organi v skladu s svojimi ozemeljskimi pristojnostmi.</w:t>
      </w:r>
    </w:p>
    <w:p w14:paraId="07FC5737" w14:textId="70AB462A" w:rsidR="006B0668" w:rsidRPr="008D14BD" w:rsidRDefault="006B0668" w:rsidP="00C525D6">
      <w:pPr>
        <w:pStyle w:val="ListParagraph"/>
        <w:numPr>
          <w:ilvl w:val="0"/>
          <w:numId w:val="50"/>
        </w:numPr>
        <w:ind w:left="709"/>
        <w:jc w:val="both"/>
        <w:rPr>
          <w:rFonts w:ascii="Verdana" w:hAnsi="Verdana"/>
        </w:rPr>
      </w:pPr>
      <w:r w:rsidRPr="008D14BD">
        <w:rPr>
          <w:rFonts w:ascii="Verdana" w:hAnsi="Verdana"/>
        </w:rPr>
        <w:t>Določbe iz prejšnjega odstavka ne posegajo v izvajanje nadzornih in policijskih pooblastil, dodeljenih drugim javnim organom.</w:t>
      </w:r>
    </w:p>
    <w:p w14:paraId="3BBF5192" w14:textId="77777777" w:rsidR="006B0668" w:rsidRPr="008D14BD" w:rsidRDefault="006B0668" w:rsidP="006B0668">
      <w:pPr>
        <w:jc w:val="center"/>
        <w:rPr>
          <w:rFonts w:ascii="Verdana" w:hAnsi="Verdana"/>
        </w:rPr>
      </w:pPr>
    </w:p>
    <w:p w14:paraId="64B92E95" w14:textId="6598AC2D" w:rsidR="00D22B19" w:rsidRPr="008D14BD" w:rsidRDefault="00AC3F76" w:rsidP="00AC3F76">
      <w:pPr>
        <w:pStyle w:val="Heading2"/>
        <w:numPr>
          <w:ilvl w:val="0"/>
          <w:numId w:val="0"/>
        </w:numPr>
        <w:tabs>
          <w:tab w:val="clear" w:pos="1701"/>
          <w:tab w:val="left" w:pos="1276"/>
        </w:tabs>
        <w:ind w:left="426"/>
      </w:pPr>
      <w:r w:rsidRPr="008D14BD">
        <w:t>Člen 21</w:t>
      </w:r>
      <w:r w:rsidRPr="008D14BD">
        <w:br/>
        <w:t>Gospodarski upravni prekrški</w:t>
      </w:r>
    </w:p>
    <w:p w14:paraId="0561408D" w14:textId="77777777" w:rsidR="00B82A72" w:rsidRPr="008D14BD" w:rsidRDefault="00B82A72" w:rsidP="00B82A72">
      <w:pPr>
        <w:rPr>
          <w:rFonts w:ascii="Verdana" w:hAnsi="Verdana"/>
        </w:rPr>
      </w:pPr>
    </w:p>
    <w:p w14:paraId="380E9DA4" w14:textId="2D1DBB67" w:rsidR="00D22B19" w:rsidRPr="008D14BD" w:rsidRDefault="00757BC4" w:rsidP="00C525D6">
      <w:pPr>
        <w:pStyle w:val="ListParagraph"/>
        <w:numPr>
          <w:ilvl w:val="0"/>
          <w:numId w:val="51"/>
        </w:numPr>
        <w:ind w:left="709"/>
        <w:jc w:val="both"/>
        <w:rPr>
          <w:rFonts w:ascii="Verdana" w:hAnsi="Verdana"/>
        </w:rPr>
      </w:pPr>
      <w:r w:rsidRPr="008D14BD">
        <w:rPr>
          <w:rFonts w:ascii="Verdana" w:hAnsi="Verdana"/>
        </w:rPr>
        <w:t>Naslednja dejanja predstavljajo hude gospodarske upravne prekrške, ki se kaznujejo v okviru Pravne sheme za gospodarske upravne prekrške, odobrene v okviru uredbe z zakonsko močjo št. 9/2021 z dne 29. januarja:</w:t>
      </w:r>
    </w:p>
    <w:p w14:paraId="5D42299A" w14:textId="4C05EAFA" w:rsidR="00757BC4" w:rsidRPr="008D14BD" w:rsidRDefault="00757BC4" w:rsidP="00C525D6">
      <w:pPr>
        <w:pStyle w:val="ListParagraph"/>
        <w:numPr>
          <w:ilvl w:val="1"/>
          <w:numId w:val="52"/>
        </w:numPr>
        <w:spacing w:after="0"/>
        <w:ind w:left="1134"/>
        <w:jc w:val="both"/>
        <w:rPr>
          <w:rFonts w:ascii="Verdana" w:hAnsi="Verdana"/>
        </w:rPr>
      </w:pPr>
      <w:r w:rsidRPr="008D14BD">
        <w:rPr>
          <w:rFonts w:ascii="Verdana" w:hAnsi="Verdana"/>
        </w:rPr>
        <w:t xml:space="preserve">neskladnost s členom 4(1); </w:t>
      </w:r>
    </w:p>
    <w:p w14:paraId="423006AE" w14:textId="3B2478D6" w:rsidR="00B94B1F" w:rsidRPr="008D14BD" w:rsidRDefault="00B94B1F" w:rsidP="00C525D6">
      <w:pPr>
        <w:pStyle w:val="ListParagraph"/>
        <w:numPr>
          <w:ilvl w:val="1"/>
          <w:numId w:val="52"/>
        </w:numPr>
        <w:spacing w:after="0"/>
        <w:ind w:left="1134"/>
        <w:jc w:val="both"/>
        <w:rPr>
          <w:rFonts w:ascii="Verdana" w:hAnsi="Verdana"/>
        </w:rPr>
      </w:pPr>
      <w:r w:rsidRPr="008D14BD">
        <w:rPr>
          <w:rFonts w:ascii="Verdana" w:hAnsi="Verdana"/>
        </w:rPr>
        <w:t xml:space="preserve">neskladnost s členom 4(2); </w:t>
      </w:r>
    </w:p>
    <w:p w14:paraId="013C6DC8" w14:textId="0AD0363E" w:rsidR="008B1B8C" w:rsidRPr="008D14BD" w:rsidRDefault="008B1B8C" w:rsidP="00C525D6">
      <w:pPr>
        <w:pStyle w:val="ListParagraph"/>
        <w:numPr>
          <w:ilvl w:val="1"/>
          <w:numId w:val="52"/>
        </w:numPr>
        <w:spacing w:after="0"/>
        <w:ind w:left="1134"/>
        <w:jc w:val="both"/>
        <w:rPr>
          <w:rFonts w:ascii="Verdana" w:hAnsi="Verdana"/>
        </w:rPr>
      </w:pPr>
      <w:r w:rsidRPr="008D14BD">
        <w:rPr>
          <w:rFonts w:ascii="Verdana" w:hAnsi="Verdana"/>
        </w:rPr>
        <w:t xml:space="preserve">neskladnost s členom 5(1); </w:t>
      </w:r>
    </w:p>
    <w:p w14:paraId="70BD8DE9" w14:textId="49FB245A" w:rsidR="008B1B8C" w:rsidRPr="008D14BD" w:rsidRDefault="008B1B8C" w:rsidP="00C525D6">
      <w:pPr>
        <w:pStyle w:val="ListParagraph"/>
        <w:numPr>
          <w:ilvl w:val="1"/>
          <w:numId w:val="52"/>
        </w:numPr>
        <w:spacing w:after="0"/>
        <w:ind w:left="1134"/>
        <w:jc w:val="both"/>
        <w:rPr>
          <w:rFonts w:ascii="Verdana" w:hAnsi="Verdana"/>
        </w:rPr>
      </w:pPr>
      <w:r w:rsidRPr="008D14BD">
        <w:rPr>
          <w:rFonts w:ascii="Verdana" w:hAnsi="Verdana"/>
        </w:rPr>
        <w:t xml:space="preserve">neskladnost s členom 5(2) s strani subjektov, ki izvajajo dejavnosti, določene v tem členu; </w:t>
      </w:r>
    </w:p>
    <w:p w14:paraId="79B7025C" w14:textId="52342E57" w:rsidR="007D2095" w:rsidRPr="008D14BD" w:rsidRDefault="007D2095" w:rsidP="00C525D6">
      <w:pPr>
        <w:pStyle w:val="ListParagraph"/>
        <w:numPr>
          <w:ilvl w:val="1"/>
          <w:numId w:val="52"/>
        </w:numPr>
        <w:spacing w:after="0"/>
        <w:ind w:left="1134"/>
        <w:jc w:val="both"/>
        <w:rPr>
          <w:rFonts w:ascii="Verdana" w:hAnsi="Verdana"/>
        </w:rPr>
      </w:pPr>
      <w:r w:rsidRPr="008D14BD">
        <w:rPr>
          <w:rFonts w:ascii="Verdana" w:hAnsi="Verdana"/>
        </w:rPr>
        <w:t>neupoštevanje ukrepov iz člena 8(1), (2) ter (5) in (6);</w:t>
      </w:r>
    </w:p>
    <w:p w14:paraId="2A1AD62E" w14:textId="24C37A57" w:rsidR="006802F6" w:rsidRPr="008D14BD" w:rsidRDefault="006802F6" w:rsidP="00C525D6">
      <w:pPr>
        <w:pStyle w:val="ListParagraph"/>
        <w:numPr>
          <w:ilvl w:val="1"/>
          <w:numId w:val="52"/>
        </w:numPr>
        <w:spacing w:after="0"/>
        <w:ind w:left="1134"/>
        <w:jc w:val="both"/>
        <w:rPr>
          <w:rFonts w:ascii="Verdana" w:hAnsi="Verdana"/>
        </w:rPr>
      </w:pPr>
      <w:r w:rsidRPr="008D14BD">
        <w:rPr>
          <w:rFonts w:ascii="Verdana" w:hAnsi="Verdana"/>
        </w:rPr>
        <w:t>neizpolnjevanje obveznosti proizvajalca, da imenuje pooblaščenega zastopnika v skladu s členom 20(3);</w:t>
      </w:r>
    </w:p>
    <w:p w14:paraId="597A0744" w14:textId="1E4E2581" w:rsidR="00D22B19" w:rsidRPr="008D14BD" w:rsidRDefault="00D22B19" w:rsidP="00C525D6">
      <w:pPr>
        <w:pStyle w:val="ListParagraph"/>
        <w:numPr>
          <w:ilvl w:val="0"/>
          <w:numId w:val="51"/>
        </w:numPr>
        <w:ind w:left="709"/>
        <w:jc w:val="both"/>
        <w:rPr>
          <w:rFonts w:ascii="Verdana" w:hAnsi="Verdana"/>
        </w:rPr>
      </w:pPr>
      <w:r w:rsidRPr="008D14BD">
        <w:rPr>
          <w:rFonts w:ascii="Verdana" w:hAnsi="Verdana"/>
        </w:rPr>
        <w:t xml:space="preserve">2. Poskus storitve prekrška in malomarnosti se kaznuje, najnižje in najvišje omejitve globe pa se zmanjšajo na polovico. </w:t>
      </w:r>
    </w:p>
    <w:p w14:paraId="46A43068" w14:textId="77777777" w:rsidR="00D22B19" w:rsidRPr="008D14BD" w:rsidRDefault="00D22B19" w:rsidP="00FB0A52">
      <w:pPr>
        <w:rPr>
          <w:rFonts w:ascii="Verdana" w:hAnsi="Verdana"/>
        </w:rPr>
      </w:pPr>
    </w:p>
    <w:p w14:paraId="62AA6CC8" w14:textId="51D77CD8" w:rsidR="002B3376" w:rsidRPr="008D14BD" w:rsidRDefault="00AC3F76" w:rsidP="00AC3F76">
      <w:pPr>
        <w:pStyle w:val="Heading2"/>
        <w:numPr>
          <w:ilvl w:val="0"/>
          <w:numId w:val="0"/>
        </w:numPr>
        <w:ind w:left="426"/>
      </w:pPr>
      <w:r w:rsidRPr="008D14BD">
        <w:t>Člen 22</w:t>
      </w:r>
      <w:r w:rsidRPr="008D14BD">
        <w:br/>
        <w:t>Prihodki iz naslova glob</w:t>
      </w:r>
    </w:p>
    <w:p w14:paraId="418208D4" w14:textId="77777777" w:rsidR="00B82A72" w:rsidRPr="008D14BD" w:rsidRDefault="00B82A72" w:rsidP="00B82A72">
      <w:pPr>
        <w:rPr>
          <w:rFonts w:ascii="Verdana" w:hAnsi="Verdana"/>
        </w:rPr>
      </w:pPr>
    </w:p>
    <w:p w14:paraId="49DD38B3" w14:textId="5F90344D" w:rsidR="008B1B8C" w:rsidRPr="008D14BD" w:rsidRDefault="00D22B19" w:rsidP="00B82A72">
      <w:pPr>
        <w:jc w:val="both"/>
        <w:rPr>
          <w:rFonts w:ascii="Verdana" w:hAnsi="Verdana"/>
        </w:rPr>
      </w:pPr>
      <w:r w:rsidRPr="008D14BD">
        <w:rPr>
          <w:rFonts w:ascii="Verdana" w:hAnsi="Verdana"/>
        </w:rPr>
        <w:t xml:space="preserve">Prihodki iz naslova glob iz prejšnjega člena se porazdelijo v skladu s </w:t>
      </w:r>
      <w:r w:rsidRPr="008D14BD">
        <w:rPr>
          <w:rFonts w:ascii="Verdana" w:hAnsi="Verdana"/>
          <w:color w:val="000000" w:themeColor="text1"/>
          <w:shd w:val="clear" w:color="auto" w:fill="FFFFFF"/>
        </w:rPr>
        <w:t>Pravnim režimom za gospodarske upravne prekrške</w:t>
      </w:r>
      <w:r w:rsidRPr="008D14BD">
        <w:rPr>
          <w:rFonts w:ascii="Verdana" w:hAnsi="Verdana"/>
        </w:rPr>
        <w:t xml:space="preserve">. </w:t>
      </w:r>
    </w:p>
    <w:p w14:paraId="7BB9EBFC" w14:textId="77777777" w:rsidR="002B3376" w:rsidRPr="008D14BD" w:rsidRDefault="002B3376" w:rsidP="00FB0A52">
      <w:pPr>
        <w:rPr>
          <w:rFonts w:ascii="Verdana" w:hAnsi="Verdana"/>
        </w:rPr>
      </w:pPr>
    </w:p>
    <w:p w14:paraId="29AD576B" w14:textId="0B7D8431" w:rsidR="004551A4" w:rsidRPr="008D14BD" w:rsidRDefault="00AC3F76" w:rsidP="00AC3F76">
      <w:pPr>
        <w:pStyle w:val="Heading2"/>
        <w:numPr>
          <w:ilvl w:val="0"/>
          <w:numId w:val="0"/>
        </w:numPr>
        <w:tabs>
          <w:tab w:val="clear" w:pos="1701"/>
        </w:tabs>
        <w:ind w:left="426"/>
      </w:pPr>
      <w:r w:rsidRPr="008D14BD">
        <w:t>Člen 23</w:t>
      </w:r>
      <w:r w:rsidRPr="008D14BD">
        <w:br/>
        <w:t>Okoljski upravni prekrški</w:t>
      </w:r>
    </w:p>
    <w:p w14:paraId="37B492A3" w14:textId="77777777" w:rsidR="002B3376" w:rsidRPr="008D14BD" w:rsidRDefault="002B3376" w:rsidP="002B3376">
      <w:pPr>
        <w:rPr>
          <w:rFonts w:ascii="Verdana" w:hAnsi="Verdana"/>
        </w:rPr>
      </w:pPr>
    </w:p>
    <w:p w14:paraId="04444803" w14:textId="3745F447" w:rsidR="004551A4" w:rsidRPr="008D14BD" w:rsidRDefault="004551A4" w:rsidP="00C525D6">
      <w:pPr>
        <w:pStyle w:val="ListParagraph"/>
        <w:numPr>
          <w:ilvl w:val="0"/>
          <w:numId w:val="53"/>
        </w:numPr>
        <w:ind w:left="709"/>
        <w:jc w:val="both"/>
        <w:rPr>
          <w:rFonts w:ascii="Verdana" w:hAnsi="Verdana"/>
        </w:rPr>
      </w:pPr>
      <w:r w:rsidRPr="008D14BD">
        <w:rPr>
          <w:rFonts w:ascii="Verdana" w:hAnsi="Verdana"/>
        </w:rPr>
        <w:lastRenderedPageBreak/>
        <w:t xml:space="preserve">Naslednje predstavlja zelo hud prekršek okoljski upravni prekršek, ki se kaznuje v skladu z Okvirnim zakonom o okoljskih upravnih prekrških, sprejetim kot priloga k </w:t>
      </w:r>
      <w:hyperlink r:id="rId8" w:tgtFrame="_blank" w:tooltip="Zakon št. 50/2006" w:history="1">
        <w:r w:rsidRPr="008D14BD">
          <w:rPr>
            <w:rFonts w:ascii="Verdana" w:hAnsi="Verdana"/>
          </w:rPr>
          <w:t>zakonu št. 50/2006</w:t>
        </w:r>
      </w:hyperlink>
      <w:r w:rsidRPr="008D14BD">
        <w:rPr>
          <w:rFonts w:ascii="Verdana" w:hAnsi="Verdana"/>
        </w:rPr>
        <w:t xml:space="preserve"> z dne 29. avgusta, v sedanjem besedilu:</w:t>
      </w:r>
    </w:p>
    <w:p w14:paraId="1FC85153" w14:textId="734444EC" w:rsidR="00DD1E2B" w:rsidRPr="008D14BD" w:rsidRDefault="005630B1" w:rsidP="00C525D6">
      <w:pPr>
        <w:pStyle w:val="ListParagraph"/>
        <w:numPr>
          <w:ilvl w:val="1"/>
          <w:numId w:val="54"/>
        </w:numPr>
        <w:spacing w:after="0"/>
        <w:ind w:left="1134"/>
        <w:jc w:val="both"/>
        <w:rPr>
          <w:rFonts w:ascii="Verdana" w:hAnsi="Verdana"/>
        </w:rPr>
      </w:pPr>
      <w:r w:rsidRPr="008D14BD">
        <w:rPr>
          <w:rFonts w:ascii="Verdana" w:hAnsi="Verdana"/>
        </w:rPr>
        <w:t>neskladnost z vključitvijo reciklirane plastike v steklenice za pijačo iz člena 11(5);</w:t>
      </w:r>
    </w:p>
    <w:p w14:paraId="379602CA" w14:textId="7B93E60C" w:rsidR="004551A4" w:rsidRPr="008D14BD" w:rsidRDefault="004551A4" w:rsidP="00C525D6">
      <w:pPr>
        <w:pStyle w:val="ListParagraph"/>
        <w:numPr>
          <w:ilvl w:val="0"/>
          <w:numId w:val="53"/>
        </w:numPr>
        <w:ind w:left="709"/>
        <w:jc w:val="both"/>
        <w:rPr>
          <w:rFonts w:ascii="Verdana" w:hAnsi="Verdana"/>
        </w:rPr>
      </w:pPr>
      <w:r w:rsidRPr="008D14BD">
        <w:rPr>
          <w:rFonts w:ascii="Verdana" w:hAnsi="Verdana"/>
        </w:rPr>
        <w:t xml:space="preserve">Naslednja kazniva dejanja predstavljajo hude okoljske upravne prekrške, ki se kaznujejo v skladu z Okvirnim zakonom o okoljskih upravnih prekrških, sprejetim kot priloga k </w:t>
      </w:r>
      <w:hyperlink r:id="rId9" w:tgtFrame="_blank" w:tooltip="Zakon št. 50/2006" w:history="1">
        <w:r w:rsidRPr="008D14BD">
          <w:rPr>
            <w:rFonts w:ascii="Verdana" w:hAnsi="Verdana"/>
          </w:rPr>
          <w:t>Zakonu št. 50/2006</w:t>
        </w:r>
      </w:hyperlink>
      <w:r w:rsidRPr="008D14BD">
        <w:rPr>
          <w:rFonts w:ascii="Verdana" w:hAnsi="Verdana"/>
        </w:rPr>
        <w:t xml:space="preserve"> z dne 29. avgusta, v sedanjem besedilu:</w:t>
      </w:r>
    </w:p>
    <w:p w14:paraId="0E19D986" w14:textId="3A86DB1E" w:rsidR="005630B1" w:rsidRPr="008D14BD" w:rsidRDefault="009E11DC" w:rsidP="00C525D6">
      <w:pPr>
        <w:pStyle w:val="ListParagraph"/>
        <w:numPr>
          <w:ilvl w:val="1"/>
          <w:numId w:val="55"/>
        </w:numPr>
        <w:spacing w:after="0"/>
        <w:ind w:left="1134"/>
        <w:jc w:val="both"/>
        <w:rPr>
          <w:rFonts w:ascii="Verdana" w:hAnsi="Verdana"/>
        </w:rPr>
      </w:pPr>
      <w:r w:rsidRPr="008D14BD">
        <w:rPr>
          <w:rFonts w:ascii="Verdana" w:hAnsi="Verdana"/>
        </w:rPr>
        <w:t>dajanje na trg posod za pijačo, ki ne izpolnjujejo zahtev glede zasnove iz člena 10(1);</w:t>
      </w:r>
    </w:p>
    <w:p w14:paraId="59E5084D" w14:textId="6290E616" w:rsidR="00950E5B" w:rsidRPr="008D14BD" w:rsidRDefault="009E11DC" w:rsidP="00C525D6">
      <w:pPr>
        <w:pStyle w:val="ListParagraph"/>
        <w:numPr>
          <w:ilvl w:val="1"/>
          <w:numId w:val="55"/>
        </w:numPr>
        <w:spacing w:after="0"/>
        <w:ind w:left="1134"/>
        <w:jc w:val="both"/>
        <w:rPr>
          <w:rFonts w:ascii="Verdana" w:hAnsi="Verdana"/>
        </w:rPr>
      </w:pPr>
      <w:r w:rsidRPr="008D14BD">
        <w:rPr>
          <w:rFonts w:ascii="Verdana" w:hAnsi="Verdana"/>
        </w:rPr>
        <w:t xml:space="preserve">neskladnost z zahtevami glede označevanja iz člena 12(2); </w:t>
      </w:r>
    </w:p>
    <w:p w14:paraId="2C12473B" w14:textId="2C68299B" w:rsidR="005630B1" w:rsidRPr="008D14BD" w:rsidRDefault="00950E5B" w:rsidP="00C525D6">
      <w:pPr>
        <w:pStyle w:val="ListParagraph"/>
        <w:numPr>
          <w:ilvl w:val="1"/>
          <w:numId w:val="55"/>
        </w:numPr>
        <w:spacing w:after="0"/>
        <w:ind w:left="1134"/>
        <w:jc w:val="both"/>
        <w:rPr>
          <w:rFonts w:ascii="Verdana" w:hAnsi="Verdana"/>
        </w:rPr>
      </w:pPr>
      <w:r w:rsidRPr="008D14BD">
        <w:rPr>
          <w:rFonts w:ascii="Verdana" w:hAnsi="Verdana"/>
        </w:rPr>
        <w:t>neskladnost s pravili o specifikacijah označevanja iz Izvedbene uredbe Komisije (EU) 2020/2151 z dne 17. decembra 2020.</w:t>
      </w:r>
    </w:p>
    <w:p w14:paraId="56FB7032" w14:textId="5E0C55B6" w:rsidR="00C64656" w:rsidRPr="008D14BD" w:rsidRDefault="00C64656" w:rsidP="00C525D6">
      <w:pPr>
        <w:pStyle w:val="ListParagraph"/>
        <w:numPr>
          <w:ilvl w:val="1"/>
          <w:numId w:val="55"/>
        </w:numPr>
        <w:spacing w:after="0"/>
        <w:ind w:left="1134"/>
        <w:jc w:val="both"/>
        <w:rPr>
          <w:rFonts w:ascii="Verdana" w:hAnsi="Verdana"/>
        </w:rPr>
      </w:pPr>
      <w:r w:rsidRPr="008D14BD">
        <w:rPr>
          <w:rFonts w:ascii="Verdana" w:hAnsi="Verdana"/>
        </w:rPr>
        <w:t xml:space="preserve">neupoštevanje obveznosti iz člena 18(5) s strani proizvajalcev; </w:t>
      </w:r>
    </w:p>
    <w:p w14:paraId="0B1C9F8F" w14:textId="4F3555FB" w:rsidR="004551A4" w:rsidRPr="008D14BD" w:rsidRDefault="00881A44" w:rsidP="00C525D6">
      <w:pPr>
        <w:pStyle w:val="ListParagraph"/>
        <w:numPr>
          <w:ilvl w:val="1"/>
          <w:numId w:val="55"/>
        </w:numPr>
        <w:spacing w:after="0"/>
        <w:ind w:left="1134"/>
        <w:jc w:val="both"/>
        <w:rPr>
          <w:rFonts w:ascii="Verdana" w:hAnsi="Verdana"/>
        </w:rPr>
      </w:pPr>
      <w:r w:rsidRPr="008D14BD">
        <w:rPr>
          <w:rFonts w:ascii="Verdana" w:hAnsi="Verdana"/>
        </w:rPr>
        <w:t>neizpolnjevanje obveznosti pošiljanja poročila iz člena 18(6) v skladu s postopkom iz navedenega člena s strani proizvajalcev ali proizvajalcev prek združenj;</w:t>
      </w:r>
    </w:p>
    <w:p w14:paraId="358BC049" w14:textId="74925ACB" w:rsidR="006A5FE8" w:rsidRPr="008D14BD" w:rsidRDefault="006A5FE8" w:rsidP="00C525D6">
      <w:pPr>
        <w:pStyle w:val="ListParagraph"/>
        <w:numPr>
          <w:ilvl w:val="1"/>
          <w:numId w:val="55"/>
        </w:numPr>
        <w:spacing w:after="0"/>
        <w:ind w:left="1134"/>
        <w:jc w:val="both"/>
        <w:rPr>
          <w:rFonts w:ascii="Verdana" w:hAnsi="Verdana"/>
        </w:rPr>
      </w:pPr>
      <w:r w:rsidRPr="008D14BD">
        <w:rPr>
          <w:rFonts w:ascii="Verdana" w:hAnsi="Verdana"/>
        </w:rPr>
        <w:t xml:space="preserve">neupoštevanje člena 18(7) s strani gospodarskih subjektov, na katere se nanašajo zadevna pravila; </w:t>
      </w:r>
    </w:p>
    <w:p w14:paraId="009DF47A" w14:textId="3217E37E" w:rsidR="006A5FE8" w:rsidRPr="008D14BD" w:rsidRDefault="006A5FE8" w:rsidP="00C525D6">
      <w:pPr>
        <w:pStyle w:val="ListParagraph"/>
        <w:numPr>
          <w:ilvl w:val="1"/>
          <w:numId w:val="55"/>
        </w:numPr>
        <w:spacing w:after="0"/>
        <w:ind w:left="1134"/>
        <w:jc w:val="both"/>
        <w:rPr>
          <w:rFonts w:ascii="Verdana" w:hAnsi="Verdana"/>
        </w:rPr>
      </w:pPr>
      <w:r w:rsidRPr="008D14BD">
        <w:rPr>
          <w:rFonts w:ascii="Verdana" w:hAnsi="Verdana"/>
        </w:rPr>
        <w:t xml:space="preserve">neupoštevanje člena 18(8) s strani gospodarskih subjektov iz člena (7). </w:t>
      </w:r>
    </w:p>
    <w:p w14:paraId="53B1C166" w14:textId="77777777" w:rsidR="005630B1" w:rsidRPr="008D14BD" w:rsidRDefault="004551A4" w:rsidP="00C525D6">
      <w:pPr>
        <w:pStyle w:val="ListParagraph"/>
        <w:numPr>
          <w:ilvl w:val="0"/>
          <w:numId w:val="53"/>
        </w:numPr>
        <w:ind w:left="709"/>
        <w:jc w:val="both"/>
        <w:rPr>
          <w:rFonts w:ascii="Verdana" w:hAnsi="Verdana"/>
        </w:rPr>
      </w:pPr>
      <w:r w:rsidRPr="008D14BD">
        <w:rPr>
          <w:rFonts w:ascii="Verdana" w:hAnsi="Verdana"/>
        </w:rPr>
        <w:t xml:space="preserve">Po sedanjem besedilu Okvirnega zakona o okoljskih upravnih prekrških, ki je bil sprejet kot priloga k </w:t>
      </w:r>
      <w:hyperlink r:id="rId10" w:tgtFrame="_blank" w:tooltip="Zakon št. 50/2006" w:history="1">
        <w:r w:rsidRPr="008D14BD">
          <w:rPr>
            <w:rFonts w:ascii="Verdana" w:hAnsi="Verdana"/>
          </w:rPr>
          <w:t>Zakonu št. 50/2006</w:t>
        </w:r>
      </w:hyperlink>
      <w:r w:rsidRPr="008D14BD">
        <w:rPr>
          <w:rFonts w:ascii="Verdana" w:hAnsi="Verdana"/>
        </w:rPr>
        <w:t xml:space="preserve"> z dne 29. avgusta, predstavljajo naslednja dejanja manjše okoljske upravne prekrške:</w:t>
      </w:r>
    </w:p>
    <w:p w14:paraId="4F6BA6A5" w14:textId="6BD7D22D" w:rsidR="006E6B90" w:rsidRPr="008D14BD" w:rsidRDefault="006E6B90" w:rsidP="00C525D6">
      <w:pPr>
        <w:pStyle w:val="ListParagraph"/>
        <w:numPr>
          <w:ilvl w:val="1"/>
          <w:numId w:val="55"/>
        </w:numPr>
        <w:spacing w:after="0"/>
        <w:ind w:left="1134"/>
        <w:jc w:val="both"/>
        <w:rPr>
          <w:rFonts w:ascii="Verdana" w:hAnsi="Verdana"/>
        </w:rPr>
      </w:pPr>
      <w:r w:rsidRPr="008D14BD">
        <w:rPr>
          <w:rFonts w:ascii="Verdana" w:hAnsi="Verdana"/>
        </w:rPr>
        <w:t>neizpolnjevanje obveznosti pooblaščenega zastopnika v skladu s členom 16(4),</w:t>
      </w:r>
    </w:p>
    <w:p w14:paraId="50F93058" w14:textId="691E101E" w:rsidR="009D112F" w:rsidRPr="008D14BD" w:rsidRDefault="009D112F" w:rsidP="00C525D6">
      <w:pPr>
        <w:pStyle w:val="ListParagraph"/>
        <w:numPr>
          <w:ilvl w:val="0"/>
          <w:numId w:val="53"/>
        </w:numPr>
        <w:ind w:left="709"/>
        <w:jc w:val="both"/>
        <w:rPr>
          <w:rFonts w:ascii="Verdana" w:hAnsi="Verdana"/>
        </w:rPr>
      </w:pPr>
      <w:r w:rsidRPr="008D14BD">
        <w:rPr>
          <w:rFonts w:ascii="Verdana" w:hAnsi="Verdana"/>
        </w:rPr>
        <w:t>Malomarnost se kaznuje v skladu z Okvirnim zakonom o okoljskih upravnih prekrških.</w:t>
      </w:r>
    </w:p>
    <w:p w14:paraId="02C0935D" w14:textId="0366A113" w:rsidR="009D112F" w:rsidRPr="008D14BD" w:rsidRDefault="009D112F" w:rsidP="00C525D6">
      <w:pPr>
        <w:pStyle w:val="ListParagraph"/>
        <w:numPr>
          <w:ilvl w:val="0"/>
          <w:numId w:val="53"/>
        </w:numPr>
        <w:ind w:left="709"/>
        <w:jc w:val="both"/>
        <w:rPr>
          <w:rFonts w:ascii="Verdana" w:hAnsi="Verdana"/>
        </w:rPr>
      </w:pPr>
      <w:r w:rsidRPr="008D14BD">
        <w:rPr>
          <w:rFonts w:ascii="Verdana" w:hAnsi="Verdana"/>
        </w:rPr>
        <w:t>Prihodki iz naslova glob, predvidenih v tem členu, se razdelijo v skladu s členom 73 Okvirnega zakona o okoljskih upravnih prekrških.</w:t>
      </w:r>
    </w:p>
    <w:p w14:paraId="1E162BA3" w14:textId="7D85120F" w:rsidR="009D112F" w:rsidRPr="008D14BD" w:rsidRDefault="009D112F" w:rsidP="00C525D6">
      <w:pPr>
        <w:pStyle w:val="ListParagraph"/>
        <w:numPr>
          <w:ilvl w:val="0"/>
          <w:numId w:val="53"/>
        </w:numPr>
        <w:ind w:left="709"/>
        <w:jc w:val="both"/>
        <w:rPr>
          <w:rFonts w:ascii="Verdana" w:hAnsi="Verdana"/>
        </w:rPr>
      </w:pPr>
      <w:r w:rsidRPr="008D14BD">
        <w:rPr>
          <w:rFonts w:ascii="Verdana" w:hAnsi="Verdana"/>
        </w:rPr>
        <w:t>Obsodbe za zelo hude in hude kršitve iz odstavkov 1 in 2 se lahko objavi, kadar posebni ukrep naložene globe presega polovico najvišjega zneska globe, ki je abstraktno predvidena, v skladu z določbami Okvirnega zakona o okoljskih upravnih prekrških.</w:t>
      </w:r>
    </w:p>
    <w:p w14:paraId="69198DB2" w14:textId="77777777" w:rsidR="009D112F" w:rsidRPr="008D14BD" w:rsidRDefault="009D112F" w:rsidP="009D112F">
      <w:pPr>
        <w:jc w:val="both"/>
        <w:rPr>
          <w:rFonts w:ascii="Verdana" w:hAnsi="Verdana"/>
          <w:color w:val="000000" w:themeColor="text1"/>
        </w:rPr>
      </w:pPr>
    </w:p>
    <w:p w14:paraId="14D75E23" w14:textId="5FC68CFC" w:rsidR="009D112F" w:rsidRPr="008D14BD" w:rsidRDefault="00AC3F76" w:rsidP="00AC3F76">
      <w:pPr>
        <w:pStyle w:val="Heading2"/>
        <w:numPr>
          <w:ilvl w:val="0"/>
          <w:numId w:val="0"/>
        </w:numPr>
        <w:tabs>
          <w:tab w:val="clear" w:pos="1701"/>
          <w:tab w:val="left" w:pos="1418"/>
        </w:tabs>
        <w:ind w:left="426"/>
      </w:pPr>
      <w:r w:rsidRPr="008D14BD">
        <w:lastRenderedPageBreak/>
        <w:t>Člen 24</w:t>
      </w:r>
      <w:r w:rsidRPr="008D14BD">
        <w:br/>
        <w:t>Preiskave in postopki odločanja</w:t>
      </w:r>
    </w:p>
    <w:p w14:paraId="2543265B" w14:textId="07ACC442" w:rsidR="009D112F" w:rsidRPr="008D14BD" w:rsidRDefault="009D112F" w:rsidP="00C525D6">
      <w:pPr>
        <w:pStyle w:val="ListParagraph"/>
        <w:numPr>
          <w:ilvl w:val="0"/>
          <w:numId w:val="56"/>
        </w:numPr>
        <w:ind w:left="709"/>
        <w:jc w:val="both"/>
        <w:rPr>
          <w:rFonts w:ascii="Verdana" w:hAnsi="Verdana"/>
        </w:rPr>
      </w:pPr>
      <w:r w:rsidRPr="008D14BD">
        <w:rPr>
          <w:rFonts w:ascii="Verdana" w:hAnsi="Verdana"/>
        </w:rPr>
        <w:t>1 – IGAMAOT [Generalni inšpektorat za kmetijstvo, morje, okolje in prostor], ASAE [Organ za varstvo hrane in gospodarsko varnost] ter AT [Davčni in carinski organ] v okviru svojih pristojnosti sprožijo upravni prekrškovni postopek, ki je vložen v okviru te uredbe z zakonsko močjo, ter naložijo ustrezne globe in pomožnih kazni iz člena 90(6).</w:t>
      </w:r>
    </w:p>
    <w:p w14:paraId="0E4A6ED5" w14:textId="09F1BE0B" w:rsidR="00A172F1" w:rsidRPr="008D14BD" w:rsidRDefault="009D112F" w:rsidP="00C525D6">
      <w:pPr>
        <w:pStyle w:val="ListParagraph"/>
        <w:numPr>
          <w:ilvl w:val="0"/>
          <w:numId w:val="56"/>
        </w:numPr>
        <w:ind w:left="709"/>
        <w:jc w:val="both"/>
        <w:rPr>
          <w:rFonts w:ascii="Verdana" w:hAnsi="Verdana"/>
        </w:rPr>
      </w:pPr>
      <w:r w:rsidRPr="008D14BD">
        <w:rPr>
          <w:rFonts w:ascii="Verdana" w:hAnsi="Verdana"/>
        </w:rPr>
        <w:t>Če obdelovalec nima pooblastil za preiskavo primera, bo v primeru okoljskega upravnega prekrška iz člena 23 preiskavo opravil in v zadevi odločil IGAMAOT, ki bo nato obdelovalca obvestil o svoji odločitvi.</w:t>
      </w:r>
    </w:p>
    <w:p w14:paraId="162FCAEC" w14:textId="77777777" w:rsidR="009D112F" w:rsidRPr="008D14BD" w:rsidRDefault="009D112F" w:rsidP="009D112F">
      <w:pPr>
        <w:jc w:val="both"/>
        <w:rPr>
          <w:rFonts w:ascii="Verdana" w:hAnsi="Verdana"/>
        </w:rPr>
      </w:pPr>
    </w:p>
    <w:p w14:paraId="43E0AE39" w14:textId="7815CD5A" w:rsidR="009D112F" w:rsidRPr="008D14BD" w:rsidRDefault="00AC3F76" w:rsidP="00AC3F76">
      <w:pPr>
        <w:pStyle w:val="Heading2"/>
        <w:numPr>
          <w:ilvl w:val="0"/>
          <w:numId w:val="0"/>
        </w:numPr>
        <w:tabs>
          <w:tab w:val="clear" w:pos="1701"/>
          <w:tab w:val="left" w:pos="1418"/>
        </w:tabs>
        <w:ind w:left="426"/>
      </w:pPr>
      <w:r w:rsidRPr="008D14BD">
        <w:t>Člen 25</w:t>
      </w:r>
      <w:r w:rsidRPr="008D14BD">
        <w:br/>
        <w:t>Previdnostni zaseg</w:t>
      </w:r>
    </w:p>
    <w:p w14:paraId="0BE9E5AF" w14:textId="3FC2B62D" w:rsidR="009D112F" w:rsidRPr="008D14BD" w:rsidRDefault="009D112F" w:rsidP="009D112F">
      <w:pPr>
        <w:jc w:val="both"/>
        <w:rPr>
          <w:rFonts w:ascii="Verdana" w:hAnsi="Verdana"/>
        </w:rPr>
      </w:pPr>
      <w:r w:rsidRPr="008D14BD">
        <w:rPr>
          <w:rFonts w:ascii="Verdana" w:hAnsi="Verdana"/>
        </w:rPr>
        <w:t xml:space="preserve">Pristojni organ lahko po potrebi določi začasni zaseg premoženja in dokumentov v skladu s členom 42 Okvirnega zakona o okoljskih upravnih prekrških ali zaseg predmetov v skladu s Pravnim režimom za gospodarske upravne prekrške. </w:t>
      </w:r>
    </w:p>
    <w:p w14:paraId="40F71398" w14:textId="77777777" w:rsidR="009D112F" w:rsidRPr="008D14BD" w:rsidRDefault="009D112F" w:rsidP="009D112F">
      <w:pPr>
        <w:jc w:val="both"/>
        <w:rPr>
          <w:rFonts w:ascii="Verdana" w:hAnsi="Verdana"/>
        </w:rPr>
      </w:pPr>
    </w:p>
    <w:p w14:paraId="588A90F5" w14:textId="50AF98BA" w:rsidR="00A172F1" w:rsidRPr="008D14BD" w:rsidRDefault="00DD1E2B" w:rsidP="001E4779">
      <w:pPr>
        <w:pStyle w:val="Heading1"/>
        <w:tabs>
          <w:tab w:val="clear" w:pos="3969"/>
          <w:tab w:val="left" w:pos="2410"/>
        </w:tabs>
      </w:pPr>
      <w:r w:rsidRPr="008D14BD">
        <w:br/>
        <w:t xml:space="preserve">Zakonodajne spremembe </w:t>
      </w:r>
    </w:p>
    <w:p w14:paraId="3E28DF84" w14:textId="6C30B52E" w:rsidR="008B4B7F" w:rsidRPr="008D14BD" w:rsidRDefault="008B4B7F" w:rsidP="00A172F1">
      <w:pPr>
        <w:jc w:val="both"/>
        <w:rPr>
          <w:rFonts w:ascii="Verdana" w:hAnsi="Verdana"/>
        </w:rPr>
      </w:pPr>
    </w:p>
    <w:p w14:paraId="1E8AFD6F" w14:textId="4E66953E" w:rsidR="00054EAE" w:rsidRPr="008D14BD" w:rsidRDefault="00AC3F76" w:rsidP="00AC3F76">
      <w:pPr>
        <w:pStyle w:val="Heading2"/>
        <w:numPr>
          <w:ilvl w:val="0"/>
          <w:numId w:val="0"/>
        </w:numPr>
        <w:tabs>
          <w:tab w:val="clear" w:pos="1701"/>
          <w:tab w:val="left" w:pos="1560"/>
        </w:tabs>
        <w:ind w:left="426"/>
      </w:pPr>
      <w:r w:rsidRPr="008D14BD">
        <w:t>Člen 26</w:t>
      </w:r>
      <w:r w:rsidRPr="008D14BD">
        <w:br/>
        <w:t>Sprememba zakona št. 77/2019 z dne 2. septembra</w:t>
      </w:r>
    </w:p>
    <w:p w14:paraId="5E323956" w14:textId="77777777" w:rsidR="00A76322" w:rsidRPr="008D14BD" w:rsidRDefault="00A76322" w:rsidP="00007109">
      <w:pPr>
        <w:jc w:val="both"/>
        <w:rPr>
          <w:rFonts w:ascii="Verdana" w:hAnsi="Verdana"/>
        </w:rPr>
      </w:pPr>
    </w:p>
    <w:p w14:paraId="55295FC4" w14:textId="1EB7775E" w:rsidR="00054EAE" w:rsidRPr="008D14BD" w:rsidRDefault="00054EAE" w:rsidP="00007109">
      <w:pPr>
        <w:jc w:val="both"/>
        <w:rPr>
          <w:rFonts w:ascii="Verdana" w:hAnsi="Verdana"/>
        </w:rPr>
      </w:pPr>
      <w:r w:rsidRPr="008D14BD">
        <w:rPr>
          <w:rFonts w:ascii="Verdana" w:hAnsi="Verdana"/>
        </w:rPr>
        <w:t>Členi 1, 2, 3, 4, 5, 6 in 7 Zakona št. 77/2019 z dne 2. septembra se nadomestijo z naslednjim besedilom:</w:t>
      </w:r>
    </w:p>
    <w:p w14:paraId="775CD874" w14:textId="77777777" w:rsidR="006A3393" w:rsidRPr="008D14BD" w:rsidRDefault="006A3393" w:rsidP="00007109">
      <w:pPr>
        <w:jc w:val="both"/>
        <w:rPr>
          <w:rFonts w:ascii="Verdana" w:hAnsi="Verdana"/>
        </w:rPr>
      </w:pPr>
    </w:p>
    <w:p w14:paraId="2F4BD73E" w14:textId="7F37B1FF" w:rsidR="00054EAE" w:rsidRPr="008D14BD" w:rsidRDefault="000600E7" w:rsidP="00054EAE">
      <w:pPr>
        <w:spacing w:after="0" w:line="360" w:lineRule="auto"/>
        <w:jc w:val="center"/>
        <w:rPr>
          <w:rFonts w:ascii="Verdana" w:hAnsi="Verdana" w:cstheme="minorHAnsi"/>
        </w:rPr>
      </w:pPr>
      <w:r w:rsidRPr="008D14BD">
        <w:rPr>
          <w:rFonts w:ascii="Verdana" w:hAnsi="Verdana"/>
        </w:rPr>
        <w:t>Člen 1</w:t>
      </w:r>
    </w:p>
    <w:p w14:paraId="0B8D34BA"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w:t>
      </w:r>
    </w:p>
    <w:p w14:paraId="432C76D2" w14:textId="51A6EFAC" w:rsidR="00054EAE" w:rsidRPr="008D14BD" w:rsidRDefault="00054EAE" w:rsidP="00007109">
      <w:pPr>
        <w:jc w:val="both"/>
        <w:rPr>
          <w:rFonts w:ascii="Verdana" w:hAnsi="Verdana"/>
        </w:rPr>
      </w:pPr>
      <w:bookmarkStart w:id="53" w:name="_Hlk65428420"/>
      <w:r w:rsidRPr="008D14BD">
        <w:rPr>
          <w:rFonts w:ascii="Verdana" w:hAnsi="Verdana"/>
        </w:rPr>
        <w:lastRenderedPageBreak/>
        <w:t xml:space="preserve">Ta zakon prepoveduje dajanje na voljo zelo lahkih plastičnih vrečk in plastičnih posod za enkratno uporabo, kot so kivete in škatle, s pokrovom ali brez, pri trženju pekovskih izdelkov in peciva, sadja in zelenjave v trgovinah, ter nalaga obveznost, da se končnim potrošnikom dajo na voljo alternative uporabi zelo lahkih plastičnih vrečk. </w:t>
      </w:r>
    </w:p>
    <w:bookmarkEnd w:id="53"/>
    <w:p w14:paraId="1BD7396C" w14:textId="77777777" w:rsidR="00054EAE" w:rsidRPr="008D14BD" w:rsidRDefault="00054EAE" w:rsidP="00007109">
      <w:pPr>
        <w:jc w:val="both"/>
        <w:rPr>
          <w:rFonts w:ascii="Verdana" w:hAnsi="Verdana"/>
        </w:rPr>
      </w:pPr>
    </w:p>
    <w:p w14:paraId="2AC2A3A0"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Člen 2</w:t>
      </w:r>
    </w:p>
    <w:p w14:paraId="080BFE3B"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w:t>
      </w:r>
    </w:p>
    <w:p w14:paraId="4F24CD63" w14:textId="77777777" w:rsidR="00054EAE" w:rsidRPr="008D14BD" w:rsidRDefault="00054EAE" w:rsidP="00007109">
      <w:pPr>
        <w:jc w:val="both"/>
        <w:rPr>
          <w:rFonts w:ascii="Verdana" w:hAnsi="Verdana"/>
        </w:rPr>
      </w:pPr>
      <w:r w:rsidRPr="008D14BD">
        <w:rPr>
          <w:rFonts w:ascii="Verdana" w:hAnsi="Verdana"/>
        </w:rPr>
        <w:t xml:space="preserve">Za namene tega zakona se uporabljajo naslednje opredelitve pojmov: </w:t>
      </w:r>
    </w:p>
    <w:p w14:paraId="53E227F4" w14:textId="3871EE5A" w:rsidR="00054EAE" w:rsidRPr="008D14BD" w:rsidRDefault="00054EAE" w:rsidP="00C525D6">
      <w:pPr>
        <w:pStyle w:val="ListParagraph"/>
        <w:numPr>
          <w:ilvl w:val="1"/>
          <w:numId w:val="57"/>
        </w:numPr>
        <w:spacing w:after="0"/>
        <w:ind w:left="1134"/>
        <w:jc w:val="both"/>
        <w:rPr>
          <w:rFonts w:ascii="Verdana" w:hAnsi="Verdana"/>
        </w:rPr>
      </w:pPr>
      <w:bookmarkStart w:id="54" w:name="_Hlk65428543"/>
      <w:r w:rsidRPr="008D14BD">
        <w:rPr>
          <w:rFonts w:ascii="Verdana" w:hAnsi="Verdana"/>
        </w:rPr>
        <w:t>»zelo lahke plastične vrečke« pomenijo plastične vrečke debeline manj kot 15 mikronov, ki so potrebne za higienske namene ali se dobavijo kot primarna embalaža za nepakiran kruh, sadje in zelenjavo;</w:t>
      </w:r>
    </w:p>
    <w:bookmarkEnd w:id="54"/>
    <w:p w14:paraId="26239E9F" w14:textId="1D1F40AF" w:rsidR="00054EAE" w:rsidRPr="008D14BD" w:rsidRDefault="00054EAE" w:rsidP="00C525D6">
      <w:pPr>
        <w:pStyle w:val="ListParagraph"/>
        <w:numPr>
          <w:ilvl w:val="1"/>
          <w:numId w:val="57"/>
        </w:numPr>
        <w:spacing w:after="0"/>
        <w:ind w:left="1134"/>
        <w:jc w:val="both"/>
        <w:rPr>
          <w:rFonts w:ascii="Verdana" w:hAnsi="Verdana"/>
        </w:rPr>
      </w:pPr>
      <w:r w:rsidRPr="008D14BD">
        <w:rPr>
          <w:rFonts w:ascii="Verdana" w:hAnsi="Verdana"/>
        </w:rPr>
        <w:t>»biološko razgradljiva plastika« pomeni plastiko, ki se lahko fizično in biološko razgradi, tako da se na koncu razgradi v ogljikov dioksid (CO2). biomaso in vodo, ter je skladna z evropskimi standardi za embalažo, ki jo je mogoče predelati s kompostiranjem in anaerobno presnovo;.</w:t>
      </w:r>
    </w:p>
    <w:p w14:paraId="3F891194" w14:textId="44E496B7" w:rsidR="00054EAE" w:rsidRPr="008D14BD" w:rsidRDefault="00054EAE" w:rsidP="00C525D6">
      <w:pPr>
        <w:pStyle w:val="ListParagraph"/>
        <w:numPr>
          <w:ilvl w:val="1"/>
          <w:numId w:val="57"/>
        </w:numPr>
        <w:spacing w:after="0"/>
        <w:ind w:left="1134"/>
        <w:jc w:val="both"/>
        <w:rPr>
          <w:rFonts w:ascii="Verdana" w:hAnsi="Verdana"/>
        </w:rPr>
      </w:pPr>
      <w:bookmarkStart w:id="55" w:name="_Hlk65428640"/>
      <w:r w:rsidRPr="008D14BD">
        <w:rPr>
          <w:rFonts w:ascii="Verdana" w:hAnsi="Verdana"/>
        </w:rPr>
        <w:t>»komercialni obrat« pomeni vsako fiksno in stalno maloprodajno enoto, v kateri dobavitelj blaga ali izvajalec gostinskih storitev stalno opravlja svojo dejavnost in kjer poteka prodaja kruha, sadja in zelenjave, za katere velja pravni režim za dostop do in izvajanje trgovine, storitev in gostinskih dejavnosti, odobrene z uredbo z zakonsko močjo št. 10/2015 z dne 16. januarja, kakor je bila spremenjena z uredbo z zakonsko močjo št. 102/2017 z dne 23. avgusta in z zakonom št. 15/2018 z dne 27.</w:t>
      </w:r>
    </w:p>
    <w:bookmarkEnd w:id="55"/>
    <w:p w14:paraId="320C7822" w14:textId="77777777" w:rsidR="00054EAE" w:rsidRPr="008D14BD" w:rsidRDefault="00054EAE" w:rsidP="00054EAE">
      <w:pPr>
        <w:spacing w:after="0" w:line="360" w:lineRule="auto"/>
        <w:jc w:val="center"/>
        <w:rPr>
          <w:rFonts w:ascii="Verdana" w:hAnsi="Verdana" w:cstheme="minorHAnsi"/>
        </w:rPr>
      </w:pPr>
    </w:p>
    <w:p w14:paraId="23698E8A"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Člen 3</w:t>
      </w:r>
    </w:p>
    <w:p w14:paraId="238E03F9"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w:t>
      </w:r>
    </w:p>
    <w:p w14:paraId="1A3B3802" w14:textId="4C305360" w:rsidR="00054EAE" w:rsidRPr="008D14BD" w:rsidRDefault="00054EAE" w:rsidP="00007109">
      <w:pPr>
        <w:jc w:val="both"/>
        <w:rPr>
          <w:rFonts w:ascii="Verdana" w:hAnsi="Verdana"/>
        </w:rPr>
      </w:pPr>
      <w:r w:rsidRPr="008D14BD">
        <w:rPr>
          <w:rFonts w:ascii="Verdana" w:hAnsi="Verdana"/>
        </w:rPr>
        <w:t>Ta zakon se uporablja za vse komercialne obrate, kjer se tržijo pekovski izdelki in pecivo ali sadje in zelenjava.</w:t>
      </w:r>
    </w:p>
    <w:p w14:paraId="6CE06251" w14:textId="77777777" w:rsidR="00054EAE" w:rsidRPr="008D14BD" w:rsidRDefault="00054EAE" w:rsidP="00054EAE">
      <w:pPr>
        <w:spacing w:after="0" w:line="360" w:lineRule="auto"/>
        <w:jc w:val="center"/>
        <w:rPr>
          <w:rFonts w:ascii="Verdana" w:hAnsi="Verdana" w:cstheme="minorHAnsi"/>
        </w:rPr>
      </w:pPr>
    </w:p>
    <w:p w14:paraId="7728A31A"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Člen 4</w:t>
      </w:r>
    </w:p>
    <w:p w14:paraId="6D060904"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w:t>
      </w:r>
    </w:p>
    <w:p w14:paraId="797D8056" w14:textId="4A1A464E" w:rsidR="00A75014" w:rsidRPr="008D14BD" w:rsidRDefault="00EB2667" w:rsidP="00C525D6">
      <w:pPr>
        <w:pStyle w:val="ListParagraph"/>
        <w:numPr>
          <w:ilvl w:val="0"/>
          <w:numId w:val="58"/>
        </w:numPr>
        <w:ind w:left="709"/>
        <w:jc w:val="both"/>
        <w:rPr>
          <w:rFonts w:ascii="Verdana" w:hAnsi="Verdana"/>
        </w:rPr>
      </w:pPr>
      <w:r w:rsidRPr="008D14BD">
        <w:rPr>
          <w:rFonts w:ascii="Verdana" w:hAnsi="Verdana"/>
        </w:rPr>
        <w:lastRenderedPageBreak/>
        <w:t>Od 1. junija 2023 se trgovinam prepreči:</w:t>
      </w:r>
    </w:p>
    <w:p w14:paraId="4B1574A0" w14:textId="583FEA2E" w:rsidR="00EB2667" w:rsidRPr="008D14BD" w:rsidRDefault="00A75014" w:rsidP="00C525D6">
      <w:pPr>
        <w:pStyle w:val="ListParagraph"/>
        <w:numPr>
          <w:ilvl w:val="1"/>
          <w:numId w:val="59"/>
        </w:numPr>
        <w:spacing w:after="0"/>
        <w:ind w:left="1134"/>
        <w:jc w:val="both"/>
        <w:rPr>
          <w:rFonts w:ascii="Verdana" w:hAnsi="Verdana"/>
        </w:rPr>
      </w:pPr>
      <w:r w:rsidRPr="008D14BD">
        <w:rPr>
          <w:rFonts w:ascii="Verdana" w:hAnsi="Verdana"/>
        </w:rPr>
        <w:t xml:space="preserve">zagotavljanje zelo lahkih plastičnih vrečk za pakiranje </w:t>
      </w:r>
      <w:bookmarkStart w:id="56" w:name="_Hlk66404382"/>
      <w:r w:rsidRPr="008D14BD">
        <w:rPr>
          <w:rFonts w:ascii="Verdana" w:hAnsi="Verdana"/>
        </w:rPr>
        <w:t xml:space="preserve">pekovskih izdelkov in peciva </w:t>
      </w:r>
      <w:bookmarkEnd w:id="56"/>
      <w:r w:rsidRPr="008D14BD">
        <w:rPr>
          <w:rFonts w:ascii="Verdana" w:hAnsi="Verdana"/>
        </w:rPr>
        <w:t>ter sadja in zelenjave;</w:t>
      </w:r>
    </w:p>
    <w:p w14:paraId="1B94BFF0" w14:textId="71559D2A" w:rsidR="00054EAE" w:rsidRPr="008D14BD" w:rsidRDefault="00A75014" w:rsidP="00C525D6">
      <w:pPr>
        <w:pStyle w:val="ListParagraph"/>
        <w:numPr>
          <w:ilvl w:val="1"/>
          <w:numId w:val="59"/>
        </w:numPr>
        <w:spacing w:after="0"/>
        <w:ind w:left="1134"/>
        <w:jc w:val="both"/>
        <w:rPr>
          <w:rFonts w:ascii="Verdana" w:hAnsi="Verdana"/>
        </w:rPr>
      </w:pPr>
      <w:r w:rsidRPr="008D14BD">
        <w:rPr>
          <w:rFonts w:ascii="Verdana" w:hAnsi="Verdana"/>
        </w:rPr>
        <w:t>prodaja v zelo lahkih plastičnih vrečkah, in sicer za pekovske izdelke in pecivo ter sadje in zelenjavo, ki so pakirani na prodajnem mestu.</w:t>
      </w:r>
    </w:p>
    <w:p w14:paraId="349419CD" w14:textId="5F81FD4E" w:rsidR="00054EAE" w:rsidRPr="008D14BD" w:rsidRDefault="00EB2667" w:rsidP="00C525D6">
      <w:pPr>
        <w:pStyle w:val="ListParagraph"/>
        <w:numPr>
          <w:ilvl w:val="0"/>
          <w:numId w:val="58"/>
        </w:numPr>
        <w:ind w:left="709"/>
        <w:jc w:val="both"/>
        <w:rPr>
          <w:rFonts w:ascii="Verdana" w:hAnsi="Verdana"/>
        </w:rPr>
      </w:pPr>
      <w:r w:rsidRPr="008D14BD">
        <w:rPr>
          <w:rFonts w:ascii="Verdana" w:hAnsi="Verdana"/>
        </w:rPr>
        <w:t xml:space="preserve">Od 1. junija 2023 se trgovinam prepreči </w:t>
      </w:r>
      <w:bookmarkStart w:id="57" w:name="_Hlk66404823"/>
      <w:r w:rsidRPr="008D14BD">
        <w:rPr>
          <w:rFonts w:ascii="Verdana" w:hAnsi="Verdana"/>
        </w:rPr>
        <w:t xml:space="preserve">prodaja pekovskih izdelkov in peciva ter sadja in zelenjave, ki so pakirani v plastične posode za enkratno uporabo, kot so kivete in škatle, s pokrovom ali brez njega. </w:t>
      </w:r>
      <w:bookmarkEnd w:id="57"/>
    </w:p>
    <w:p w14:paraId="70876CC6" w14:textId="7D41C726" w:rsidR="00007109" w:rsidRPr="008D14BD" w:rsidRDefault="00974F5D" w:rsidP="00C525D6">
      <w:pPr>
        <w:pStyle w:val="ListParagraph"/>
        <w:numPr>
          <w:ilvl w:val="0"/>
          <w:numId w:val="58"/>
        </w:numPr>
        <w:ind w:left="709"/>
        <w:jc w:val="both"/>
        <w:rPr>
          <w:rFonts w:ascii="Verdana" w:hAnsi="Verdana"/>
        </w:rPr>
      </w:pPr>
      <w:r w:rsidRPr="008D14BD">
        <w:rPr>
          <w:rFonts w:ascii="Verdana" w:hAnsi="Verdana"/>
        </w:rPr>
        <w:t>Vrečke iz plastike, ki je dokazano biološko razgradljiva in primerna za kompostiranje v skladu z ustreznimi v tem trenutku veljavnimi standardi, so izključene iz prepovedi iz odstavka 1, pod pogojem, da niso na voljo brezplačno.</w:t>
      </w:r>
    </w:p>
    <w:p w14:paraId="00BA235A" w14:textId="1664DBFF" w:rsidR="00974F5D" w:rsidRPr="008D14BD" w:rsidRDefault="00974F5D" w:rsidP="00C525D6">
      <w:pPr>
        <w:pStyle w:val="ListParagraph"/>
        <w:numPr>
          <w:ilvl w:val="0"/>
          <w:numId w:val="58"/>
        </w:numPr>
        <w:ind w:left="709"/>
        <w:jc w:val="both"/>
        <w:rPr>
          <w:rFonts w:ascii="Verdana" w:hAnsi="Verdana"/>
        </w:rPr>
      </w:pPr>
      <w:r w:rsidRPr="008D14BD">
        <w:rPr>
          <w:rFonts w:ascii="Verdana" w:hAnsi="Verdana"/>
        </w:rPr>
        <w:t>Posode, izdelane iz plastike, ki je dokazano biološko razgradljiva in primerna za kompostiranje v skladu z ustreznimi v tem trenutku veljavnimi standardi, so izključene iz prepovedi iz prepovedi iz odstavka 2, vendar le v primeru, da potrebne zaradi higiene in/ali varnosti hrane.</w:t>
      </w:r>
    </w:p>
    <w:p w14:paraId="52622FDE" w14:textId="1BD3261A" w:rsidR="00974F5D" w:rsidRPr="008D14BD" w:rsidRDefault="00974F5D" w:rsidP="00007109">
      <w:pPr>
        <w:jc w:val="both"/>
        <w:rPr>
          <w:rFonts w:ascii="Verdana" w:hAnsi="Verdana"/>
        </w:rPr>
      </w:pPr>
    </w:p>
    <w:p w14:paraId="4ABB2644" w14:textId="77777777" w:rsidR="00054EAE" w:rsidRPr="008D14BD" w:rsidRDefault="00054EAE" w:rsidP="00007109">
      <w:pPr>
        <w:jc w:val="both"/>
        <w:rPr>
          <w:rFonts w:ascii="Verdana" w:hAnsi="Verdana"/>
        </w:rPr>
      </w:pPr>
    </w:p>
    <w:p w14:paraId="08B7CA3C"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Člen 5</w:t>
      </w:r>
    </w:p>
    <w:p w14:paraId="0DD616DF" w14:textId="186D58DF" w:rsidR="00054EAE" w:rsidRPr="008D14BD" w:rsidRDefault="00054EAE" w:rsidP="00054EAE">
      <w:pPr>
        <w:spacing w:after="0" w:line="360" w:lineRule="auto"/>
        <w:jc w:val="center"/>
        <w:rPr>
          <w:rFonts w:ascii="Verdana" w:hAnsi="Verdana" w:cstheme="minorHAnsi"/>
        </w:rPr>
      </w:pPr>
      <w:r w:rsidRPr="008D14BD">
        <w:rPr>
          <w:rFonts w:ascii="Verdana" w:hAnsi="Verdana"/>
        </w:rPr>
        <w:t>[…]</w:t>
      </w:r>
    </w:p>
    <w:p w14:paraId="35F718E3" w14:textId="77777777" w:rsidR="00827E7D" w:rsidRPr="008D14BD" w:rsidRDefault="00827E7D" w:rsidP="00054EAE">
      <w:pPr>
        <w:spacing w:after="0" w:line="360" w:lineRule="auto"/>
        <w:jc w:val="center"/>
        <w:rPr>
          <w:rFonts w:ascii="Verdana" w:hAnsi="Verdana" w:cstheme="minorHAnsi"/>
        </w:rPr>
      </w:pPr>
    </w:p>
    <w:p w14:paraId="578A57D7" w14:textId="3B2A8640" w:rsidR="00974F5D" w:rsidRPr="008D14BD" w:rsidRDefault="00827E7D" w:rsidP="00007109">
      <w:pPr>
        <w:jc w:val="both"/>
        <w:rPr>
          <w:rFonts w:ascii="Verdana" w:hAnsi="Verdana"/>
        </w:rPr>
      </w:pPr>
      <w:bookmarkStart w:id="58" w:name="_Hlk65430716"/>
      <w:r w:rsidRPr="008D14BD">
        <w:rPr>
          <w:rFonts w:ascii="Verdana" w:hAnsi="Verdana"/>
        </w:rPr>
        <w:t xml:space="preserve">Od 1. januarja 2022 morajo biti na prodajnih mestih nepakiranih proizvodov potrošnikom </w:t>
      </w:r>
      <w:bookmarkStart w:id="59" w:name="_Hlk66404649"/>
      <w:r w:rsidRPr="008D14BD">
        <w:rPr>
          <w:rFonts w:ascii="Verdana" w:hAnsi="Verdana"/>
        </w:rPr>
        <w:t>za pakiranje pekovskih izdelkov in peciva, sadja in zelenjave</w:t>
      </w:r>
      <w:bookmarkEnd w:id="59"/>
      <w:r w:rsidRPr="008D14BD">
        <w:rPr>
          <w:rFonts w:ascii="Verdana" w:hAnsi="Verdana"/>
        </w:rPr>
        <w:t xml:space="preserve"> zagotovljene nadomestne možnosti, ki jih je mogoče ponovno uporabiti, ali, če to ni mogoče, nadomestne možnosti, izdelane iz enega samega materiala.</w:t>
      </w:r>
    </w:p>
    <w:bookmarkEnd w:id="58"/>
    <w:p w14:paraId="236B55B4" w14:textId="77777777" w:rsidR="00054EAE" w:rsidRPr="008D14BD" w:rsidRDefault="00054EAE" w:rsidP="00007109">
      <w:pPr>
        <w:jc w:val="both"/>
        <w:rPr>
          <w:rFonts w:ascii="Verdana" w:hAnsi="Verdana"/>
        </w:rPr>
      </w:pPr>
    </w:p>
    <w:p w14:paraId="5573C051"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Člen 6</w:t>
      </w:r>
    </w:p>
    <w:p w14:paraId="54A5D17F" w14:textId="638286F1" w:rsidR="00054EAE" w:rsidRPr="008D14BD" w:rsidRDefault="00054EAE" w:rsidP="00054EAE">
      <w:pPr>
        <w:spacing w:after="0" w:line="360" w:lineRule="auto"/>
        <w:jc w:val="center"/>
        <w:rPr>
          <w:rFonts w:ascii="Verdana" w:hAnsi="Verdana"/>
        </w:rPr>
      </w:pPr>
      <w:r w:rsidRPr="008D14BD">
        <w:rPr>
          <w:rFonts w:ascii="Verdana" w:hAnsi="Verdana"/>
        </w:rPr>
        <w:t>[…]</w:t>
      </w:r>
    </w:p>
    <w:p w14:paraId="217FBA86" w14:textId="77777777" w:rsidR="00827E7D" w:rsidRPr="008D14BD" w:rsidRDefault="00827E7D" w:rsidP="00054EAE">
      <w:pPr>
        <w:spacing w:after="0" w:line="360" w:lineRule="auto"/>
        <w:jc w:val="center"/>
        <w:rPr>
          <w:rFonts w:ascii="Verdana" w:hAnsi="Verdana"/>
        </w:rPr>
      </w:pPr>
    </w:p>
    <w:p w14:paraId="6100731A" w14:textId="7DE7DB9C" w:rsidR="006923D5" w:rsidRPr="008D14BD" w:rsidRDefault="00054EAE" w:rsidP="00C525D6">
      <w:pPr>
        <w:pStyle w:val="ListParagraph"/>
        <w:numPr>
          <w:ilvl w:val="0"/>
          <w:numId w:val="60"/>
        </w:numPr>
        <w:ind w:left="709"/>
        <w:jc w:val="both"/>
        <w:rPr>
          <w:rFonts w:ascii="Verdana" w:hAnsi="Verdana"/>
        </w:rPr>
      </w:pPr>
      <w:bookmarkStart w:id="60" w:name="_Hlk37520532"/>
      <w:r w:rsidRPr="008D14BD">
        <w:rPr>
          <w:rFonts w:ascii="Verdana" w:hAnsi="Verdana"/>
        </w:rPr>
        <w:t xml:space="preserve">V nadaljevanju so navedeni manjši gospodarski upravni prekrški, ki se kaznujejo v okviru Pravne sheme za gospodarske upravne prekrške, odobrene v okviru uredbe z zakonsko močjo št. 9/2021 z dne 29. januarja (RJCE): </w:t>
      </w:r>
    </w:p>
    <w:p w14:paraId="7862C874" w14:textId="597B1A91" w:rsidR="00054EAE" w:rsidRPr="008D14BD" w:rsidRDefault="0069117E" w:rsidP="00C525D6">
      <w:pPr>
        <w:pStyle w:val="ListParagraph"/>
        <w:numPr>
          <w:ilvl w:val="1"/>
          <w:numId w:val="61"/>
        </w:numPr>
        <w:spacing w:after="0"/>
        <w:ind w:left="1134"/>
        <w:jc w:val="both"/>
        <w:rPr>
          <w:rFonts w:ascii="Verdana" w:hAnsi="Verdana"/>
        </w:rPr>
      </w:pPr>
      <w:r w:rsidRPr="008D14BD">
        <w:rPr>
          <w:rFonts w:ascii="Verdana" w:hAnsi="Verdana"/>
        </w:rPr>
        <w:lastRenderedPageBreak/>
        <w:t>nerazpoložljivost nadomestnih možnosti, ki jih je mogoče ponovno uporabiti ali ki so narejene iz enega samega materiala za potrošnike v skladu s prejšnjim členom;</w:t>
      </w:r>
    </w:p>
    <w:p w14:paraId="2C6EB85E" w14:textId="24F74B4E" w:rsidR="00590C52" w:rsidRPr="008D14BD" w:rsidRDefault="0069117E" w:rsidP="00C525D6">
      <w:pPr>
        <w:pStyle w:val="ListParagraph"/>
        <w:numPr>
          <w:ilvl w:val="1"/>
          <w:numId w:val="61"/>
        </w:numPr>
        <w:spacing w:after="0"/>
        <w:ind w:left="1134"/>
        <w:jc w:val="both"/>
        <w:rPr>
          <w:rFonts w:ascii="Verdana" w:hAnsi="Verdana"/>
        </w:rPr>
      </w:pPr>
      <w:r w:rsidRPr="008D14BD">
        <w:rPr>
          <w:rFonts w:ascii="Verdana" w:hAnsi="Verdana"/>
        </w:rPr>
        <w:t xml:space="preserve">dajanje na voljo zelo lahkih plastičnih vrečk in trženje proizvodov v zelo lahkih plastičnih vrečkah v skladu s členom 4(1); </w:t>
      </w:r>
    </w:p>
    <w:p w14:paraId="00B109BF" w14:textId="62524D09" w:rsidR="00054EAE" w:rsidRPr="008D14BD" w:rsidRDefault="00054EAE" w:rsidP="00C525D6">
      <w:pPr>
        <w:pStyle w:val="ListParagraph"/>
        <w:numPr>
          <w:ilvl w:val="1"/>
          <w:numId w:val="61"/>
        </w:numPr>
        <w:spacing w:after="0"/>
        <w:ind w:left="1134"/>
        <w:jc w:val="both"/>
        <w:rPr>
          <w:rFonts w:ascii="Verdana" w:hAnsi="Verdana"/>
        </w:rPr>
      </w:pPr>
      <w:r w:rsidRPr="008D14BD">
        <w:rPr>
          <w:rFonts w:ascii="Verdana" w:hAnsi="Verdana"/>
        </w:rPr>
        <w:t xml:space="preserve"> trženje proizvodov, pakiranih v plastične posode za enkratno uporabo, kot so kivete in škatle, s pokrovom ali brez njega, v skladu s členom 4(2).</w:t>
      </w:r>
    </w:p>
    <w:p w14:paraId="1597C149" w14:textId="50E38EC0" w:rsidR="00054EAE" w:rsidRPr="008D14BD" w:rsidRDefault="00054EAE" w:rsidP="00C525D6">
      <w:pPr>
        <w:pStyle w:val="ListParagraph"/>
        <w:numPr>
          <w:ilvl w:val="0"/>
          <w:numId w:val="60"/>
        </w:numPr>
        <w:ind w:left="709"/>
        <w:jc w:val="both"/>
        <w:rPr>
          <w:rFonts w:ascii="Verdana" w:hAnsi="Verdana"/>
        </w:rPr>
      </w:pPr>
      <w:r w:rsidRPr="008D14BD">
        <w:rPr>
          <w:rFonts w:ascii="Verdana" w:hAnsi="Verdana"/>
        </w:rPr>
        <w:t xml:space="preserve">Poskusi in malomarnost se kaznujejo v skladu z RJCE. </w:t>
      </w:r>
    </w:p>
    <w:bookmarkEnd w:id="60"/>
    <w:p w14:paraId="746A881B" w14:textId="77777777" w:rsidR="00054EAE" w:rsidRPr="008D14BD" w:rsidRDefault="00054EAE" w:rsidP="00054EAE">
      <w:pPr>
        <w:spacing w:after="0" w:line="360" w:lineRule="auto"/>
        <w:jc w:val="center"/>
        <w:rPr>
          <w:rFonts w:ascii="Verdana" w:hAnsi="Verdana" w:cstheme="minorHAnsi"/>
        </w:rPr>
      </w:pPr>
    </w:p>
    <w:p w14:paraId="35F456F1" w14:textId="77777777" w:rsidR="00054EAE" w:rsidRPr="008D14BD" w:rsidRDefault="00054EAE" w:rsidP="00054EAE">
      <w:pPr>
        <w:spacing w:after="0" w:line="360" w:lineRule="auto"/>
        <w:jc w:val="center"/>
        <w:rPr>
          <w:rFonts w:ascii="Verdana" w:hAnsi="Verdana" w:cstheme="minorHAnsi"/>
        </w:rPr>
      </w:pPr>
      <w:r w:rsidRPr="008D14BD">
        <w:rPr>
          <w:rFonts w:ascii="Verdana" w:hAnsi="Verdana"/>
        </w:rPr>
        <w:t>Člen 7</w:t>
      </w:r>
    </w:p>
    <w:p w14:paraId="79B81B03" w14:textId="7DC95F01" w:rsidR="00054EAE" w:rsidRPr="008D14BD" w:rsidRDefault="00054EAE" w:rsidP="00054EAE">
      <w:pPr>
        <w:spacing w:after="0" w:line="360" w:lineRule="auto"/>
        <w:jc w:val="center"/>
        <w:rPr>
          <w:rFonts w:ascii="Verdana" w:hAnsi="Verdana"/>
        </w:rPr>
      </w:pPr>
      <w:r w:rsidRPr="008D14BD">
        <w:rPr>
          <w:rFonts w:ascii="Verdana" w:hAnsi="Verdana"/>
        </w:rPr>
        <w:t>Spremljanje, preiskava in odločanje</w:t>
      </w:r>
    </w:p>
    <w:p w14:paraId="314E96FC" w14:textId="77777777" w:rsidR="00827E7D" w:rsidRPr="008D14BD" w:rsidRDefault="00827E7D" w:rsidP="00054EAE">
      <w:pPr>
        <w:spacing w:after="0" w:line="360" w:lineRule="auto"/>
        <w:jc w:val="center"/>
        <w:rPr>
          <w:rFonts w:ascii="Verdana" w:hAnsi="Verdana"/>
        </w:rPr>
      </w:pPr>
    </w:p>
    <w:p w14:paraId="26F13C86" w14:textId="231F066B" w:rsidR="00054EAE" w:rsidRPr="008D14BD" w:rsidRDefault="00054EAE" w:rsidP="00C525D6">
      <w:pPr>
        <w:pStyle w:val="ListParagraph"/>
        <w:numPr>
          <w:ilvl w:val="0"/>
          <w:numId w:val="62"/>
        </w:numPr>
        <w:ind w:left="709"/>
        <w:jc w:val="both"/>
        <w:rPr>
          <w:rFonts w:ascii="Verdana" w:hAnsi="Verdana"/>
        </w:rPr>
      </w:pPr>
      <w:r w:rsidRPr="008D14BD">
        <w:rPr>
          <w:rFonts w:ascii="Verdana" w:hAnsi="Verdana"/>
        </w:rPr>
        <w:t>Za spremljanje skladnosti z določbami tega zakona je v okviru svojih pristojnosti odgovoren Organ za varnost hrane in gospodarsko varnost (ASAE) brez poseganja v pristojnosti policije in upravnih organov.</w:t>
      </w:r>
    </w:p>
    <w:p w14:paraId="0FABB307" w14:textId="0A1F7518" w:rsidR="00054EAE" w:rsidRPr="008D14BD" w:rsidRDefault="00054EAE" w:rsidP="00C525D6">
      <w:pPr>
        <w:pStyle w:val="ListParagraph"/>
        <w:numPr>
          <w:ilvl w:val="0"/>
          <w:numId w:val="62"/>
        </w:numPr>
        <w:ind w:left="709"/>
        <w:jc w:val="both"/>
        <w:rPr>
          <w:rFonts w:ascii="Verdana" w:hAnsi="Verdana"/>
        </w:rPr>
      </w:pPr>
      <w:r w:rsidRPr="008D14BD">
        <w:rPr>
          <w:rFonts w:ascii="Verdana" w:hAnsi="Verdana"/>
        </w:rPr>
        <w:t>Naloga ASAE je, da razišče primere v zvezi s kršitvami iz člena 6 in odloči o naložitvi globe.</w:t>
      </w:r>
    </w:p>
    <w:p w14:paraId="4207FFB8" w14:textId="77777777" w:rsidR="008B4B7F" w:rsidRPr="008D14BD" w:rsidRDefault="008B4B7F" w:rsidP="008E2CAE">
      <w:pPr>
        <w:jc w:val="center"/>
        <w:rPr>
          <w:rFonts w:ascii="Verdana" w:hAnsi="Verdana"/>
        </w:rPr>
      </w:pPr>
    </w:p>
    <w:p w14:paraId="692CD72B" w14:textId="1CB18418" w:rsidR="008E2CAE" w:rsidRPr="008D14BD" w:rsidRDefault="000600E7" w:rsidP="000600E7">
      <w:pPr>
        <w:pStyle w:val="Heading2"/>
        <w:numPr>
          <w:ilvl w:val="0"/>
          <w:numId w:val="0"/>
        </w:numPr>
        <w:tabs>
          <w:tab w:val="clear" w:pos="1701"/>
          <w:tab w:val="left" w:pos="1418"/>
        </w:tabs>
        <w:ind w:left="426"/>
      </w:pPr>
      <w:r w:rsidRPr="008D14BD">
        <w:t>Člen 27</w:t>
      </w:r>
      <w:r w:rsidRPr="008D14BD">
        <w:br/>
        <w:t>Dodatek Zakona št. 77/2019 z dne 2. septembra:</w:t>
      </w:r>
    </w:p>
    <w:p w14:paraId="23C307B6" w14:textId="77777777" w:rsidR="00827E7D" w:rsidRPr="008D14BD" w:rsidRDefault="00827E7D" w:rsidP="00007109">
      <w:pPr>
        <w:jc w:val="both"/>
        <w:rPr>
          <w:rFonts w:ascii="Verdana" w:hAnsi="Verdana"/>
        </w:rPr>
      </w:pPr>
    </w:p>
    <w:p w14:paraId="78478EEB" w14:textId="77777777" w:rsidR="008E2CAE" w:rsidRPr="008D14BD" w:rsidRDefault="008E2CAE" w:rsidP="00007109">
      <w:pPr>
        <w:jc w:val="both"/>
        <w:rPr>
          <w:rFonts w:ascii="Verdana" w:hAnsi="Verdana"/>
        </w:rPr>
      </w:pPr>
      <w:r w:rsidRPr="008D14BD">
        <w:rPr>
          <w:rFonts w:ascii="Verdana" w:hAnsi="Verdana"/>
        </w:rPr>
        <w:t xml:space="preserve">V Zakonu št. 77/2019 z dne 2. septembra 2019 se doda člen 7(a): </w:t>
      </w:r>
    </w:p>
    <w:p w14:paraId="6C42C8B3" w14:textId="77777777" w:rsidR="008E2CAE" w:rsidRPr="008D14BD" w:rsidRDefault="008E2CAE" w:rsidP="008E2CAE">
      <w:pPr>
        <w:spacing w:after="0" w:line="360" w:lineRule="auto"/>
        <w:jc w:val="center"/>
        <w:rPr>
          <w:rFonts w:ascii="Verdana" w:hAnsi="Verdana" w:cstheme="minorHAnsi"/>
        </w:rPr>
      </w:pPr>
    </w:p>
    <w:p w14:paraId="591A7AA1" w14:textId="77777777" w:rsidR="008E2CAE" w:rsidRPr="008D14BD" w:rsidRDefault="008E2CAE" w:rsidP="008E2CAE">
      <w:pPr>
        <w:spacing w:after="0" w:line="360" w:lineRule="auto"/>
        <w:jc w:val="center"/>
        <w:rPr>
          <w:rFonts w:ascii="Verdana" w:hAnsi="Verdana" w:cstheme="minorHAnsi"/>
        </w:rPr>
      </w:pPr>
      <w:r w:rsidRPr="008D14BD">
        <w:rPr>
          <w:rFonts w:ascii="Verdana" w:hAnsi="Verdana"/>
        </w:rPr>
        <w:t>»Člen 7(a)</w:t>
      </w:r>
    </w:p>
    <w:p w14:paraId="67DF5936" w14:textId="77777777" w:rsidR="008E2CAE" w:rsidRPr="008D14BD" w:rsidRDefault="008E2CAE" w:rsidP="008E2CAE">
      <w:pPr>
        <w:spacing w:after="0" w:line="360" w:lineRule="auto"/>
        <w:jc w:val="center"/>
        <w:rPr>
          <w:rFonts w:ascii="Verdana" w:hAnsi="Verdana" w:cstheme="minorHAnsi"/>
          <w:b/>
        </w:rPr>
      </w:pPr>
      <w:r w:rsidRPr="008D14BD">
        <w:rPr>
          <w:rFonts w:ascii="Verdana" w:hAnsi="Verdana"/>
          <w:b/>
        </w:rPr>
        <w:t>Prihodki iz naslova glob</w:t>
      </w:r>
    </w:p>
    <w:p w14:paraId="7E6E6DF1" w14:textId="77777777" w:rsidR="008E2CAE" w:rsidRPr="008D14BD" w:rsidRDefault="008E2CAE" w:rsidP="008E2CAE">
      <w:pPr>
        <w:spacing w:after="0" w:line="360" w:lineRule="auto"/>
        <w:jc w:val="both"/>
        <w:rPr>
          <w:rFonts w:ascii="Verdana" w:hAnsi="Verdana" w:cstheme="minorHAnsi"/>
        </w:rPr>
      </w:pPr>
      <w:r w:rsidRPr="008D14BD">
        <w:rPr>
          <w:rFonts w:ascii="Verdana" w:hAnsi="Verdana"/>
        </w:rPr>
        <w:t>Prihodki iz naslova glob se razporedijo v skladu z RJCE.«</w:t>
      </w:r>
    </w:p>
    <w:p w14:paraId="2A5DA637" w14:textId="3065A7F9" w:rsidR="008E2CAE" w:rsidRPr="008D14BD" w:rsidRDefault="008E2CAE" w:rsidP="008E2CAE">
      <w:pPr>
        <w:rPr>
          <w:rFonts w:ascii="Verdana" w:hAnsi="Verdana"/>
        </w:rPr>
      </w:pPr>
    </w:p>
    <w:p w14:paraId="46E9C03E" w14:textId="0F0B52EB" w:rsidR="00590C52" w:rsidRPr="008D14BD" w:rsidRDefault="00590C52" w:rsidP="00590C52">
      <w:pPr>
        <w:jc w:val="center"/>
        <w:rPr>
          <w:rFonts w:ascii="Verdana" w:hAnsi="Verdana" w:cstheme="minorHAnsi"/>
          <w:b/>
          <w:sz w:val="28"/>
          <w:szCs w:val="28"/>
        </w:rPr>
      </w:pPr>
      <w:r w:rsidRPr="008D14BD">
        <w:rPr>
          <w:rFonts w:ascii="Verdana" w:hAnsi="Verdana"/>
          <w:b/>
          <w:sz w:val="28"/>
        </w:rPr>
        <w:t>Poglavje XI</w:t>
      </w:r>
    </w:p>
    <w:p w14:paraId="4078BAD7" w14:textId="65125DFF" w:rsidR="00590C52" w:rsidRPr="008D14BD" w:rsidRDefault="00590C52" w:rsidP="00412FEF">
      <w:pPr>
        <w:jc w:val="center"/>
        <w:rPr>
          <w:rFonts w:ascii="Verdana" w:hAnsi="Verdana" w:cstheme="minorHAnsi"/>
          <w:b/>
        </w:rPr>
      </w:pPr>
      <w:r w:rsidRPr="008D14BD">
        <w:rPr>
          <w:rFonts w:ascii="Verdana" w:hAnsi="Verdana"/>
          <w:b/>
        </w:rPr>
        <w:t>Dodatne, prehodne in končne določbe</w:t>
      </w:r>
    </w:p>
    <w:p w14:paraId="516113FA" w14:textId="77777777" w:rsidR="008E2CAE" w:rsidRPr="008D14BD" w:rsidRDefault="008E2CAE" w:rsidP="008E2CAE">
      <w:pPr>
        <w:rPr>
          <w:rFonts w:ascii="Verdana" w:hAnsi="Verdana"/>
        </w:rPr>
      </w:pPr>
    </w:p>
    <w:p w14:paraId="5E44B2A4" w14:textId="20280901" w:rsidR="008E2CAE" w:rsidRPr="008D14BD" w:rsidRDefault="00AC3F76" w:rsidP="00AC3F76">
      <w:pPr>
        <w:pStyle w:val="Heading2"/>
        <w:numPr>
          <w:ilvl w:val="0"/>
          <w:numId w:val="0"/>
        </w:numPr>
        <w:tabs>
          <w:tab w:val="clear" w:pos="1701"/>
          <w:tab w:val="left" w:pos="1560"/>
        </w:tabs>
        <w:ind w:left="426"/>
      </w:pPr>
      <w:r w:rsidRPr="008D14BD">
        <w:lastRenderedPageBreak/>
        <w:t>Člen 28</w:t>
      </w:r>
      <w:r w:rsidRPr="008D14BD">
        <w:br/>
        <w:t>Razveljavitvena določba</w:t>
      </w:r>
    </w:p>
    <w:p w14:paraId="11429E44" w14:textId="31E1C1C5" w:rsidR="008E2CAE" w:rsidRPr="008D14BD" w:rsidRDefault="00590C52" w:rsidP="00007109">
      <w:pPr>
        <w:jc w:val="both"/>
        <w:rPr>
          <w:rFonts w:ascii="Verdana" w:hAnsi="Verdana"/>
        </w:rPr>
      </w:pPr>
      <w:r w:rsidRPr="008D14BD">
        <w:rPr>
          <w:rFonts w:ascii="Verdana" w:hAnsi="Verdana"/>
        </w:rPr>
        <w:t>Zakon št. 76/2019 iz 2. septembra se razveljavi.</w:t>
      </w:r>
    </w:p>
    <w:p w14:paraId="43BE6334" w14:textId="5A32863C" w:rsidR="008E2CAE" w:rsidRPr="008D14BD" w:rsidRDefault="008E2CAE" w:rsidP="00007109">
      <w:pPr>
        <w:jc w:val="both"/>
        <w:rPr>
          <w:rFonts w:ascii="Verdana" w:hAnsi="Verdana"/>
        </w:rPr>
      </w:pPr>
      <w:bookmarkStart w:id="61" w:name="_Hlk36038265"/>
    </w:p>
    <w:bookmarkEnd w:id="61"/>
    <w:p w14:paraId="0044BACA" w14:textId="5CB7690D" w:rsidR="0037079D" w:rsidRPr="008D14BD" w:rsidRDefault="00A315EC" w:rsidP="00A315EC">
      <w:pPr>
        <w:pStyle w:val="Heading2"/>
        <w:numPr>
          <w:ilvl w:val="0"/>
          <w:numId w:val="0"/>
        </w:numPr>
        <w:tabs>
          <w:tab w:val="clear" w:pos="1701"/>
          <w:tab w:val="left" w:pos="1560"/>
        </w:tabs>
        <w:ind w:left="426"/>
      </w:pPr>
      <w:r w:rsidRPr="008D14BD">
        <w:t>Člen 29</w:t>
      </w:r>
      <w:r w:rsidRPr="008D14BD">
        <w:br/>
        <w:t>Subsidiarna uporaba uredbe z zakonsko močjo št. 152-D/2017 z dne 11. decembra</w:t>
      </w:r>
    </w:p>
    <w:p w14:paraId="138F4285" w14:textId="75213671" w:rsidR="008E2CAE" w:rsidRPr="008D14BD" w:rsidRDefault="008E2CAE" w:rsidP="008E2CAE">
      <w:pPr>
        <w:jc w:val="both"/>
        <w:rPr>
          <w:rFonts w:ascii="Verdana" w:hAnsi="Verdana"/>
        </w:rPr>
      </w:pPr>
      <w:r w:rsidRPr="008D14BD">
        <w:rPr>
          <w:rFonts w:ascii="Verdana" w:hAnsi="Verdana"/>
        </w:rPr>
        <w:t>Za vse, kar v tej uredbi z zakonsko močjo, ni izrecno določeno, se dodatno uporablja tudi GSWM.</w:t>
      </w:r>
    </w:p>
    <w:p w14:paraId="180438A2" w14:textId="77777777" w:rsidR="008E2CAE" w:rsidRPr="008D14BD" w:rsidRDefault="008E2CAE" w:rsidP="00007109">
      <w:pPr>
        <w:jc w:val="both"/>
        <w:rPr>
          <w:rFonts w:ascii="Verdana" w:hAnsi="Verdana"/>
        </w:rPr>
      </w:pPr>
    </w:p>
    <w:p w14:paraId="0F3BF910" w14:textId="2FA11858" w:rsidR="00D573FE" w:rsidRPr="008D14BD" w:rsidRDefault="00AC3F76" w:rsidP="00AC3F76">
      <w:pPr>
        <w:pStyle w:val="Heading2"/>
        <w:numPr>
          <w:ilvl w:val="0"/>
          <w:numId w:val="0"/>
        </w:numPr>
        <w:tabs>
          <w:tab w:val="clear" w:pos="1701"/>
          <w:tab w:val="left" w:pos="1418"/>
        </w:tabs>
        <w:ind w:left="426"/>
      </w:pPr>
      <w:r w:rsidRPr="008D14BD">
        <w:t>Člen 30</w:t>
      </w:r>
      <w:r w:rsidRPr="008D14BD">
        <w:br/>
        <w:t>Dolžnost sodelovanja in predložitve dokumentacije</w:t>
      </w:r>
    </w:p>
    <w:p w14:paraId="1201E132" w14:textId="77777777" w:rsidR="0037079D" w:rsidRPr="008D14BD" w:rsidRDefault="0037079D" w:rsidP="0037079D">
      <w:pPr>
        <w:rPr>
          <w:rFonts w:ascii="Verdana" w:hAnsi="Verdana"/>
        </w:rPr>
      </w:pPr>
    </w:p>
    <w:p w14:paraId="167E15F1" w14:textId="4CFE5D31" w:rsidR="001E4779" w:rsidRPr="008D14BD" w:rsidRDefault="001E4779" w:rsidP="00C525D6">
      <w:pPr>
        <w:pStyle w:val="ListParagraph"/>
        <w:numPr>
          <w:ilvl w:val="0"/>
          <w:numId w:val="63"/>
        </w:numPr>
        <w:ind w:left="709"/>
        <w:jc w:val="both"/>
        <w:rPr>
          <w:rFonts w:ascii="Verdana" w:hAnsi="Verdana"/>
        </w:rPr>
      </w:pPr>
      <w:r w:rsidRPr="008D14BD">
        <w:rPr>
          <w:rFonts w:ascii="Verdana" w:hAnsi="Verdana"/>
        </w:rPr>
        <w:t>APA, I.P., DGAE, DGRM in nadzorni organi morajo medsebojno sodelovati, da se zagotovi uporaba te uredbe z zakonsko močjo, zlasti s tehničnim sodelovanjem in izmenjavo informacij.</w:t>
      </w:r>
    </w:p>
    <w:p w14:paraId="7E1C832E" w14:textId="61023C9E" w:rsidR="001E4779" w:rsidRPr="008D14BD" w:rsidRDefault="001E4779" w:rsidP="00C525D6">
      <w:pPr>
        <w:pStyle w:val="ListParagraph"/>
        <w:numPr>
          <w:ilvl w:val="0"/>
          <w:numId w:val="63"/>
        </w:numPr>
        <w:ind w:left="709"/>
        <w:jc w:val="both"/>
        <w:rPr>
          <w:rFonts w:ascii="Verdana" w:hAnsi="Verdana"/>
        </w:rPr>
      </w:pPr>
      <w:r w:rsidRPr="008D14BD">
        <w:rPr>
          <w:rFonts w:ascii="Verdana" w:hAnsi="Verdana"/>
        </w:rPr>
        <w:t>2 - Namen sodelovanja, predvidenega v prejšnji točki, je zagotoviti integriran nadzor in spremljanje dejavnosti, ki se izvajajo v okviru te uredbe z zakonsko močjo, pri čemer se obveznost sodelovanja razširi tudi na druge zainteresirane javne organe, zlasti na pristojne organe avtonomnih regij.</w:t>
      </w:r>
    </w:p>
    <w:p w14:paraId="26E18A9A" w14:textId="5F54A302" w:rsidR="001E4779" w:rsidRPr="008D14BD" w:rsidRDefault="001E4779" w:rsidP="00C525D6">
      <w:pPr>
        <w:pStyle w:val="ListParagraph"/>
        <w:numPr>
          <w:ilvl w:val="0"/>
          <w:numId w:val="63"/>
        </w:numPr>
        <w:ind w:left="709"/>
        <w:jc w:val="both"/>
        <w:rPr>
          <w:rFonts w:ascii="Verdana" w:hAnsi="Verdana"/>
        </w:rPr>
      </w:pPr>
      <w:r w:rsidRPr="008D14BD">
        <w:rPr>
          <w:rFonts w:ascii="Verdana" w:hAnsi="Verdana"/>
        </w:rPr>
        <w:t>Predložitev dokumentacije iz te uredbe z zakonsko močjo, ki je v lasti služb ali organov javne uprave, se lahko oprosti in se dokumentacijo pridobi prek platforme za interoperabilnost javne uprave v skladu s členom 28-A uredbe z zakonsko močjo št. 135/99 z dne 22. aprila 1999 v sedanji obliki, če državljani ali gospodarski subjekti k temu dajo svoje soglasje.</w:t>
      </w:r>
    </w:p>
    <w:p w14:paraId="1E683183" w14:textId="77777777" w:rsidR="008B4B7F" w:rsidRPr="008D14BD" w:rsidRDefault="008B4B7F" w:rsidP="003035F6">
      <w:pPr>
        <w:jc w:val="center"/>
        <w:rPr>
          <w:rFonts w:ascii="Verdana" w:hAnsi="Verdana"/>
        </w:rPr>
      </w:pPr>
    </w:p>
    <w:p w14:paraId="1E403387" w14:textId="517F0FA0" w:rsidR="008B4B7F" w:rsidRPr="008D14BD" w:rsidRDefault="00AC3F76" w:rsidP="00AC3F76">
      <w:pPr>
        <w:pStyle w:val="Heading2"/>
        <w:numPr>
          <w:ilvl w:val="0"/>
          <w:numId w:val="0"/>
        </w:numPr>
        <w:tabs>
          <w:tab w:val="clear" w:pos="1701"/>
          <w:tab w:val="left" w:pos="1418"/>
        </w:tabs>
        <w:ind w:left="426"/>
      </w:pPr>
      <w:r w:rsidRPr="008D14BD">
        <w:t>Člen 31</w:t>
      </w:r>
      <w:r w:rsidRPr="008D14BD">
        <w:br/>
        <w:t>Avtonomne regije</w:t>
      </w:r>
    </w:p>
    <w:p w14:paraId="58156734" w14:textId="77777777" w:rsidR="0037079D" w:rsidRPr="008D14BD" w:rsidRDefault="0037079D" w:rsidP="0037079D">
      <w:pPr>
        <w:rPr>
          <w:rFonts w:ascii="Verdana" w:hAnsi="Verdana"/>
        </w:rPr>
      </w:pPr>
    </w:p>
    <w:p w14:paraId="45480258" w14:textId="4D486621" w:rsidR="008B4B7F" w:rsidRPr="008D14BD" w:rsidRDefault="008B4B7F" w:rsidP="00C525D6">
      <w:pPr>
        <w:pStyle w:val="ListParagraph"/>
        <w:numPr>
          <w:ilvl w:val="0"/>
          <w:numId w:val="64"/>
        </w:numPr>
        <w:ind w:left="709"/>
        <w:jc w:val="both"/>
        <w:rPr>
          <w:rFonts w:ascii="Verdana" w:hAnsi="Verdana"/>
        </w:rPr>
      </w:pPr>
      <w:r w:rsidRPr="008D14BD">
        <w:rPr>
          <w:rFonts w:ascii="Verdana" w:hAnsi="Verdana"/>
        </w:rPr>
        <w:lastRenderedPageBreak/>
        <w:t>Ta uredba z zakonsko močjo velja za avtonomne regije Azori in Madeiro, ne glede na njeno primernost za regionalne posebnosti, v skladu z njeno politično in upravno avtonomijo, pri čemer je njeno izvajanje dolžnost služb in organov posameznih avtonomnih regionalnih vlad z nalogami in pristojnostmi na področju ravnanja z odpadki, brez poseganja v pristojnosti organov na nacionalni ravni.</w:t>
      </w:r>
    </w:p>
    <w:p w14:paraId="3387C8A0" w14:textId="6D82DF72" w:rsidR="008B4B7F" w:rsidRPr="008D14BD" w:rsidRDefault="008B4B7F" w:rsidP="00C525D6">
      <w:pPr>
        <w:pStyle w:val="ListParagraph"/>
        <w:numPr>
          <w:ilvl w:val="0"/>
          <w:numId w:val="64"/>
        </w:numPr>
        <w:ind w:left="709"/>
        <w:jc w:val="both"/>
        <w:rPr>
          <w:rFonts w:ascii="Verdana" w:hAnsi="Verdana"/>
        </w:rPr>
      </w:pPr>
      <w:r w:rsidRPr="008D14BD">
        <w:rPr>
          <w:rFonts w:ascii="Verdana" w:hAnsi="Verdana"/>
        </w:rPr>
        <w:t>Prihodki iz glob, ki se naložijo v avtonomnih regijah, se razporedijo izključno kot prihodki teh regij.</w:t>
      </w:r>
    </w:p>
    <w:p w14:paraId="481EC9CD" w14:textId="77777777" w:rsidR="00667FE9" w:rsidRPr="008D14BD" w:rsidRDefault="00667FE9" w:rsidP="008B4B7F">
      <w:pPr>
        <w:jc w:val="both"/>
        <w:rPr>
          <w:rFonts w:ascii="Verdana" w:hAnsi="Verdana"/>
        </w:rPr>
      </w:pPr>
    </w:p>
    <w:p w14:paraId="284B6D7F" w14:textId="6ADFA1B8" w:rsidR="00667FE9" w:rsidRPr="008D14BD" w:rsidRDefault="00AC3F76" w:rsidP="00AC3F76">
      <w:pPr>
        <w:pStyle w:val="Heading2"/>
        <w:numPr>
          <w:ilvl w:val="0"/>
          <w:numId w:val="0"/>
        </w:numPr>
        <w:tabs>
          <w:tab w:val="clear" w:pos="1701"/>
          <w:tab w:val="left" w:pos="1418"/>
        </w:tabs>
        <w:ind w:left="426"/>
      </w:pPr>
      <w:r w:rsidRPr="008D14BD">
        <w:t>Člen 32</w:t>
      </w:r>
      <w:r w:rsidRPr="008D14BD">
        <w:br/>
        <w:t>Začetek veljavnosti in proizvodnja</w:t>
      </w:r>
    </w:p>
    <w:p w14:paraId="52CD741A" w14:textId="77777777" w:rsidR="0037079D" w:rsidRPr="008D14BD" w:rsidRDefault="0037079D" w:rsidP="0037079D">
      <w:pPr>
        <w:rPr>
          <w:rFonts w:ascii="Verdana" w:hAnsi="Verdana"/>
        </w:rPr>
      </w:pPr>
    </w:p>
    <w:p w14:paraId="34CDD4A8" w14:textId="200B8CE5" w:rsidR="00DD3E8A" w:rsidRPr="008D14BD" w:rsidRDefault="002A32BE" w:rsidP="00C525D6">
      <w:pPr>
        <w:pStyle w:val="ListParagraph"/>
        <w:numPr>
          <w:ilvl w:val="0"/>
          <w:numId w:val="65"/>
        </w:numPr>
        <w:ind w:left="709"/>
        <w:jc w:val="both"/>
        <w:rPr>
          <w:rFonts w:ascii="Verdana" w:hAnsi="Verdana"/>
        </w:rPr>
      </w:pPr>
      <w:r w:rsidRPr="008D14BD">
        <w:rPr>
          <w:rFonts w:ascii="Verdana" w:hAnsi="Verdana"/>
        </w:rPr>
        <w:t>Ta uredba z zakonsko močjo začne veljati 1. julija 2021</w:t>
      </w:r>
    </w:p>
    <w:p w14:paraId="3CC62673" w14:textId="7628EE87" w:rsidR="00DD3E8A" w:rsidRPr="008D14BD" w:rsidRDefault="00DD3E8A" w:rsidP="00C525D6">
      <w:pPr>
        <w:pStyle w:val="ListParagraph"/>
        <w:numPr>
          <w:ilvl w:val="0"/>
          <w:numId w:val="65"/>
        </w:numPr>
        <w:ind w:left="709"/>
        <w:jc w:val="both"/>
        <w:rPr>
          <w:rFonts w:ascii="Verdana" w:hAnsi="Verdana"/>
        </w:rPr>
      </w:pPr>
      <w:r w:rsidRPr="008D14BD">
        <w:rPr>
          <w:rFonts w:ascii="Verdana" w:hAnsi="Verdana"/>
        </w:rPr>
        <w:t>Brez poseganja v člen 183 uredbe z zakonsko močjo št. 9/2021 z dne 29. januarja, s katero je bil odobren pravni režim za gospodarske upravne prekrške, se ta ureditev v primeru upravnih prekrškov iz člena 21(1) te uredbe z zakonsko močjo uporablja takoj.</w:t>
      </w:r>
    </w:p>
    <w:p w14:paraId="50C301FD" w14:textId="18BDE172" w:rsidR="00DD3E8A" w:rsidRPr="008D14BD" w:rsidRDefault="00DD3E8A" w:rsidP="00575347">
      <w:pPr>
        <w:jc w:val="both"/>
        <w:rPr>
          <w:rFonts w:ascii="Verdana" w:hAnsi="Verdana"/>
        </w:rPr>
      </w:pPr>
    </w:p>
    <w:p w14:paraId="1ACB74EF" w14:textId="77777777" w:rsidR="00575347" w:rsidRPr="008D14BD" w:rsidRDefault="00575347" w:rsidP="00575347">
      <w:pPr>
        <w:jc w:val="both"/>
        <w:rPr>
          <w:rFonts w:ascii="Verdana" w:hAnsi="Verdana"/>
        </w:rPr>
        <w:sectPr w:rsidR="00575347" w:rsidRPr="008D14BD">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8D14BD" w:rsidRDefault="00A172F1" w:rsidP="00A172F1">
      <w:pPr>
        <w:jc w:val="both"/>
        <w:rPr>
          <w:rFonts w:ascii="Verdana" w:hAnsi="Verdana"/>
        </w:rPr>
      </w:pPr>
    </w:p>
    <w:p w14:paraId="0B29489E" w14:textId="3C493B32" w:rsidR="00875033" w:rsidRPr="008D14BD" w:rsidRDefault="000933C0" w:rsidP="008D14BD">
      <w:pPr>
        <w:pStyle w:val="Heading3"/>
      </w:pPr>
      <w:r w:rsidRPr="008D14BD">
        <w:br/>
      </w:r>
      <w:bookmarkStart w:id="62" w:name="_Ref63440905"/>
      <w:r w:rsidRPr="008D14BD">
        <w:t>Izdelki iz plastike za enkratno uporabo iz člena 2(1)</w:t>
      </w:r>
      <w:bookmarkEnd w:id="62"/>
    </w:p>
    <w:p w14:paraId="43DD799A" w14:textId="77777777" w:rsidR="006418B1" w:rsidRPr="008D14BD" w:rsidRDefault="006418B1" w:rsidP="00575347">
      <w:pPr>
        <w:pStyle w:val="ListParagraph"/>
        <w:numPr>
          <w:ilvl w:val="0"/>
          <w:numId w:val="66"/>
        </w:numPr>
        <w:ind w:left="709"/>
        <w:jc w:val="both"/>
        <w:rPr>
          <w:rFonts w:ascii="Verdana" w:hAnsi="Verdana"/>
        </w:rPr>
      </w:pPr>
      <w:r w:rsidRPr="008D14BD">
        <w:rPr>
          <w:rFonts w:ascii="Verdana" w:hAnsi="Verdana"/>
        </w:rPr>
        <w:t xml:space="preserve">Skodelice za pijačo, vključno s pokrovčki in zamaški; </w:t>
      </w:r>
    </w:p>
    <w:p w14:paraId="228ED85F" w14:textId="77777777" w:rsidR="006418B1" w:rsidRPr="008D14BD" w:rsidRDefault="006418B1" w:rsidP="00575347">
      <w:pPr>
        <w:pStyle w:val="ListParagraph"/>
        <w:numPr>
          <w:ilvl w:val="0"/>
          <w:numId w:val="66"/>
        </w:numPr>
        <w:ind w:left="709"/>
        <w:jc w:val="both"/>
        <w:rPr>
          <w:rFonts w:ascii="Verdana" w:hAnsi="Verdana"/>
        </w:rPr>
      </w:pPr>
      <w:r w:rsidRPr="008D14BD">
        <w:rPr>
          <w:rFonts w:ascii="Verdana" w:hAnsi="Verdana"/>
        </w:rPr>
        <w:t xml:space="preserve">posode za hrano, tj. posode, kot so škatle, s pokrovom ali brez, ki se uporabljajo za živila, ki: </w:t>
      </w:r>
    </w:p>
    <w:p w14:paraId="5D0F7CAB" w14:textId="58578C70" w:rsidR="006418B1" w:rsidRPr="008D14BD" w:rsidRDefault="006418B1" w:rsidP="00575347">
      <w:pPr>
        <w:pStyle w:val="ListParagraph"/>
        <w:numPr>
          <w:ilvl w:val="0"/>
          <w:numId w:val="67"/>
        </w:numPr>
        <w:spacing w:line="240" w:lineRule="auto"/>
        <w:rPr>
          <w:rFonts w:ascii="Verdana" w:hAnsi="Verdana"/>
        </w:rPr>
      </w:pPr>
      <w:r w:rsidRPr="008D14BD">
        <w:rPr>
          <w:rFonts w:ascii="Verdana" w:hAnsi="Verdana"/>
        </w:rPr>
        <w:t xml:space="preserve">so namenjena za takojšnje zaužitje, bodisi na kraju samem ali jih potrošniki odnesejo s seboj, </w:t>
      </w:r>
    </w:p>
    <w:p w14:paraId="362E82E4" w14:textId="58405378" w:rsidR="006418B1" w:rsidRPr="008D14BD" w:rsidRDefault="006418B1" w:rsidP="00575347">
      <w:pPr>
        <w:pStyle w:val="ListParagraph"/>
        <w:numPr>
          <w:ilvl w:val="0"/>
          <w:numId w:val="67"/>
        </w:numPr>
        <w:spacing w:line="240" w:lineRule="auto"/>
        <w:rPr>
          <w:rFonts w:ascii="Verdana" w:hAnsi="Verdana"/>
        </w:rPr>
      </w:pPr>
      <w:r w:rsidRPr="008D14BD">
        <w:rPr>
          <w:rFonts w:ascii="Verdana" w:hAnsi="Verdana"/>
        </w:rPr>
        <w:t xml:space="preserve">se običajno zaužijejo iz posode in </w:t>
      </w:r>
    </w:p>
    <w:p w14:paraId="31602558" w14:textId="0788487C" w:rsidR="006418B1" w:rsidRPr="008D14BD" w:rsidRDefault="006418B1" w:rsidP="00575347">
      <w:pPr>
        <w:pStyle w:val="ListParagraph"/>
        <w:numPr>
          <w:ilvl w:val="0"/>
          <w:numId w:val="67"/>
        </w:numPr>
        <w:spacing w:line="240" w:lineRule="auto"/>
        <w:rPr>
          <w:rFonts w:ascii="Verdana" w:hAnsi="Verdana"/>
        </w:rPr>
      </w:pPr>
      <w:r w:rsidRPr="008D14BD">
        <w:rPr>
          <w:rFonts w:ascii="Verdana" w:hAnsi="Verdana"/>
        </w:rPr>
        <w:t>se jih zaužije brez nadaljnje priprave, kot je kuhanje, vrenje ali segrevanje,</w:t>
      </w:r>
    </w:p>
    <w:p w14:paraId="50856381" w14:textId="77777777" w:rsidR="006418B1" w:rsidRPr="008D14BD" w:rsidRDefault="006418B1" w:rsidP="00575347">
      <w:pPr>
        <w:pStyle w:val="ListParagraph"/>
        <w:ind w:left="709"/>
        <w:jc w:val="both"/>
        <w:rPr>
          <w:rFonts w:ascii="Verdana" w:hAnsi="Verdana"/>
        </w:rPr>
      </w:pPr>
      <w:r w:rsidRPr="008D14BD">
        <w:rPr>
          <w:rFonts w:ascii="Verdana" w:hAnsi="Verdana"/>
        </w:rPr>
        <w:t>vključno s posodami za živila, ki se uporabljajo za hitro prehrano ali druge obroke, namenjene za takojšnje zaužitje, razen vsebnikov za pijačo, krožnikov, zavitkov in ovojev s hrano;</w:t>
      </w:r>
    </w:p>
    <w:p w14:paraId="28473118" w14:textId="4C13086B" w:rsidR="006418B1" w:rsidRPr="008D14BD" w:rsidRDefault="006418B1"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vatirane palčke, razen če spadajo v področje uporabe uredbe z zakonsko močjo št. 145/2009 z dne 17. junija, v sedanji obliki; </w:t>
      </w:r>
    </w:p>
    <w:p w14:paraId="4E332868" w14:textId="77777777" w:rsidR="006418B1" w:rsidRPr="008D14BD" w:rsidRDefault="006418B1"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pribor (vilice, noži, žlice/žličke, paličice); </w:t>
      </w:r>
    </w:p>
    <w:p w14:paraId="1BA1EA96" w14:textId="77777777" w:rsidR="006418B1" w:rsidRPr="008D14BD" w:rsidRDefault="006418B1"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krožniki; </w:t>
      </w:r>
    </w:p>
    <w:p w14:paraId="2DB136F0" w14:textId="7FEE640F" w:rsidR="006418B1" w:rsidRPr="008D14BD" w:rsidRDefault="006418B1"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slamice, razen če spadajo v področje uporabe uredbe z zakonsko močjo št. 145/2009 z dne 17. junija; </w:t>
      </w:r>
    </w:p>
    <w:p w14:paraId="029562BE" w14:textId="77777777" w:rsidR="006418B1" w:rsidRPr="008D14BD" w:rsidRDefault="006418B1"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paličice za mešanje pijač; </w:t>
      </w:r>
    </w:p>
    <w:p w14:paraId="37F9C66D" w14:textId="77777777" w:rsidR="007879A9" w:rsidRPr="008D14BD" w:rsidRDefault="006418B1" w:rsidP="00575347">
      <w:pPr>
        <w:pStyle w:val="ListParagraph"/>
        <w:numPr>
          <w:ilvl w:val="0"/>
          <w:numId w:val="66"/>
        </w:numPr>
        <w:tabs>
          <w:tab w:val="left" w:pos="993"/>
        </w:tabs>
        <w:ind w:left="709"/>
        <w:jc w:val="both"/>
        <w:rPr>
          <w:rFonts w:ascii="Verdana" w:hAnsi="Verdana"/>
        </w:rPr>
      </w:pPr>
      <w:r w:rsidRPr="008D14BD">
        <w:rPr>
          <w:rFonts w:ascii="Verdana" w:hAnsi="Verdana"/>
        </w:rPr>
        <w:t>palčke za pritrditev na balone in podporo balonov, vključno z mehanizmi takih palčk, razen balonov za industrijsko ali drugo poklicno rabo in uporabo, ki se ne delijo potrošnikom;</w:t>
      </w:r>
    </w:p>
    <w:p w14:paraId="3BD5CD2C" w14:textId="77777777" w:rsidR="00502353" w:rsidRPr="008D14BD" w:rsidRDefault="00F957CC"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posode za živila iz ekspandiranega polistirena, tj. posode, kot so škatle s pokrovom ali brez njega, ki se uporabljajo za shranjevanje živil, ki: </w:t>
      </w:r>
    </w:p>
    <w:p w14:paraId="134BCB71" w14:textId="66E95134" w:rsidR="00FD6DE7" w:rsidRPr="008D14BD" w:rsidRDefault="00F957CC" w:rsidP="00575347">
      <w:pPr>
        <w:pStyle w:val="ListParagraph"/>
        <w:numPr>
          <w:ilvl w:val="0"/>
          <w:numId w:val="68"/>
        </w:numPr>
        <w:spacing w:line="240" w:lineRule="auto"/>
        <w:rPr>
          <w:rFonts w:ascii="Verdana" w:hAnsi="Verdana"/>
        </w:rPr>
      </w:pPr>
      <w:r w:rsidRPr="008D14BD">
        <w:rPr>
          <w:rFonts w:ascii="Verdana" w:hAnsi="Verdana"/>
        </w:rPr>
        <w:t xml:space="preserve">so namenjena za takojšnje zaužitje, bodisi na kraju samem ali jih potrošniki odnesejo s seboj, </w:t>
      </w:r>
    </w:p>
    <w:p w14:paraId="6CE4B79B" w14:textId="1FDD2417" w:rsidR="00FD6DE7" w:rsidRPr="008D14BD" w:rsidRDefault="00F957CC" w:rsidP="00575347">
      <w:pPr>
        <w:pStyle w:val="ListParagraph"/>
        <w:numPr>
          <w:ilvl w:val="0"/>
          <w:numId w:val="68"/>
        </w:numPr>
        <w:spacing w:line="240" w:lineRule="auto"/>
        <w:rPr>
          <w:rFonts w:ascii="Verdana" w:hAnsi="Verdana"/>
        </w:rPr>
      </w:pPr>
      <w:r w:rsidRPr="008D14BD">
        <w:rPr>
          <w:rFonts w:ascii="Verdana" w:hAnsi="Verdana"/>
        </w:rPr>
        <w:t xml:space="preserve">se običajno zaužijejo iz posode in </w:t>
      </w:r>
    </w:p>
    <w:p w14:paraId="3B4977B3" w14:textId="01BE44ED" w:rsidR="00FD6DE7" w:rsidRPr="008D14BD" w:rsidRDefault="00F957CC" w:rsidP="00575347">
      <w:pPr>
        <w:pStyle w:val="ListParagraph"/>
        <w:numPr>
          <w:ilvl w:val="0"/>
          <w:numId w:val="68"/>
        </w:numPr>
        <w:spacing w:line="240" w:lineRule="auto"/>
        <w:rPr>
          <w:rFonts w:ascii="Verdana" w:hAnsi="Verdana"/>
        </w:rPr>
      </w:pPr>
      <w:r w:rsidRPr="008D14BD">
        <w:rPr>
          <w:rFonts w:ascii="Verdana" w:hAnsi="Verdana"/>
        </w:rPr>
        <w:t xml:space="preserve">se jih zaužije brez nadaljnje priprave, kot je kuhanje, vrenje ali segrevanje, </w:t>
      </w:r>
    </w:p>
    <w:p w14:paraId="574EB5F8" w14:textId="0C81E672" w:rsidR="00502353" w:rsidRPr="008D14BD" w:rsidRDefault="00F957CC" w:rsidP="00575347">
      <w:pPr>
        <w:pStyle w:val="ListParagraph"/>
        <w:tabs>
          <w:tab w:val="left" w:pos="993"/>
        </w:tabs>
        <w:ind w:left="709"/>
        <w:jc w:val="both"/>
        <w:rPr>
          <w:rFonts w:ascii="Verdana" w:hAnsi="Verdana"/>
        </w:rPr>
      </w:pPr>
      <w:r w:rsidRPr="008D14BD">
        <w:rPr>
          <w:rFonts w:ascii="Verdana" w:hAnsi="Verdana"/>
        </w:rPr>
        <w:t xml:space="preserve">vključno s posodami za živila, ki se uporabljajo za hitro prehrano ali druge obroke, namenjene za takojšnje zaužitje, razen vsebnikov za pijačo, krožnikov, zavitkov in ovojev s hrano; </w:t>
      </w:r>
    </w:p>
    <w:p w14:paraId="391C3ED9" w14:textId="77777777" w:rsidR="00502353" w:rsidRPr="008D14BD" w:rsidRDefault="00F957CC"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vsebniki za pijačo iz ekspandiranega polistirena, vključno z njihovimi pokrovčki in zamaški; </w:t>
      </w:r>
    </w:p>
    <w:p w14:paraId="11679328" w14:textId="356AA442" w:rsidR="00F957CC" w:rsidRPr="008D14BD" w:rsidRDefault="00F957CC" w:rsidP="00575347">
      <w:pPr>
        <w:pStyle w:val="ListParagraph"/>
        <w:numPr>
          <w:ilvl w:val="0"/>
          <w:numId w:val="66"/>
        </w:numPr>
        <w:tabs>
          <w:tab w:val="left" w:pos="993"/>
        </w:tabs>
        <w:ind w:left="709"/>
        <w:jc w:val="both"/>
        <w:rPr>
          <w:rFonts w:ascii="Verdana" w:hAnsi="Verdana"/>
        </w:rPr>
      </w:pPr>
      <w:r w:rsidRPr="008D14BD">
        <w:rPr>
          <w:rFonts w:ascii="Verdana" w:hAnsi="Verdana"/>
        </w:rPr>
        <w:t>skodelice za pijačo iz ekspandiranega polistirena, vključno z njihovimi pokrovčki in zamaški;</w:t>
      </w:r>
    </w:p>
    <w:p w14:paraId="58289D5C" w14:textId="77777777"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lastRenderedPageBreak/>
        <w:t xml:space="preserve">vsebniki za pijačo s prostornino do treh litrov, tj. posode, ki vsebujejo tekočino, npr. plastenke za pijače, vključno s pokrovčki in zamaški, in sestavljena embalaža za pijače, vključno s pokrovčki in zamaški, razen: </w:t>
      </w:r>
    </w:p>
    <w:p w14:paraId="42BC013C" w14:textId="11D5E5C8" w:rsidR="00FD6DE7" w:rsidRPr="008D14BD" w:rsidRDefault="00FD6DE7" w:rsidP="00575347">
      <w:pPr>
        <w:pStyle w:val="ListParagraph"/>
        <w:numPr>
          <w:ilvl w:val="0"/>
          <w:numId w:val="69"/>
        </w:numPr>
        <w:spacing w:line="240" w:lineRule="auto"/>
        <w:rPr>
          <w:rFonts w:ascii="Verdana" w:hAnsi="Verdana"/>
        </w:rPr>
      </w:pPr>
      <w:r w:rsidRPr="008D14BD">
        <w:rPr>
          <w:rFonts w:ascii="Verdana" w:hAnsi="Verdana"/>
        </w:rPr>
        <w:t xml:space="preserve">stekleni ali kovinski vsebniki za pijače, katerih pokrovčki in zamaški so izdelani iz plastike; </w:t>
      </w:r>
    </w:p>
    <w:p w14:paraId="6E7263C6" w14:textId="6B820680" w:rsidR="00FD6DE7" w:rsidRPr="008D14BD" w:rsidRDefault="00FD6DE7" w:rsidP="00575347">
      <w:pPr>
        <w:pStyle w:val="ListParagraph"/>
        <w:numPr>
          <w:ilvl w:val="0"/>
          <w:numId w:val="69"/>
        </w:numPr>
        <w:spacing w:line="240" w:lineRule="auto"/>
        <w:rPr>
          <w:rFonts w:ascii="Verdana" w:hAnsi="Verdana"/>
        </w:rPr>
      </w:pPr>
      <w:r w:rsidRPr="008D14BD">
        <w:rPr>
          <w:rFonts w:ascii="Verdana" w:hAnsi="Verdana"/>
        </w:rPr>
        <w:t>posode za pijačo, ki so namenjene in se uporabljajo za živila za posebne zdravstvene namene, ki so opredeljeni v členu 2(g) Uredbe (EU) št. 609/2013 Evropskega parlamenta in Sveta (3), ki so v tekoči obliki;</w:t>
      </w:r>
    </w:p>
    <w:p w14:paraId="70363A60" w14:textId="77777777"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sanitarne brisače (blazinice), tamponi in tamponski aplikatorji; </w:t>
      </w:r>
    </w:p>
    <w:p w14:paraId="4FE8461D" w14:textId="77777777"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vlažilni robčki, torej predhodno navlažene brisače za osebno higieno in gospodinjsko rabo; </w:t>
      </w:r>
    </w:p>
    <w:p w14:paraId="027317AB" w14:textId="77777777"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t xml:space="preserve">tobačni izdelki s filtri in filtri, ki se tržijo za uporabo skupaj s tobačnimi izdelki; </w:t>
      </w:r>
    </w:p>
    <w:p w14:paraId="45459176" w14:textId="2227CC27"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t>zavitki in ovoji iz prožnega materiala, ki vsebujejo živila, namenjena za takojšnje zaužitje iz zavitka ali ovoja brez nadaljnje priprave;</w:t>
      </w:r>
    </w:p>
    <w:p w14:paraId="6BCFB3EE" w14:textId="7C3E78E1"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t>lahke plastične nosilne vrečke;</w:t>
      </w:r>
    </w:p>
    <w:p w14:paraId="289B47C5" w14:textId="50B62608" w:rsidR="00FD6DE7" w:rsidRPr="008D14BD" w:rsidRDefault="00FD6DE7" w:rsidP="00575347">
      <w:pPr>
        <w:pStyle w:val="ListParagraph"/>
        <w:numPr>
          <w:ilvl w:val="0"/>
          <w:numId w:val="66"/>
        </w:numPr>
        <w:tabs>
          <w:tab w:val="left" w:pos="993"/>
        </w:tabs>
        <w:ind w:left="709"/>
        <w:jc w:val="both"/>
        <w:rPr>
          <w:rFonts w:ascii="Verdana" w:hAnsi="Verdana"/>
        </w:rPr>
      </w:pPr>
      <w:r w:rsidRPr="008D14BD">
        <w:rPr>
          <w:rFonts w:ascii="Verdana" w:hAnsi="Verdana"/>
        </w:rPr>
        <w:t>baloni, razen balonov za industrijsko in drugo poklicno rabo in uporabo, ki se ne razdeljujejo potrošnikom.</w:t>
      </w:r>
    </w:p>
    <w:bookmarkEnd w:id="0"/>
    <w:p w14:paraId="199D7A21" w14:textId="77777777" w:rsidR="00092BC2" w:rsidRPr="008D14BD" w:rsidRDefault="00092BC2" w:rsidP="00092BC2">
      <w:pPr>
        <w:rPr>
          <w:rFonts w:ascii="Verdana" w:hAnsi="Verdana"/>
        </w:rPr>
      </w:pPr>
    </w:p>
    <w:sectPr w:rsidR="00092BC2" w:rsidRPr="008D14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F0D0" w14:textId="77777777" w:rsidR="00500119" w:rsidRDefault="00500119" w:rsidP="007879A9">
      <w:pPr>
        <w:spacing w:after="0" w:line="240" w:lineRule="auto"/>
      </w:pPr>
      <w:r>
        <w:separator/>
      </w:r>
    </w:p>
  </w:endnote>
  <w:endnote w:type="continuationSeparator" w:id="0">
    <w:p w14:paraId="18A3006D" w14:textId="77777777" w:rsidR="00500119" w:rsidRDefault="00500119"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 xml:space="preserve">Različica </w:t>
    </w:r>
    <w:r>
      <w:t>15.03.2021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DC920" w14:textId="77777777" w:rsidR="00500119" w:rsidRDefault="00500119" w:rsidP="007879A9">
      <w:pPr>
        <w:spacing w:after="0" w:line="240" w:lineRule="auto"/>
      </w:pPr>
      <w:r>
        <w:separator/>
      </w:r>
    </w:p>
  </w:footnote>
  <w:footnote w:type="continuationSeparator" w:id="0">
    <w:p w14:paraId="491ACA68" w14:textId="77777777" w:rsidR="00500119" w:rsidRDefault="00500119"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w:t>
    </w:r>
    <w:r>
      <w:rPr>
        <w:rFonts w:ascii="Palatino" w:hAnsi="Palatino"/>
        <w:sz w:val="32"/>
      </w:rPr>
      <w:t>Minister za</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8D14BD">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rPr>
        <w:rFonts w:ascii="Palatino" w:hAnsi="Palatino"/>
        <w:sz w:val="24"/>
      </w:rPr>
      <w:t xml:space="preserve">Uredba </w:t>
    </w:r>
    <w:r>
      <w:rPr>
        <w:rFonts w:ascii="Times New Roman" w:hAnsi="Times New Roman"/>
        <w:sz w:val="32"/>
        <w:u w:val="dotted"/>
        <w:vertAlign w:val="subscript"/>
      </w:rPr>
      <w:tab/>
    </w:r>
    <w:r>
      <w:rPr>
        <w:rFonts w:ascii="Palatino" w:hAnsi="Palatino"/>
        <w:sz w:val="24"/>
      </w:rPr>
      <w:t xml:space="preserve"> št.</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E97E2DD8"/>
    <w:lvl w:ilvl="0" w:tplc="51EAF03C">
      <w:start w:val="1"/>
      <w:numFmt w:val="upperRoman"/>
      <w:pStyle w:val="Heading1"/>
      <w:lvlText w:val="POGLAVJE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AA62FFC2"/>
    <w:lvl w:ilvl="0" w:tplc="C122E812">
      <w:start w:val="1"/>
      <w:numFmt w:val="upperRoman"/>
      <w:pStyle w:val="Heading3"/>
      <w:lvlText w:val="Priloga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9"/>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636"/>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32BE"/>
    <w:rsid w:val="002B07FB"/>
    <w:rsid w:val="002B3376"/>
    <w:rsid w:val="002B37F4"/>
    <w:rsid w:val="002B499A"/>
    <w:rsid w:val="002B4BF3"/>
    <w:rsid w:val="002B55CA"/>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43F2"/>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BCB"/>
    <w:rsid w:val="00796318"/>
    <w:rsid w:val="007A078C"/>
    <w:rsid w:val="007A09FC"/>
    <w:rsid w:val="007A4B3C"/>
    <w:rsid w:val="007A4E87"/>
    <w:rsid w:val="007A7C70"/>
    <w:rsid w:val="007B286C"/>
    <w:rsid w:val="007B2E82"/>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14BD"/>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31</Pages>
  <Words>7667</Words>
  <Characters>43707</Characters>
  <Application>Microsoft Office Word</Application>
  <DocSecurity>0</DocSecurity>
  <Lines>364</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32</cp:revision>
  <dcterms:created xsi:type="dcterms:W3CDTF">2021-03-12T18:57:00Z</dcterms:created>
  <dcterms:modified xsi:type="dcterms:W3CDTF">2021-03-30T16:35:00Z</dcterms:modified>
</cp:coreProperties>
</file>