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La regolamentazione dell'Agenzia svedese per la sanità pubblica </w:t>
      </w:r>
      <w:r>
        <w:br/>
        <w:t xml:space="preserve">sui prodotti a base di nicotina senza tabacco;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adottata il </w:t>
      </w:r>
      <w:r>
        <w:rPr>
          <w:highlight w:val="yellow"/>
        </w:rPr>
        <w:t>GG MM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In virtù della sezione 4 dell'ordinanza (2022:1263) sui prodotti a base di nicotina senza tabacco, l'Agenzia svedese per la sanità pubblica stabilisce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quanto segue.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Disposizioni introduttive</w:t>
      </w:r>
    </w:p>
    <w:p w14:paraId="78C85C8F" w14:textId="77777777" w:rsidR="009902B0" w:rsidRDefault="009902B0" w:rsidP="000509F1">
      <w:pPr>
        <w:pStyle w:val="HSLF-FS-Rubrik-3"/>
      </w:pPr>
      <w:r>
        <w:t>Campo di applicazione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Sezione 1</w:t>
      </w:r>
      <w:r>
        <w:t xml:space="preserve"> La presente regolamentazione integra le disposizioni della legge (2022:1257) sui prodotti a base di nicotina senza tabacco e dell'ordinanza (2022:1263) sui prodotti a base di nicotina senza tabacco.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Sezione 2</w:t>
      </w:r>
      <w:r>
        <w:t xml:space="preserve"> La presente regolamentazione deve essere applicata da produttori, importatori e distributori di prodotti a base di nicotina senza tabacco, che devono essere resi disponibili ai consumatori sul mercato.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La regolamentazione contiene disposizioni in materia di notifica dei prodotti, etichettatura, obblighi di comunicazione e obblighi di notifica.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Definizioni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  <w:bCs/>
        </w:rPr>
        <w:t>Sezione 3</w:t>
      </w:r>
      <w:r>
        <w:t xml:space="preserve"> I termini e i concetti utilizzati nella legge (2022:1257) sui prodotti a base di nicotina senza tabacco e nell'ordinanza (2022:1263) sui prodotti a base di nicotina senza tabacco hanno lo stesso significato nella presente regolamentazione.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Sezione 4</w:t>
      </w:r>
      <w:r>
        <w:t xml:space="preserve"> I seguenti termini sono altresì utilizzati nella seguenti regolamentazione: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distributore:</w:t>
      </w:r>
      <w:r>
        <w:t xml:space="preserve"> qualsiasi persona fisica o giuridica della catena di fornitura diversa dal produttore e dall'importatore che mette a disposizione sul mercato prodotti a base di nicotina senza tabacco;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area di marketing:</w:t>
      </w:r>
      <w:r>
        <w:t xml:space="preserve"> un'area destinata alla pubblicità commerciale sui media di cui alla sezione 10, primo paragrafo, punti 1 e 2, della legge (2022:1257) sui prodotti a base di nicotina senza tabacco;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  <w:iCs/>
        </w:rPr>
        <w:t>confezione unitaria:</w:t>
      </w:r>
      <w:r>
        <w:t xml:space="preserve"> la confezione individuale più piccola per i prodotti a base di nicotina senza tabacco immessi sul mercato;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  <w:iCs/>
        </w:rPr>
        <w:t>imballaggio esterno:</w:t>
      </w:r>
      <w:r>
        <w:t xml:space="preserve"> qualsiasi confezione in cui i prodotti a base di nicotina senza tabacco sono immessi sul mercato che contiene una confezione unitaria o un numero di confezioni unitarie; gli involucri trasparenti non sono considerati imballaggi esterni.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Notifica del prodotto</w:t>
      </w:r>
    </w:p>
    <w:p w14:paraId="2EBE1B3B" w14:textId="77777777" w:rsidR="00B274C8" w:rsidRDefault="00B274C8" w:rsidP="00B274C8">
      <w:r>
        <w:rPr>
          <w:b/>
        </w:rPr>
        <w:t>Sezione 5</w:t>
      </w:r>
      <w:r>
        <w:t xml:space="preserve"> La notifica del prodotto ai sensi della sezione 5 della legge (2022:1257) sui prodotti a base di nicotina senza tabacco deve essere presentata nel formato utilizzato nella soluzione tecnica per la notifica del prodotto fornita dall'Agenzia svedese per la sanità pubblica.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Etichettatura</w:t>
      </w:r>
    </w:p>
    <w:p w14:paraId="37B24B72" w14:textId="77777777" w:rsidR="00B274C8" w:rsidRDefault="00B274C8" w:rsidP="00B274C8">
      <w:pPr>
        <w:pStyle w:val="HSLF-FS-Rubrik-3"/>
      </w:pPr>
      <w:r>
        <w:t>Dichiarazione della composizione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Sezione 6</w:t>
      </w:r>
      <w:r>
        <w:t xml:space="preserve"> La </w:t>
      </w:r>
      <w:r>
        <w:rPr>
          <w:sz w:val="21"/>
        </w:rPr>
        <w:t xml:space="preserve">dichiarazione del contenuto ai sensi della sezione 11 dell'ordinanza (2022:1263) sui prodotti a base di nicotina senza tabacco deve essere riportata su una delle superfici più grandi della confezione unitaria e dell'imballaggio esterno e deve coprire il 20% di tale superficie. Per il resto, la dichiarazione di contenuto deve </w:t>
      </w:r>
      <w:r>
        <w:rPr>
          <w:sz w:val="21"/>
        </w:rPr>
        <w:lastRenderedPageBreak/>
        <w:t>essere conforme ai requisiti di cui alla sezione 9, lettere da c) a e) e 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Sezione 7</w:t>
      </w:r>
      <w:r>
        <w:rPr>
          <w:sz w:val="21"/>
        </w:rPr>
        <w:t xml:space="preserve"> La dichiarazione di contenuto deve essere redatta in svedese.</w:t>
      </w:r>
    </w:p>
    <w:p w14:paraId="5A867DE5" w14:textId="77777777" w:rsidR="00B274C8" w:rsidRPr="00B274C8" w:rsidRDefault="00B274C8" w:rsidP="00B274C8">
      <w:r>
        <w:rPr>
          <w:b/>
          <w:sz w:val="21"/>
        </w:rPr>
        <w:t>Sezione 8</w:t>
      </w:r>
      <w:r>
        <w:rPr>
          <w:sz w:val="21"/>
        </w:rPr>
        <w:t xml:space="preserve"> Le dichiarazioni di contenuto ai sensi della sezione 6 possono essere apposte utilizzando degli adesivi, a condizione che questi ultimi non possano essere rimossi.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Avvertenza sulla salute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Sezione 9</w:t>
      </w:r>
      <w:r>
        <w:rPr>
          <w:sz w:val="21"/>
        </w:rPr>
        <w:t xml:space="preserve"> L'avvertenza sulla salute di cui al punto 12 dell'ordinanza (2022:1263) sui prodotti a base di nicotina senza tabacco deve: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essere riportata sulle due superfici maggiori della confezione unitaria e dell'eventuale imballaggio esterno;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coprire il 30% delle superfici della confezione unitaria e di qualsiasi imballaggio esterno;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essere scritta in grassetto nel carattere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essere scritta in nero su uno sfondo bianco;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essere scritta in una dimensione di carattere tale che il testo copra la maggior percentuale possibile dell'area riservata all'etichettatura;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essere collocata al centro dell'area riservata e, nel caso di confezioni rettangolari e di imballaggi esterni, essere parallela al bordo laterale della confezione unitaria o dell'imballaggio esterno; e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essere parallela al testo principale nell'area riservata a queste avvertenze.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Sezione 10</w:t>
      </w:r>
      <w:r>
        <w:rPr>
          <w:sz w:val="21"/>
        </w:rPr>
        <w:t xml:space="preserve"> Le avvertenze sanitarie ai sensi della sezione 9 possono essere apposte utilizzando adesivi, a condizione che tali adesivi non possano essere rimossi.</w:t>
      </w:r>
    </w:p>
    <w:p w14:paraId="61CF3BF9" w14:textId="11E7944F" w:rsidR="00DA031C" w:rsidRDefault="00DA031C" w:rsidP="00144DE9">
      <w:pPr>
        <w:pStyle w:val="HSLF-FS-Rubrik-2"/>
      </w:pPr>
      <w:r>
        <w:t>Avvertenza sulla salute durante la commercializzazione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Sezione 11 </w:t>
      </w:r>
      <w:r>
        <w:rPr>
          <w:color w:val="000000"/>
          <w:sz w:val="21"/>
        </w:rPr>
        <w:t>Durante la commercializzazione, ai sensi della sezione 10, primo paragrafo, punti 1 e 2, della legge (2022:1257) sui prodotti a base di nicotina senza tabacco, un'avvertenza sulla salute ai sensi della sezione 12</w:t>
      </w:r>
      <w:r>
        <w:rPr>
          <w:sz w:val="21"/>
        </w:rPr>
        <w:t xml:space="preserve"> dell'ordinanza (2022:1263) sui prodotti a base di nicotina senza tabacco deve essere chiaramente visibile ogni volta che il prodotto o un marchio del prodotto è presente. L'avvertenza sulla salute deve coprire il 30% della superficie di commercializzazione e deve essere conforme alle disposizioni della sezione 9, lettere da c) a e) e g), della presente regolamentazione.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lastRenderedPageBreak/>
        <w:t xml:space="preserve">  </w:t>
      </w:r>
      <w:r>
        <w:rPr>
          <w:color w:val="000000"/>
          <w:sz w:val="21"/>
        </w:rPr>
        <w:t xml:space="preserve">Durante la commercializzazione ai sensi della sezione 10, primo paragrafo, punto 3, della legge (2022:1257) sui prodotti a base di nicotina senza tabacco, un'avvertenza sulla salute ai sensi della sezione 12 </w:t>
      </w:r>
      <w:r>
        <w:rPr>
          <w:sz w:val="21"/>
        </w:rPr>
        <w:t xml:space="preserve">dell'ordinanza (2022:1263) sui prodotti a base di nicotina senza tabacco deve essere chiaramente visibile ogni volta che il prodotto o un marchio del prodotto è presente. L'avvertenza sulla salute deve essere conforme, sotto tutti gli altri aspetti, alle disposizioni della sezione 9, lettere da c) a e), della presente regolamentazione.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Obbligo di comunicazione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bCs/>
          <w:sz w:val="21"/>
        </w:rPr>
        <w:t>Sezione 12</w:t>
      </w:r>
      <w:r>
        <w:rPr>
          <w:sz w:val="21"/>
        </w:rPr>
        <w:t xml:space="preserve"> Le informazioni ai sensi della sezione 14 della legge (2022:1257) sui prodotti a base di nicotina senza tabacco devono essere fornite nella stessa soluzione tecnica utilizzata per la notifica del prodotto ai sensi della sezione 5 della presente regolamentazione.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Obbligo di notifica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Sezione 13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La notifica di un produttore, importatore e distributore ai sensi della sezione 16, secondo paragrafo, della legge (2022:1257) sui prodotti a base di nicotina senza tabacco deve essere fornita nella stessa soluzione tecnica utilizzata per la notifica del prodotto ai sensi della sezione 5 della presente regolamentazione.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Le sezioni 5, 11 e 12 della presente regolamentazione entrano in vigore il 1° gennaio 2024; tutte le altre sezioni entrano in vigore il 1º luglio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Agenzia svedese per la sanità pubblica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È stata presentata una notifica ai sensi della direttiva (UE) 2015/1535 del Parlamento europeo e del Consiglio, del 9 settembre 2015, che istituisce una procedura d'informazione nel settore delle regolamentazioni tecniche e delle regole relative ai servizi della società dell'informazione.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4F6393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GETTO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4F6393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GETTO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4F6393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GETTO"/>
          <w10:wrap anchorx="margin" anchory="margin"/>
        </v:shape>
      </w:pict>
    </w:r>
    <w:r w:rsidR="00BB6229">
      <w:t xml:space="preserve">Codice </w:t>
    </w:r>
    <w:r w:rsidR="00BB6229">
      <w:t>statutario comune in materia di sanità, assistenza medica, servizi sociali, medicinali, sanità pubblica ecc.</w:t>
    </w:r>
  </w:p>
  <w:p w14:paraId="1C104ACA" w14:textId="32ACC993" w:rsidR="00DB331A" w:rsidRDefault="004F6393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27720A7B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700861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29BDCBCB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Pubblicato il xx luglio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Pubblicato il xx luglio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articolo numero xxxxxxxx</w:t>
    </w:r>
    <w:r w:rsidR="004D7ACB">
      <w:br/>
      <w:t>Pubblicato da: Responsabile del dipartimento giuridico: Pär Ödman, Consiglio nazionale della salute e del benessere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393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16</TotalTime>
  <Pages>4</Pages>
  <Words>918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