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Przepisy szwedzkiej Agencji Zdrowia Publicznego w sprawie beztytoniowych wyrobów nikotynowych;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przyjęte dnia </w:t>
      </w:r>
      <w:r>
        <w:rPr>
          <w:highlight w:val="yellow"/>
        </w:rPr>
        <w:t>DD MM</w:t>
      </w:r>
      <w:r>
        <w:t xml:space="preserve"> 2023 r.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Zgodnie z art. 4 rozporządzenia (2022:1263) w sprawie beztytoniowych wyrobów nikotynowych, Agencja Zdrowia Publicznego ustanawia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, co następuje.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Przepisy wstępne</w:t>
      </w:r>
    </w:p>
    <w:p w14:paraId="78C85C8F" w14:textId="77777777" w:rsidR="009902B0" w:rsidRDefault="009902B0" w:rsidP="000509F1">
      <w:pPr>
        <w:pStyle w:val="HSLF-FS-Rubrik-3"/>
      </w:pPr>
      <w:r>
        <w:t>Zakres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Artykuł 1</w:t>
      </w:r>
      <w:r>
        <w:t xml:space="preserve"> Niniejsze przepisy stanowią uzupełnienie przepisów ustawy (2022:1257) o beztytoniowych wyrobach nikotynowych oraz rozporządzenia (2022:1263) w sprawie beztytoniowych wyrobów nikotynowych.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Artykuł 2</w:t>
      </w:r>
      <w:r>
        <w:t xml:space="preserve"> Niniejsze przepisy mają być stosowane przez producentów, importerów i dystrybutorów beztytoniowych wyrobów nikotynowych, które mają być udostępniane konsumentom na rynku.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Przepisy zawierają przepisy dotyczące powiadamiania o produkcie, etykietowania, obowiązków sprawozdawczych i obowiązków powiadamiania.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lastRenderedPageBreak/>
        <w:t>Definicje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Artykuł 3</w:t>
      </w:r>
      <w:r>
        <w:t xml:space="preserve"> Terminy i pojęcia użyte w ustawie (2022:1257) o beztytoniowych wyrobach nikotynowych oraz rozporządzeniu (2022:1263) w sprawie beztytoniowych wyrobów nikotynowych mają takie samo znaczenie w niniejszym akcie.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Artykuł 4</w:t>
      </w:r>
      <w:r>
        <w:t xml:space="preserve"> W niniejszym akcie używane są również poniższe terminy: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dystrybutor:</w:t>
      </w:r>
      <w:r>
        <w:t xml:space="preserve"> każda osoba fizyczna lub prawna w łańcuchu dostaw inna niż producent i importer udostępniająca na rynku beztytoniowe wyroby nikotynowe;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przestrzeń reklamowa:</w:t>
      </w:r>
      <w:r>
        <w:t xml:space="preserve"> obszar przeznaczony pod komercyjną reklamę w mediach, o którym mowa w art. 10 akapit pierwszy pkt 1 i 2 ustawy (2022:1257) o beztytoniowych wyrobach nikotynowych;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opakowanie jednostkowe: </w:t>
      </w:r>
      <w:r>
        <w:t>najmniejsze pojedyncze opakowanie beztytoniowych wyrobów nikotynowych wprowadzonych do obrotu;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opakowanie zewnętrzne</w:t>
      </w:r>
      <w:r>
        <w:t xml:space="preserve">: każde opakowanie, w którym beztytoniowe wyroby nikotynowe są wprowadzane do obrotu, zawierające opakowanie jednostkowe lub kilka opakowań jednostkowych; przezroczyste folie do owijania nie są uważane za opakowanie zewnętrzne.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Zgłoszenie produktu</w:t>
      </w:r>
    </w:p>
    <w:p w14:paraId="2EBE1B3B" w14:textId="77777777" w:rsidR="00B274C8" w:rsidRDefault="00B274C8" w:rsidP="00B274C8">
      <w:r>
        <w:rPr>
          <w:b/>
        </w:rPr>
        <w:t>Artykuł 5</w:t>
      </w:r>
      <w:r>
        <w:t xml:space="preserve">  Powiadomienie o produkcie zgodnie z art. 5 ustawy (2022:1257) o beztytoniowych wyrobach nikotynowych składa się w formacie stosowanym w rozwiązaniu technicznym służącym do powiadamiania o produkcie zapewnianym przez szwedzką Agencję Zdrowia Publicznego.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Etykietowanie</w:t>
      </w:r>
    </w:p>
    <w:p w14:paraId="37B24B72" w14:textId="77777777" w:rsidR="00B274C8" w:rsidRDefault="00B274C8" w:rsidP="00B274C8">
      <w:pPr>
        <w:pStyle w:val="HSLF-FS-Rubrik-3"/>
      </w:pPr>
      <w:r>
        <w:t>Informacja o zawartości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>Artykuł 6</w:t>
      </w:r>
      <w:r>
        <w:t xml:space="preserve">  </w:t>
      </w:r>
      <w:r>
        <w:rPr>
          <w:sz w:val="21"/>
        </w:rPr>
        <w:t xml:space="preserve">Informację o zawartości zgodnie z art. 11 rozporządzenia (2022:1263) w sprawie beztytoniowych wyrobów nikotynowych umieszcza się na jednej z największych powierzchni opakowania jednostkowego i opakowania zewnętrznego; informacja o zawartości zajmuje 20 % tej powierzchni. Informacja o zawartości musi być pod </w:t>
      </w:r>
      <w:r>
        <w:rPr>
          <w:sz w:val="21"/>
        </w:rPr>
        <w:lastRenderedPageBreak/>
        <w:t>każdym pozostałym względem zgodna z wymogami określonymi w art. 9 lit. c-e i g.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sz w:val="21"/>
        </w:rPr>
        <w:t>Artykuł 7</w:t>
      </w:r>
      <w:r>
        <w:rPr>
          <w:sz w:val="21"/>
        </w:rPr>
        <w:t xml:space="preserve">  Informację o zawartości sporządza się języku szwedzkim.</w:t>
      </w:r>
    </w:p>
    <w:p w14:paraId="5A867DE5" w14:textId="77777777" w:rsidR="00B274C8" w:rsidRPr="00B274C8" w:rsidRDefault="00B274C8" w:rsidP="00B274C8">
      <w:r>
        <w:rPr>
          <w:b/>
          <w:sz w:val="21"/>
        </w:rPr>
        <w:t>Artykuł 8</w:t>
      </w:r>
      <w:r>
        <w:rPr>
          <w:sz w:val="21"/>
        </w:rPr>
        <w:t xml:space="preserve">  Informację o zawartości zgodnie z art. 6 można umieścić przy użyciu naklejek, pod warunkiem że takie naklejki nie dają się usunąć.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>Ostrzeżenie zdrowotne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Artykuł 9</w:t>
      </w:r>
      <w:r>
        <w:rPr>
          <w:sz w:val="21"/>
        </w:rPr>
        <w:t xml:space="preserve"> Ostrzeżenie zdrowotne, o którym mowa w art. 12 rozporządzenia (2022:1263) w sprawie beztytoniowych wyrobów nikotynowych: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a) umieszcza na dwóch największych powierzchniach opakowania jednostkowego i na każdym opakowaniu zewnętrznym;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b) zajmuje 30 % powierzchni opakowania jednostkowego i każdego opakowania zewnętrznego;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c) jest napisane pogrubioną czcionką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d) jest napisane czarną czcionką na białym tle;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e) jest przygotowane w taki sposób, aby tekst obejmował możliwie największy procent powierzchni przeznaczonej na etykietę;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f) znajduje się pośrodku zarezerwowanego na nie obszaru, a na opakowaniu prostokątnym i każdym opakowaniu zewnętrznym umieszcza się je równolegle do bocznej krawędzi opakowania jednostkowego lub opakowania zewnętrznego; oraz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g) umieszcza się je równolegle do tekstu głównego w obszarze zarezerwowanym dla tych ostrzeżeń.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Artykuł 10</w:t>
      </w:r>
      <w:r>
        <w:rPr>
          <w:sz w:val="21"/>
        </w:rPr>
        <w:t xml:space="preserve"> Ostrzeżenia zdrowotne zgodnie z art. 9 można umieścić przy użyciu naklejek, pod warunkiem że takie naklejki nie dają się usunąć.</w:t>
      </w:r>
    </w:p>
    <w:p w14:paraId="61CF3BF9" w14:textId="11E7944F" w:rsidR="00DA031C" w:rsidRDefault="00DA031C" w:rsidP="00144DE9">
      <w:pPr>
        <w:pStyle w:val="HSLF-FS-Rubrik-2"/>
      </w:pPr>
      <w:r>
        <w:t>Ostrzeżenie zdrowotne w marketingu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 xml:space="preserve">Artykuł 11  </w:t>
      </w:r>
      <w:r>
        <w:rPr>
          <w:color w:val="000000"/>
          <w:sz w:val="21"/>
        </w:rPr>
        <w:t xml:space="preserve">W toku działań marketingowych zgodnie z art. 10 akapit pierwszy pkt 1 i 2 ustawy (2022:1257) o beztytoniowych wyrobach nikotynowych wymagane jest, aby ostrzeżenie zdrowotne zgodne z art. 12 </w:t>
      </w:r>
      <w:r>
        <w:rPr>
          <w:sz w:val="21"/>
        </w:rPr>
        <w:t xml:space="preserve">rozporządzenia (2022:1263) w sprawie beztytoniowych wyrobów nikotynowych było wyraźnie widoczne, ilekroć produkt lub znak towarowy produktu są eksponowane. Ostrzeżenie zdrowotne musi zajmować 30 % przestrzeni reklamowej </w:t>
      </w:r>
      <w:r>
        <w:rPr>
          <w:sz w:val="21"/>
        </w:rPr>
        <w:lastRenderedPageBreak/>
        <w:t xml:space="preserve">i musi być pod każdym pozostałym względem zgodne z art. 9 lit. c-e i g niniejszego aktu.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>W toku działań marketingowych zgodnie z art. 10 akapit pierwszy pkt 3 ustawy (2022:1257) o beztytoniowych wyrobach nikotynowych wymagane jest, aby ostrzeżenie zdrowotne zgodne z art. 12</w:t>
      </w:r>
      <w:r>
        <w:rPr>
          <w:sz w:val="21"/>
        </w:rPr>
        <w:t xml:space="preserve"> rozporządzenia (2022:1263) w sprawie beztytoniowych wyrobów nikotynowych było wyraźnie widoczne, ilekroć produkt lub znak towarowy produktu są eksponowane. Ostrzeżenie zdrowotne musi być pod każdym pozostałym względem zgodne z art. 9 lit. c-e niniejszego aktu.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Obowiązek sprawozdawczy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Artykuł 12</w:t>
      </w:r>
      <w:r>
        <w:rPr>
          <w:sz w:val="21"/>
        </w:rPr>
        <w:t xml:space="preserve"> Informacje zgodnie z art. 14 ustawy (2022:1257) o beztytoniowych wyrobach nikotynowych są przekazywane w tym samym rozwiązaniu technicznym co to, które zostało użyte do powiadomienia o produkcie zgodnie z art. 5 niniejszego aktu.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Obowiązek powiadomienia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Artykuł 13</w:t>
      </w:r>
      <w:r>
        <w:rPr>
          <w:b w:val="0"/>
        </w:rPr>
        <w:t xml:space="preserve">  </w:t>
      </w:r>
      <w:r>
        <w:rPr>
          <w:b w:val="0"/>
          <w:i w:val="0"/>
          <w:sz w:val="21"/>
        </w:rPr>
        <w:t xml:space="preserve">Powiadomienie od producenta, importera i dystrybutora zgodnie z art. 16 akapit drugi ustawy (2022:1257) o beztytoniowych wyrobach nikotynowych jest przekazywane w tym samym rozwiązaniu technicznym co to, które zostało użyte do powiadomienia o produkcie zgodnie z art. 5 niniejszego aktu.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Artykuły 5, 11 i 12 niniejszego aktu wchodzą w życie z dniem 1 stycznia 2024 r.; wszystkie pozostałe artykuły wchodzą w życie z dniem 1 lipca 2023 r.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Szwedzka Agencja Zdrowia Publicznego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Powiadomienie zostało przekazane zgodnie z dyrektywą Parlamentu Europejskiego i Rady (UE) 2015/1535 z dnia 9 września 2015 r. ustanawiającą procedurę udzielania informacji w dziedzinie przepisów technicznych oraz zasad dotyczących usług społeczeństwa informacyjnego.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175531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JEK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175531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JEKT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175531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PROJEKT"/>
          <w10:wrap anchorx="margin" anchory="margin"/>
        </v:shape>
      </w:pict>
    </w:r>
    <w:r w:rsidR="00BB6229">
      <w:t xml:space="preserve">Wspólny </w:t>
    </w:r>
    <w:r w:rsidR="00BB6229">
      <w:t>zbiór przepisów w sprawie opieki zdrowotnej, opieki medycznej, usług socjalnych, produktów medycznych, zdrowia publicznego itp.</w:t>
    </w:r>
  </w:p>
  <w:p w14:paraId="1C104ACA" w14:textId="03F3362F" w:rsidR="00DB331A" w:rsidRDefault="00175531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C1CED6F">
              <wp:simplePos x="0" y="0"/>
              <wp:positionH relativeFrom="column">
                <wp:posOffset>3810</wp:posOffset>
              </wp:positionH>
              <wp:positionV relativeFrom="paragraph">
                <wp:posOffset>624840</wp:posOffset>
              </wp:positionV>
              <wp:extent cx="4747260" cy="0"/>
              <wp:effectExtent l="0" t="0" r="0" b="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AD264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2pt" to="374.1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AMJ9kZ2gAAAAYBAAAPAAAAZHJzL2Rvd25y&#10;ZXYueG1sTI69TsMwFIV3pL6DdZHYqEMVhZDGqSoEC2JJ2qFsbnwbR42v09hpwttjxEDH86Nzvnwz&#10;m45dcXCtJQFPywgYUm1VS42A/e79MQXmvCQlO0so4BsdbIrFXS4zZScq8Vr5hoURcpkUoL3vM85d&#10;rdFIt7Q9UshOdjDSBzk0XA1yCuOm46soSriRLYUHLXt81Vifq9EI+Lh8un2clG/l4ZJW09dp1I1F&#10;IR7u5+0amMfZ/5fhFz+gQxGYjnYk5VgnIAk9AS9pDCykz3G6Anb8M3iR81v84gc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AMJ9kZ2gAAAAYBAAAPAAAAAAAAAAAAAAAAABQEAABkcnMv&#10;ZG93bnJldi54bWxQSwUGAAAAAAQABADzAAAAGwUAAAAA&#10;" strokecolor="black [3213]"/>
          </w:pict>
        </mc:Fallback>
      </mc:AlternateContent>
    </w:r>
    <w:r w:rsidR="004D7AC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24726937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Opublikowano dnia xx lipca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Opublikowano dnia xx lipca 20xx</w:t>
                    </w:r>
                  </w:p>
                </w:txbxContent>
              </v:textbox>
            </v:shape>
          </w:pict>
        </mc:Fallback>
      </mc:AlternateContent>
    </w:r>
    <w:r w:rsidR="004D7ACB">
      <w:t>ISSN xxx-xxxx, Numer artykułu xxxxxxxx</w:t>
    </w:r>
    <w:r w:rsidR="004D7ACB">
      <w:br/>
      <w:t>Opublikował: Kierownik Działu Prawnego, Pär Ödman, Krajowa Rada ds. Zdrowia i Opieki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75531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748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