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E8AE7" w14:textId="77777777" w:rsidR="00A67A13" w:rsidRPr="00A67A13" w:rsidRDefault="00A67A13" w:rsidP="00A67A13">
      <w:pPr>
        <w:pBdr>
          <w:bottom w:val="single" w:sz="6" w:space="1" w:color="auto"/>
        </w:pBdr>
        <w:spacing w:after="0" w:line="240" w:lineRule="auto"/>
        <w:jc w:val="center"/>
        <w:rPr>
          <w:rFonts w:ascii="Arial" w:eastAsia="Times New Roman" w:hAnsi="Arial" w:cs="Arial"/>
          <w:vanish/>
          <w:sz w:val="16"/>
          <w:szCs w:val="16"/>
        </w:rPr>
      </w:pPr>
      <w:r>
        <w:rPr>
          <w:rFonts w:ascii="Arial" w:hAnsi="Arial"/>
          <w:vanish/>
          <w:sz w:val="16"/>
          <w:lang w:eastAsia="fr-BE"/>
        </w:rPr>
        <w:t>Haut du formulaire</w:t>
      </w:r>
    </w:p>
    <w:p w14:paraId="26D39E54" w14:textId="77777777" w:rsidR="00A67A13" w:rsidRPr="00A67A13" w:rsidRDefault="00A67A13" w:rsidP="00A67A13">
      <w:pPr>
        <w:pBdr>
          <w:top w:val="single" w:sz="6" w:space="1" w:color="auto"/>
        </w:pBdr>
        <w:spacing w:after="0" w:line="240" w:lineRule="auto"/>
        <w:jc w:val="center"/>
        <w:rPr>
          <w:rFonts w:ascii="Arial" w:eastAsia="Times New Roman" w:hAnsi="Arial" w:cs="Arial"/>
          <w:vanish/>
          <w:sz w:val="16"/>
          <w:szCs w:val="16"/>
        </w:rPr>
      </w:pPr>
      <w:r>
        <w:rPr>
          <w:rFonts w:ascii="Arial" w:hAnsi="Arial"/>
          <w:vanish/>
          <w:sz w:val="16"/>
          <w:lang w:eastAsia="fr-BE"/>
        </w:rPr>
        <w:t>Bas du formulaire</w:t>
      </w:r>
    </w:p>
    <w:p w14:paraId="1F6DD143" w14:textId="77777777" w:rsidR="00A67A13" w:rsidRPr="00A67A13" w:rsidRDefault="00A67A13" w:rsidP="00A67A13">
      <w:pPr>
        <w:spacing w:after="0" w:line="240" w:lineRule="auto"/>
        <w:rPr>
          <w:rFonts w:ascii="Times New Roman" w:eastAsia="Times New Roman" w:hAnsi="Times New Roman" w:cs="Times New Roman"/>
          <w:sz w:val="24"/>
          <w:szCs w:val="24"/>
        </w:rPr>
      </w:pPr>
      <w:r>
        <w:rPr>
          <w:rFonts w:ascii="Times New Roman" w:hAnsi="Times New Roman"/>
          <w:b/>
          <w:color w:val="000000"/>
          <w:sz w:val="27"/>
        </w:rPr>
        <w:t>ELI — Σύστημα πλοήγησης που χρησιμοποιεί το Αναγνωριστικό Ευρωπαϊκής Νομοθεσίας</w:t>
      </w:r>
      <w:r>
        <w:rPr>
          <w:rFonts w:ascii="Times New Roman" w:hAnsi="Times New Roman"/>
          <w:color w:val="000000"/>
          <w:sz w:val="27"/>
        </w:rPr>
        <w:t>http://www.ejustice.just.fgov.be/eli/arrete/2023/01/19/2023030395/moniteur</w:t>
      </w:r>
      <w:bookmarkStart w:id="0" w:name="top"/>
      <w:bookmarkStart w:id="1" w:name="hit0"/>
      <w:bookmarkEnd w:id="0"/>
      <w:bookmarkEnd w:id="1"/>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09"/>
        <w:gridCol w:w="118"/>
        <w:gridCol w:w="1793"/>
        <w:gridCol w:w="1793"/>
        <w:gridCol w:w="118"/>
        <w:gridCol w:w="3395"/>
      </w:tblGrid>
      <w:tr w:rsidR="00A67A13" w:rsidRPr="00A67A13" w14:paraId="236EE91A" w14:textId="77777777" w:rsidTr="00A67A13">
        <w:trPr>
          <w:tblCellSpacing w:w="15" w:type="dxa"/>
        </w:trPr>
        <w:tc>
          <w:tcPr>
            <w:tcW w:w="1000" w:type="pct"/>
            <w:vAlign w:val="center"/>
            <w:hideMark/>
          </w:tcPr>
          <w:p w14:paraId="5301BB86" w14:textId="77777777" w:rsidR="00A67A13" w:rsidRPr="00A67A13" w:rsidRDefault="00000000" w:rsidP="00A67A13">
            <w:pPr>
              <w:spacing w:after="0" w:line="240" w:lineRule="auto"/>
              <w:jc w:val="center"/>
              <w:rPr>
                <w:rFonts w:ascii="Times New Roman" w:eastAsia="Times New Roman" w:hAnsi="Times New Roman" w:cs="Times New Roman"/>
                <w:sz w:val="24"/>
                <w:szCs w:val="24"/>
              </w:rPr>
            </w:pPr>
            <w:hyperlink r:id="rId4" w:anchor="τέλος" w:tgtFrame="_self" w:history="1">
              <w:r>
                <w:rPr>
                  <w:rFonts w:ascii="Times New Roman" w:hAnsi="Times New Roman"/>
                  <w:color w:val="0000FF"/>
                  <w:sz w:val="24"/>
                  <w:u w:val="single"/>
                </w:rPr>
                <w:t>τέλος</w:t>
              </w:r>
            </w:hyperlink>
          </w:p>
        </w:tc>
        <w:tc>
          <w:tcPr>
            <w:tcW w:w="50" w:type="pct"/>
            <w:vAlign w:val="center"/>
            <w:hideMark/>
          </w:tcPr>
          <w:p w14:paraId="0483E8C3" w14:textId="77777777" w:rsidR="00A67A13" w:rsidRPr="00A67A13" w:rsidRDefault="00A67A13" w:rsidP="00A67A13">
            <w:pPr>
              <w:spacing w:after="0" w:line="240" w:lineRule="auto"/>
              <w:jc w:val="center"/>
              <w:rPr>
                <w:rFonts w:ascii="Times New Roman" w:eastAsia="Times New Roman" w:hAnsi="Times New Roman" w:cs="Times New Roman"/>
                <w:sz w:val="24"/>
                <w:szCs w:val="24"/>
                <w:lang w:eastAsia="fr-BE"/>
              </w:rPr>
            </w:pPr>
          </w:p>
        </w:tc>
        <w:tc>
          <w:tcPr>
            <w:tcW w:w="1000" w:type="pct"/>
            <w:vAlign w:val="center"/>
            <w:hideMark/>
          </w:tcPr>
          <w:p w14:paraId="53853597" w14:textId="77777777" w:rsidR="00A67A13" w:rsidRPr="00A67A13" w:rsidRDefault="00000000" w:rsidP="00A67A13">
            <w:pPr>
              <w:spacing w:after="0" w:line="240" w:lineRule="auto"/>
              <w:jc w:val="center"/>
              <w:rPr>
                <w:rFonts w:ascii="Times New Roman" w:eastAsia="Times New Roman" w:hAnsi="Times New Roman" w:cs="Times New Roman"/>
                <w:sz w:val="24"/>
                <w:szCs w:val="24"/>
              </w:rPr>
            </w:pPr>
            <w:hyperlink r:id="rId5" w:anchor="hit1" w:tgtFrame="_self" w:history="1">
              <w:r>
                <w:rPr>
                  <w:rFonts w:ascii="Times New Roman" w:hAnsi="Times New Roman"/>
                  <w:color w:val="0000FF"/>
                  <w:sz w:val="24"/>
                  <w:u w:val="single"/>
                </w:rPr>
                <w:t>πρώτη λέξη</w:t>
              </w:r>
            </w:hyperlink>
          </w:p>
        </w:tc>
        <w:tc>
          <w:tcPr>
            <w:tcW w:w="1000" w:type="pct"/>
            <w:vAlign w:val="center"/>
            <w:hideMark/>
          </w:tcPr>
          <w:p w14:paraId="3865B6E6" w14:textId="77777777" w:rsidR="00A67A13" w:rsidRPr="00A67A13" w:rsidRDefault="00000000" w:rsidP="00A67A13">
            <w:pPr>
              <w:spacing w:after="0" w:line="240" w:lineRule="auto"/>
              <w:jc w:val="center"/>
              <w:rPr>
                <w:rFonts w:ascii="Times New Roman" w:eastAsia="Times New Roman" w:hAnsi="Times New Roman" w:cs="Times New Roman"/>
                <w:sz w:val="24"/>
                <w:szCs w:val="24"/>
              </w:rPr>
            </w:pPr>
            <w:hyperlink r:id="rId6" w:anchor="τέλος" w:tgtFrame="_self" w:history="1">
              <w:r>
                <w:rPr>
                  <w:rFonts w:ascii="Times New Roman" w:hAnsi="Times New Roman"/>
                  <w:color w:val="0000FF"/>
                  <w:sz w:val="24"/>
                  <w:u w:val="single"/>
                </w:rPr>
                <w:t>τελευταία λέξη</w:t>
              </w:r>
            </w:hyperlink>
          </w:p>
        </w:tc>
        <w:tc>
          <w:tcPr>
            <w:tcW w:w="50" w:type="pct"/>
            <w:vAlign w:val="center"/>
            <w:hideMark/>
          </w:tcPr>
          <w:p w14:paraId="3126759D" w14:textId="77777777" w:rsidR="00A67A13" w:rsidRPr="00A67A13" w:rsidRDefault="00A67A13" w:rsidP="00A67A13">
            <w:pPr>
              <w:spacing w:after="0" w:line="240" w:lineRule="auto"/>
              <w:jc w:val="center"/>
              <w:rPr>
                <w:rFonts w:ascii="Times New Roman" w:eastAsia="Times New Roman" w:hAnsi="Times New Roman" w:cs="Times New Roman"/>
                <w:sz w:val="24"/>
                <w:szCs w:val="24"/>
                <w:lang w:eastAsia="fr-BE"/>
              </w:rPr>
            </w:pPr>
          </w:p>
        </w:tc>
        <w:tc>
          <w:tcPr>
            <w:tcW w:w="1900" w:type="pct"/>
            <w:vAlign w:val="center"/>
            <w:hideMark/>
          </w:tcPr>
          <w:p w14:paraId="2B7ADCA1" w14:textId="77777777" w:rsidR="00A67A13" w:rsidRPr="00A67A13" w:rsidRDefault="00A67A13" w:rsidP="00A67A13">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hAnsi="Times New Roman"/>
                <w:b/>
                <w:color w:val="FF0000"/>
                <w:sz w:val="27"/>
              </w:rPr>
              <w:t>Δημοσιεύθηκε στις: 20-01-2023</w:t>
            </w:r>
            <w:r>
              <w:rPr>
                <w:rFonts w:ascii="Times New Roman" w:hAnsi="Times New Roman"/>
                <w:b/>
                <w:color w:val="FF0000"/>
                <w:sz w:val="27"/>
              </w:rPr>
              <w:br/>
              <w:t>Numac: 2023030395</w:t>
            </w:r>
          </w:p>
        </w:tc>
      </w:tr>
    </w:tbl>
    <w:p w14:paraId="70F15166" w14:textId="77777777" w:rsidR="00A67A13" w:rsidRPr="00A67A13" w:rsidRDefault="00A67A13" w:rsidP="00A67A13">
      <w:pPr>
        <w:spacing w:after="0" w:line="240" w:lineRule="auto"/>
        <w:jc w:val="center"/>
        <w:rPr>
          <w:rFonts w:ascii="Times New Roman" w:eastAsia="Times New Roman" w:hAnsi="Times New Roman" w:cs="Times New Roman"/>
          <w:vanish/>
          <w:color w:val="000000"/>
          <w:sz w:val="27"/>
          <w:szCs w:val="27"/>
          <w:lang w:eastAsia="fr-BE"/>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634"/>
      </w:tblGrid>
      <w:tr w:rsidR="00A67A13" w:rsidRPr="00A67A13" w14:paraId="6C8CF2E4" w14:textId="77777777" w:rsidTr="00A67A13">
        <w:trPr>
          <w:tblCellSpacing w:w="15" w:type="dxa"/>
          <w:jc w:val="center"/>
        </w:trPr>
        <w:tc>
          <w:tcPr>
            <w:tcW w:w="5000" w:type="pct"/>
            <w:vAlign w:val="center"/>
            <w:hideMark/>
          </w:tcPr>
          <w:p w14:paraId="74CCB6C7" w14:textId="77777777" w:rsidR="00A67A13" w:rsidRPr="00A67A13" w:rsidRDefault="00A67A13" w:rsidP="00A67A13">
            <w:pPr>
              <w:spacing w:after="0" w:line="240" w:lineRule="auto"/>
              <w:jc w:val="center"/>
              <w:rPr>
                <w:rFonts w:ascii="Times New Roman" w:eastAsia="Times New Roman" w:hAnsi="Times New Roman" w:cs="Times New Roman"/>
                <w:sz w:val="24"/>
                <w:szCs w:val="24"/>
              </w:rPr>
            </w:pPr>
            <w:r>
              <w:rPr>
                <w:rFonts w:ascii="Times New Roman" w:hAnsi="Times New Roman"/>
                <w:sz w:val="24"/>
              </w:rPr>
              <w:t>ΟΜΟΣΠΟΝΔΙΑΚΗ ΥΠΗΡΕΣΙΑ ΦΑΡΜΑΚΩΝ ΚΑΙ ΠΡΟΪΟΝΤΩΝ ΥΓΕΙΑΣ</w:t>
            </w:r>
          </w:p>
        </w:tc>
      </w:tr>
    </w:tbl>
    <w:p w14:paraId="764F05BE" w14:textId="77777777" w:rsidR="00A67A13" w:rsidRPr="00A67A13" w:rsidRDefault="00A67A13" w:rsidP="00A67A13">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Pr>
          <w:rFonts w:ascii="Times New Roman" w:hAnsi="Times New Roman"/>
          <w:b/>
          <w:color w:val="000000"/>
          <w:sz w:val="27"/>
          <w:u w:val="single"/>
        </w:rPr>
        <w:t>19 ΙΑΝΟΥΑΡΙΟΥ 2023. - Βασιλικό διάταγμα εφαρμογής του άρθρου 12στ, παράγραφος 2, του νόμου της 25ης Μαρτίου 1964 περί φαρμάκων</w:t>
      </w:r>
    </w:p>
    <w:p w14:paraId="090B8F50"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Ο ΦΙΛΙΠΠΟΣ, Βασιλιάς των Βέλγων,</w:t>
      </w:r>
    </w:p>
    <w:p w14:paraId="6FC6037A"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Χαιρετίζει όλους τους παρόντες και όσους θα προσέλθουν.</w:t>
      </w:r>
    </w:p>
    <w:p w14:paraId="47148980"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Έχοντας υπόψη τον νόμο της 25ης Μαρτίου 1964 περί φαρμάκων για ανθρώπινη χρήση, άρθρο 12στ, εδάφιο 2, που θεσπίστηκε με τον νόμο της 20ής Δεκεμβρίου 2019·</w:t>
      </w:r>
    </w:p>
    <w:p w14:paraId="651A80D2"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Έχοντας υπόψη την κοινοποίηση προς την Ευρωπαϊκή Επιτροπή της 10ης Ιουνίου 2022 σύμφωνα με το άρθρο 5 παράγραφος 1 της οδηγίας (ΕΕ) 2015/1535 του Ευρωπαϊκού Κοινοβουλίου και του Συμβουλίου, της 9ης Σεπτεμβρίου 2015, για την καθιέρωση μιας διαδικασίας πληροφόρησης στον τομέα των τεχνικών προδιαγραφών και των κανόνων σχετικά με τις υπηρεσίες της κοινωνίας των πληροφοριών·</w:t>
      </w:r>
    </w:p>
    <w:p w14:paraId="0301B281"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Έχοντας υπόψη τη γνωμοδότηση του Επιθεωρητή Οικονομικών που εκδόθηκε στις 22 Σεπτεμβρίου 2022·</w:t>
      </w:r>
    </w:p>
    <w:p w14:paraId="2423E8D4"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Έχοντας υπόψη τη συμφωνία της υφυπουργού Προϋπολογισμού, της 20ής Οκτωβρίου 2022·</w:t>
      </w:r>
    </w:p>
    <w:p w14:paraId="1410F414"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Έχοντας υπόψη τη γνωμοδότηση αριθ. 72.384/3 του Συμβουλίου της Επικρατείας, που εκδόθηκε στις 28 Νοεμβρίου 2022, σύμφωνα με το άρθρο 84, παράγραφος 1, εδάφιο 1, 2 των νόμων περί του Συμβουλίου της Επικρατείας, που κωδικοποιήθηκαν στις 12 Ιανουαρίου 1973·</w:t>
      </w:r>
    </w:p>
    <w:p w14:paraId="17C1F16B"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Κατόπιν πρότασης του Υπουργού Δημόσιας Υγείας·</w:t>
      </w:r>
    </w:p>
    <w:p w14:paraId="6165C1CF"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Αποφασίζει με το παρόν τα εξής:</w:t>
      </w:r>
    </w:p>
    <w:p w14:paraId="151AD611"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Κεφάλαιο 1. - Πεδίο εφαρμογής, ορισμοί και διοικητικές διατάξεις</w:t>
      </w:r>
    </w:p>
    <w:p w14:paraId="3EF18327"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lastRenderedPageBreak/>
        <w:br/>
        <w:t>Άρθρο 1. Το παρόν διάταγμα ρυθμίζει την υποβολή σε προηγούμενη αδειοδότηση και, κατά περίπτωση, τον περιορισμό των όγκων εξαγωγών και την προσωρινή απαγόρευση εξαγωγής από διανομείς χονδρικής, που ισχύει για τους χονδρεμπόρους, κατόπιν απόφασης που κοινοποιήθηκε ή εκδόθηκε σύμφωνα με το άρθρο 6, παράγραφος 1στ, του νόμου της 25ης Μαρτίου 1964 περί φαρμάκων για ανθρώπινη χρήση, σύμφωνα με το άρθρο 12στ, παράγραφος 2, του νόμου της 25ης Μαρτίου 1964 περί φαρμάκων.</w:t>
      </w:r>
    </w:p>
    <w:p w14:paraId="2AAF4506"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Άρθρο 2. Για την εφαρμογή του παρόντος διατάγματος ισχύουν οι ακόλουθοι ορισμοί:</w:t>
      </w:r>
      <w:r>
        <w:rPr>
          <w:rFonts w:ascii="Times New Roman" w:hAnsi="Times New Roman"/>
          <w:color w:val="000000"/>
          <w:sz w:val="27"/>
        </w:rPr>
        <w:br/>
        <w:t>1 « Νόμος για τα φαρμακευτικά προϊόντα: νόμος της 25ης Μαρτίου 1964 περί φαρμάκων για ανθρώπινη χρήση·</w:t>
      </w:r>
      <w:r>
        <w:rPr>
          <w:rFonts w:ascii="Times New Roman" w:hAnsi="Times New Roman"/>
          <w:color w:val="000000"/>
          <w:sz w:val="27"/>
        </w:rPr>
        <w:br/>
        <w:t>2 «εξαγωγή»: η εξαγωγή σε άλλο κράτος μέλος του Ευρωπαϊκού Οικονομικού Χώρου (στο εξής: ΕΟΧ) για τη διάθεση στην αγορά του εν λόγω κράτους ενός φαρμάκου για το οποίο έχει χορηγηθεί άδεια κυκλοφορίας στο Βέλγιο από διανομέα χονδρικής ή παράλληλη διανομή φαρμάκων που προορίζονται για το Βέλγιο σε άλλο κράτος μέλος του Ευρωπαϊκού Οικονομικού Χώρου («ΕΟΧ»)·</w:t>
      </w:r>
      <w:r>
        <w:rPr>
          <w:rFonts w:ascii="Times New Roman" w:hAnsi="Times New Roman"/>
          <w:color w:val="000000"/>
          <w:sz w:val="27"/>
        </w:rPr>
        <w:br/>
        <w:t>3 «παράλληλη διανομή»: η διάθεση στην αγορά άλλου κράτους μέλους του Ευρωπαϊκού Οικονομικού Χώρου («ΕΟΧ») φαρμάκου το οποίο διατίθεται στην αγορά του Βελγίου, για το οποίο έχει χορηγηθεί άδεια κυκλοφορίας σύμφωνα με το άρθρο 3 του κανονισμού (ΕΚ) αριθ. 726/2004, της 31ης Μαρτίου 2004, για τη θέσπιση κοινοτικών διαδικασιών χορήγησης άδειας και εποπτείας όσον αφορά τα φάρμακα που προορίζονται για ανθρώπινη και για κτηνιατρική χρήση και για τη σύσταση Ευρωπαϊκού Οργανισμού Φαρμάκων, για τον οποίο ένας διανομέας χονδρικής διαθέτει κοινοποίηση που έχει εκδοθεί από την Ευρωπαϊκή Υπηρεσία Φαρμάκων για παράλληλη διανομή·</w:t>
      </w:r>
      <w:r>
        <w:rPr>
          <w:rFonts w:ascii="Times New Roman" w:hAnsi="Times New Roman"/>
          <w:color w:val="000000"/>
          <w:sz w:val="27"/>
        </w:rPr>
        <w:br/>
        <w:t>4 «μη διαθεσιμότητα»: μη διαθεσιμότητα κατά την έννοια του άρθρου 2, παράγραφος 29, του βασιλικού διατάγματος της 14ης Δεκεμβρίου 2006 σχετικά με</w:t>
      </w:r>
      <w:r>
        <w:rPr>
          <w:rFonts w:ascii="Times New Roman" w:hAnsi="Times New Roman"/>
          <w:color w:val="000000"/>
          <w:sz w:val="27"/>
        </w:rPr>
        <w:br/>
        <w:t>φάρμακα που προορίζονται για ανθρώπινη και κτηνιατρική χρήση ή διακοπή της κυκλοφορίας στην αγορά κατά την έννοια του άρθρου 2, παράγραφος 30, του ίδιου βασιλικού διατάγματος·</w:t>
      </w:r>
      <w:r>
        <w:rPr>
          <w:rFonts w:ascii="Times New Roman" w:hAnsi="Times New Roman"/>
          <w:color w:val="000000"/>
          <w:sz w:val="27"/>
        </w:rPr>
        <w:br/>
        <w:t>5555 «φάρμακο που προορίζεται για τη βελγική αγορά»: φάρμακο που προορίζεται για τη βελγική αγορά από τον κάτοχο της άδειας κυκλοφορίας του αντίστοιχου φαρμάκου.</w:t>
      </w:r>
    </w:p>
    <w:p w14:paraId="5DA1C3EB"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Άρθρο 3. Για την εφαρμογή του παρόντος διατάγματος ορίζεται ο Γενικός Διευθυντής της FAMHP ως εκπρόσωπος του Υπουργού.</w:t>
      </w:r>
      <w:r>
        <w:rPr>
          <w:rFonts w:ascii="Times New Roman" w:hAnsi="Times New Roman"/>
          <w:color w:val="000000"/>
          <w:sz w:val="27"/>
        </w:rPr>
        <w:br/>
        <w:t>Ο Υπουργός μπορεί επίσης να ορίζει άλλα μέλη του προσωπικού της FAMHP ως αντιπροσώπους, αναφέροντας παράλληλα τον περιορισμό των εξουσιών που τους έχουν ανατεθεί.</w:t>
      </w:r>
    </w:p>
    <w:p w14:paraId="0EEA102F"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Κεφάλαιο 2. - Υποβολή εξαγωγής φαρμάκων προς έγκριση</w:t>
      </w:r>
    </w:p>
    <w:p w14:paraId="55E72890"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lastRenderedPageBreak/>
        <w:br/>
        <w:t xml:space="preserve">Άρθρο 4. </w:t>
      </w:r>
    </w:p>
    <w:p w14:paraId="23177491" w14:textId="77777777" w:rsidR="009E792C"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Άρθρο 1. Ο Υπουργός ή ο εκπρόσωπός του μπορεί να υποβάλει την εξαγωγή φαρμάκων στη βελγική αγορά για χορήγηση άδειας, εφόσον πληρούνται όλες οι ακόλουθες προϋποθέσεις:</w:t>
      </w:r>
    </w:p>
    <w:p w14:paraId="06B27F0D" w14:textId="2F5320A0"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1 η μη διαθεσιμότητα του φαρμάκου έχει κοινοποιηθεί στη FAMHP ή έχει ταυτοποιηθεί από τη FAMHP·</w:t>
      </w:r>
      <w:r>
        <w:rPr>
          <w:rFonts w:ascii="Times New Roman" w:hAnsi="Times New Roman"/>
          <w:color w:val="000000"/>
          <w:sz w:val="27"/>
        </w:rPr>
        <w:br/>
        <w:t>2 η μη διαθεσιμότητα του υπό εξέταση φαρμάκου είναι πιθανή ή βέβαιη για τουλάχιστον ένα μήνα·</w:t>
      </w:r>
      <w:r>
        <w:rPr>
          <w:rFonts w:ascii="Times New Roman" w:hAnsi="Times New Roman"/>
          <w:color w:val="000000"/>
          <w:sz w:val="27"/>
        </w:rPr>
        <w:br/>
        <w:t>3 η χορήγηση του φαρμάκου είναι επείγουσα και αναγκαία, είτε αμέσως είτε εντός λίγων ημερών, δεδομένου ότι η απουσία επείγουσας διάγνωσης ή θεραπείας με το φάρμακο μπορεί να οδηγήσει σε οξεία ή χρόνια σωματική ή ψυχική επιδείνωση της υγείας, η οποία μπορεί να συνίσταται σε προσβολή από μια νόσο, στην εξέλιξη μιας νόσου, σε νοσοκομειακή περίθαλψη ή σε πιο εντατική θεραπεία ή που μπορεί να οδηγήσει σε άλλες μορφές βλάβης, όπως σωματική ή διανοητική βλάβη ή θάνατο·</w:t>
      </w:r>
      <w:r>
        <w:rPr>
          <w:rFonts w:ascii="Times New Roman" w:hAnsi="Times New Roman"/>
          <w:color w:val="000000"/>
          <w:sz w:val="27"/>
        </w:rPr>
        <w:br/>
        <w:t>4 η μη διαθεσιμότητα δεν μπορεί να αντιμετωπιστεί επαρκώς με άλλα εγκεκριμένα φάρμακα που έχουν το ίδιο θεραπευτικό αποτέλεσμα, ανεξάρτητα από τη δραστική ουσία.</w:t>
      </w:r>
      <w:r>
        <w:rPr>
          <w:rFonts w:ascii="Times New Roman" w:hAnsi="Times New Roman"/>
          <w:color w:val="000000"/>
          <w:sz w:val="27"/>
        </w:rPr>
        <w:br/>
      </w:r>
    </w:p>
    <w:p w14:paraId="5AA3510D" w14:textId="77777777" w:rsidR="00320D88"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Άρθρο 2. Ο Υπουργός ή ο εκπρόσωπός του καθορίζει την περίοδο για την οποία απαιτείται η άδεια που αναφέρεται στην παράγραφο 1. Η περίοδος αυτή δεν είναι δυνατό να υπερβαίνει την αναμενόμενη περίοδο μη διαθεσιμότητας.</w:t>
      </w:r>
    </w:p>
    <w:p w14:paraId="29981832" w14:textId="77777777" w:rsidR="00320D88"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Εάν ο Υπουργός ή ο εκπρόσωπός του διαπιστώσει ότι η μη διαθεσιμότητα παύει ή έχει παύσει σε ημερομηνία προγενέστερη της προβλεπόμενης περιόδου μη διαθεσιμότητας που αναφέρεται στο εδάφιο 1, το τέλος της μη διαθεσιμότητας δημοσιεύεται χωρίς καθυστέρηση στον δικτυακό τόπο της FAMHP. Η δημοσίευση αυτή στον ιστότοπο της FAMHP καταργεί αυτομάτως την απόφαση που ελήφθη σύμφωνα με την παράγραφο 1. Ο Υπουργός ή ο αντιπρόσωπός του δημοσιεύει την κατάργηση της απόφασης αυτής στην Επίσημη Εφημερίδα του Βελγίου το συντομότερο δυνατόν.</w:t>
      </w:r>
    </w:p>
    <w:p w14:paraId="6521D026" w14:textId="56025BDB"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Σε περίπτωση μεταγενέστερης παράτασης της προβλεπόμενης περιόδου μη διαθεσιμότητας, ο Υπουργός ή ο εκπρόσωπός του μπορεί να παρατείνει την περίοδο για την οποία απαιτείται η άδεια που αναφέρεται στην παράγραφο 1. Η περίοδος αυτή δεν είναι δυνατό να υπερβαίνει την αναμενόμενη περίοδο μη διαθεσιμότητας.</w:t>
      </w:r>
    </w:p>
    <w:p w14:paraId="36370749" w14:textId="77777777" w:rsidR="00536172"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Άρθρο 3. Οι αποφάσεις του Υπουργού ή του εκπροσώπου του σύμφωνα με τις παραγράφους 1 και 2 δημοσιεύεται στην Επίσημη Εφημερίδα του Βελγίου.</w:t>
      </w:r>
    </w:p>
    <w:p w14:paraId="41DF40C0" w14:textId="30C9510C"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Με την επιφύλαξη του εδαφίου 1, οι αποφάσεις που αναφέρονται στην παράγραφο 2 εδάφιο 3 κοινοποιούνται σε όλους τους χονδρεμπόρους. Οι εν λόγω αποφάσεις είναι δεσμευτικές από την ημερομηνία της κοινοποίησής τους.</w:t>
      </w:r>
    </w:p>
    <w:p w14:paraId="6E8B5660"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lastRenderedPageBreak/>
        <w:br/>
        <w:t>Κεφάλαιο 3. - Άδεια εξαγωγής φαρμάκων</w:t>
      </w:r>
      <w:r>
        <w:rPr>
          <w:rFonts w:ascii="Times New Roman" w:hAnsi="Times New Roman"/>
          <w:color w:val="000000"/>
          <w:sz w:val="27"/>
        </w:rPr>
        <w:br/>
      </w:r>
    </w:p>
    <w:p w14:paraId="16E3A382" w14:textId="77777777" w:rsidR="00536172"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Άρθρο 5. Εάν ένα φάρμακο υπόκειται στην αδειοδότηση που αναφέρεται στο άρθρο 4, ο χονδρέμπορος διανομέας που αναφέρεται στο άρθρο 1, υποβάλλει εκ των προτέρων αίτηση για άδεια εξαγωγής του φαρμάκου στη FAMHP μέσω του εντύπου που δημοσιεύεται στον δικτυακό τόπο της FAMHP.</w:t>
      </w:r>
      <w:r>
        <w:rPr>
          <w:rFonts w:ascii="Times New Roman" w:hAnsi="Times New Roman"/>
          <w:color w:val="000000"/>
          <w:sz w:val="27"/>
        </w:rPr>
        <w:br/>
        <w:t>Η αίτηση περιλαμβάνει τουλάχιστον τα ακόλουθα στοιχεία:</w:t>
      </w:r>
    </w:p>
    <w:p w14:paraId="6901A012" w14:textId="77777777" w:rsidR="00536172"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1 την ονομασία του φαρμάκου·</w:t>
      </w:r>
      <w:r>
        <w:rPr>
          <w:rFonts w:ascii="Times New Roman" w:hAnsi="Times New Roman"/>
          <w:color w:val="000000"/>
          <w:sz w:val="27"/>
        </w:rPr>
        <w:br/>
        <w:t>2 τον αριθμό(-ους) της(των) άδειας(-ών) κυκλοφορίας του φαρμάκου·</w:t>
      </w:r>
    </w:p>
    <w:p w14:paraId="1F7F7D73" w14:textId="77777777" w:rsidR="00536172"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3 το μέγεθος της(των) συσκευασίας(-ων) και του(των) εθνικού(-ών) κωδικού(-ών) αριθμού(-ών) (CNK)·</w:t>
      </w:r>
    </w:p>
    <w:p w14:paraId="20BF37DA" w14:textId="77777777" w:rsidR="00536172"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4 τον αριθμό των συσκευασιών ή δόσεων που πρέπει να εξαχθούν, ανά αριθμό άδειας κυκλοφορίας.</w:t>
      </w:r>
    </w:p>
    <w:p w14:paraId="546BFE1F" w14:textId="24B4263B"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Τα δεδομένα που αναφέρονται στο εδάφιο 2 τεκμαίρονται ως επιχειρηματικές πληροφορίες οι οποίες, από τη φύση τους, είναι εμπιστευτικές, όπως αναφέρεται στο άρθρο 6, παράγραφος 1, εδάφιο 7 του νόμου της 11ης Απριλίου 1994 για τη δημοσιότητα της διοίκησης. Με την επιφύλαξη των ανωτέρω, ο αιτών μπορεί να αναφέρει στο έντυπο της αίτησης ότι τα στοιχεία που υποβάλλονται σύμφωνα με την παράγραφο 2 δεν είναι εμπιστευτικά.</w:t>
      </w:r>
    </w:p>
    <w:p w14:paraId="2E2B7203" w14:textId="77777777" w:rsidR="00536172" w:rsidRDefault="00536172" w:rsidP="00A67A13">
      <w:pPr>
        <w:spacing w:after="0" w:line="240" w:lineRule="auto"/>
        <w:rPr>
          <w:rFonts w:ascii="Times New Roman" w:eastAsia="Times New Roman" w:hAnsi="Times New Roman" w:cs="Times New Roman"/>
          <w:color w:val="000000"/>
          <w:sz w:val="27"/>
          <w:szCs w:val="27"/>
          <w:lang w:eastAsia="fr-BE"/>
        </w:rPr>
      </w:pPr>
    </w:p>
    <w:p w14:paraId="02E0B2E6"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 xml:space="preserve">Άρθρο 6. </w:t>
      </w:r>
    </w:p>
    <w:p w14:paraId="0F59BF54" w14:textId="010DA0DB"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Άρθρο 1. Ο Υπουργός ή ο εκπρόσωπός του αποφασίζει, βάσει του αιτήματος που αναφέρεται στο άρθρο 5, να εγκρίνει, να περιορίσει των όγκο εξαγωγής ή να απαγορεύσει την εξαγωγή του φαρμάκου για το οποίο απαιτείται άδεια σύμφωνα με το άρθρο 4, εντός πέντε εργάσιμων ημερών από την επομένη της παραλαβής της αίτησης.</w:t>
      </w:r>
    </w:p>
    <w:p w14:paraId="02F1A8C3" w14:textId="77777777" w:rsidR="00635896"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Ο Υπουργός ή ο εκπρόσωπός του αποφασίζει μετά από γνωμοδότηση της FAMHP σχετικά με τη σπουδαιότητα της μη διαθεσιμότητας στη βελγική αγορά. Η FAMHP λαμβάνει, κατ’ ελάχιστον, υπόψη τα ακόλουθα κριτήρια κατά τη διατύπωση της γνώμης του:</w:t>
      </w:r>
      <w:r>
        <w:rPr>
          <w:rFonts w:ascii="Times New Roman" w:hAnsi="Times New Roman"/>
          <w:color w:val="000000"/>
          <w:sz w:val="27"/>
        </w:rPr>
        <w:br/>
        <w:t>1 την ύπαρξη απαλλαγής σύμφωνα με το άρθρο 6στ, παράγραφος 1, εδάφιο 7, του νόμου της 25ης Μαρτίου 1964 περί φαρμάκων για ανθρώπινη χρήση·</w:t>
      </w:r>
      <w:r>
        <w:rPr>
          <w:rFonts w:ascii="Times New Roman" w:hAnsi="Times New Roman"/>
          <w:color w:val="000000"/>
          <w:sz w:val="27"/>
        </w:rPr>
        <w:br/>
        <w:t>2 την ύπαρξη συστάσεως της FAMHP να εφαρμόσει το άρθρο 105 του βασιλικού διατάγματος της 14ης Δεκεμβρίου 2006 σχετικά με τα φάρμακα που προορίζονται για ανθρώπινη και κτηνιατρική χρήση για την επίλυση, τουλάχιστον εν μέρει, της μη διαθεσιμότητας·</w:t>
      </w:r>
    </w:p>
    <w:p w14:paraId="71A75736" w14:textId="53807ABE"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3 την ύπαρξη οποιουδήποτε άλλου μέτρου ή σύστασης που εφαρμόζεται από την FAMHP προκειμένου να περιοριστεί η μη διαθεσιμότητα.</w:t>
      </w:r>
      <w:r>
        <w:rPr>
          <w:rFonts w:ascii="Times New Roman" w:hAnsi="Times New Roman"/>
          <w:color w:val="000000"/>
          <w:sz w:val="27"/>
        </w:rPr>
        <w:br/>
      </w:r>
    </w:p>
    <w:p w14:paraId="17597D75" w14:textId="77777777" w:rsidR="00635896"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 xml:space="preserve">Άρθρο 2. Ο Υπουργός ή ο εκπρόσωπός του μπορεί να ζητήσει από τον αιτούντα να συμπληρώσει με περαιτέρω έγγραφα την αίτηση του, εάν δεν περιλαμβάνει τουλάχιστον όλα τα στοιχεία που αναφέρονται στο άρθρο 5, παράγραφος 2. </w:t>
      </w:r>
      <w:r>
        <w:rPr>
          <w:rFonts w:ascii="Times New Roman" w:hAnsi="Times New Roman"/>
          <w:color w:val="000000"/>
          <w:sz w:val="27"/>
        </w:rPr>
        <w:lastRenderedPageBreak/>
        <w:t>Μπορούν επίσης να ζητήσουν από τον αιτούντα συμπληρωματικές πληροφορίες που κρίνουν αναγκαίες για τη λήψη απόφασης.</w:t>
      </w:r>
    </w:p>
    <w:p w14:paraId="3FC3A3BE" w14:textId="4476A9B6"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Στην περίπτωση αυτή, η προθεσμία των πέντε εργάσιμων ημερών που αναφέρεται στην παράγραφο 1 αναστέλλεται μέχρι την παραλαβή της πλήρους αίτησης ή συμπληρωματικών πληροφοριών. Η αναστολή αρχίζει την επομένη της ημέρας της αίτησης για συμπληρωματικές πληροφορίες.</w:t>
      </w:r>
      <w:r>
        <w:rPr>
          <w:rFonts w:ascii="Times New Roman" w:hAnsi="Times New Roman"/>
          <w:color w:val="000000"/>
          <w:sz w:val="27"/>
        </w:rPr>
        <w:br/>
        <w:t>Εάν η αίτηση δεν συμπληρωθεί σωστά ή εάν οι ερωτήσεις δεν λάβουν επαρκή απάντηση, η κοινοποίηση απορρίπτεται.</w:t>
      </w:r>
      <w:r>
        <w:rPr>
          <w:rFonts w:ascii="Times New Roman" w:hAnsi="Times New Roman"/>
          <w:color w:val="000000"/>
          <w:sz w:val="27"/>
        </w:rPr>
        <w:br/>
      </w:r>
    </w:p>
    <w:p w14:paraId="34FEBB1C"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t>Άρθρο 3. Ο Υπουργός ή ο εκπρόσωπός του κοινοποιεί την απόφασή του στον αιτούντα εντός της προθεσμίας των πέντε εργάσιμων ημερών που αναφέρεται στην παράγραφο 1. Διαφορετικά, επιτρέπεται η εξαγωγή.</w:t>
      </w:r>
    </w:p>
    <w:p w14:paraId="273C291A" w14:textId="77777777" w:rsidR="00A67A13" w:rsidRDefault="00A67A13" w:rsidP="00A67A13">
      <w:pPr>
        <w:spacing w:after="0" w:line="240" w:lineRule="auto"/>
        <w:rPr>
          <w:rFonts w:ascii="Times New Roman" w:eastAsia="Times New Roman" w:hAnsi="Times New Roman" w:cs="Times New Roman"/>
          <w:color w:val="000000"/>
          <w:sz w:val="27"/>
          <w:szCs w:val="27"/>
        </w:rPr>
      </w:pPr>
      <w:r>
        <w:rPr>
          <w:rFonts w:ascii="Times New Roman" w:hAnsi="Times New Roman"/>
          <w:color w:val="000000"/>
          <w:sz w:val="27"/>
        </w:rPr>
        <w:br/>
        <w:t>Άρθρο 7. Ο υπουργός Δημόσιας Υγείας είναι αρμόδιος για την εφαρμογή του παρόντος διατάγματος.</w:t>
      </w:r>
    </w:p>
    <w:p w14:paraId="0927F661" w14:textId="77777777" w:rsidR="00635896" w:rsidRDefault="00A67A13" w:rsidP="00A67A13">
      <w:pPr>
        <w:spacing w:after="0" w:line="240" w:lineRule="auto"/>
        <w:jc w:val="center"/>
        <w:rPr>
          <w:rFonts w:ascii="Times New Roman" w:eastAsia="Times New Roman" w:hAnsi="Times New Roman" w:cs="Times New Roman"/>
          <w:color w:val="000000"/>
          <w:sz w:val="27"/>
          <w:szCs w:val="27"/>
        </w:rPr>
      </w:pPr>
      <w:r>
        <w:rPr>
          <w:rFonts w:ascii="Times New Roman" w:hAnsi="Times New Roman"/>
          <w:color w:val="000000"/>
          <w:sz w:val="27"/>
        </w:rPr>
        <w:br/>
        <w:t>Εκδόθηκε στις Βρυξέλλες, στις 19 Ιανουαρίου 2023.</w:t>
      </w:r>
    </w:p>
    <w:p w14:paraId="203D139E" w14:textId="77777777" w:rsidR="00635896" w:rsidRDefault="00A67A13" w:rsidP="00A67A13">
      <w:pPr>
        <w:spacing w:after="0" w:line="240" w:lineRule="auto"/>
        <w:jc w:val="center"/>
        <w:rPr>
          <w:rFonts w:ascii="Times New Roman" w:eastAsia="Times New Roman" w:hAnsi="Times New Roman" w:cs="Times New Roman"/>
          <w:color w:val="000000"/>
          <w:sz w:val="27"/>
          <w:szCs w:val="27"/>
        </w:rPr>
      </w:pPr>
      <w:r>
        <w:rPr>
          <w:rFonts w:ascii="Times New Roman" w:hAnsi="Times New Roman"/>
          <w:color w:val="000000"/>
          <w:sz w:val="27"/>
        </w:rPr>
        <w:t>ΦΙΛΙΠΠΟΣ</w:t>
      </w:r>
    </w:p>
    <w:p w14:paraId="57928907" w14:textId="77777777" w:rsidR="00635896" w:rsidRDefault="00A67A13" w:rsidP="00A67A13">
      <w:pPr>
        <w:spacing w:after="0" w:line="240" w:lineRule="auto"/>
        <w:jc w:val="center"/>
        <w:rPr>
          <w:rFonts w:ascii="Times New Roman" w:eastAsia="Times New Roman" w:hAnsi="Times New Roman" w:cs="Times New Roman"/>
          <w:color w:val="000000"/>
          <w:sz w:val="27"/>
          <w:szCs w:val="27"/>
        </w:rPr>
      </w:pPr>
      <w:r>
        <w:rPr>
          <w:rFonts w:ascii="Times New Roman" w:hAnsi="Times New Roman"/>
          <w:color w:val="000000"/>
          <w:sz w:val="27"/>
        </w:rPr>
        <w:t>Εκ μέρους του Βασιλέα:</w:t>
      </w:r>
    </w:p>
    <w:p w14:paraId="19C2B7E6" w14:textId="77777777" w:rsidR="00635896" w:rsidRDefault="00A67A13" w:rsidP="00A67A13">
      <w:pPr>
        <w:spacing w:after="0" w:line="240" w:lineRule="auto"/>
        <w:jc w:val="center"/>
        <w:rPr>
          <w:rFonts w:ascii="Times New Roman" w:eastAsia="Times New Roman" w:hAnsi="Times New Roman" w:cs="Times New Roman"/>
          <w:color w:val="000000"/>
          <w:sz w:val="27"/>
          <w:szCs w:val="27"/>
        </w:rPr>
      </w:pPr>
      <w:r>
        <w:rPr>
          <w:rFonts w:ascii="Times New Roman" w:hAnsi="Times New Roman"/>
          <w:color w:val="000000"/>
          <w:sz w:val="27"/>
        </w:rPr>
        <w:t>Ο Υπουργός Δημόσιας Υγείας,</w:t>
      </w:r>
    </w:p>
    <w:p w14:paraId="3376E9B1" w14:textId="2B7DF23C" w:rsidR="00883F5C" w:rsidRPr="00A67A13" w:rsidRDefault="00A67A13" w:rsidP="00A67A13">
      <w:pPr>
        <w:spacing w:after="0" w:line="240" w:lineRule="auto"/>
        <w:jc w:val="center"/>
        <w:rPr>
          <w:rFonts w:ascii="Times New Roman" w:eastAsia="Times New Roman" w:hAnsi="Times New Roman" w:cs="Times New Roman"/>
          <w:sz w:val="24"/>
          <w:szCs w:val="24"/>
        </w:rPr>
      </w:pPr>
      <w:r>
        <w:rPr>
          <w:rFonts w:ascii="Times New Roman" w:hAnsi="Times New Roman"/>
          <w:color w:val="000000"/>
          <w:sz w:val="27"/>
        </w:rPr>
        <w:t>F. VANDENBROUCKE</w:t>
      </w:r>
      <w:r>
        <w:rPr>
          <w:rFonts w:ascii="Times New Roman" w:hAnsi="Times New Roman"/>
          <w:color w:val="000000"/>
          <w:sz w:val="27"/>
        </w:rPr>
        <w:br/>
      </w:r>
      <w:bookmarkStart w:id="2" w:name="end"/>
      <w:bookmarkEnd w:id="2"/>
      <w:r>
        <w:rPr>
          <w:rFonts w:ascii="Times New Roman" w:hAnsi="Times New Roman"/>
          <w:color w:val="000000"/>
          <w:sz w:val="27"/>
        </w:rPr>
        <w:br/>
      </w:r>
      <w:bookmarkStart w:id="3" w:name="hit1"/>
      <w:bookmarkEnd w:id="3"/>
    </w:p>
    <w:sectPr w:rsidR="00883F5C" w:rsidRPr="00A67A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A13"/>
    <w:rsid w:val="001D0F6D"/>
    <w:rsid w:val="00320D88"/>
    <w:rsid w:val="00536172"/>
    <w:rsid w:val="00635896"/>
    <w:rsid w:val="00883F5C"/>
    <w:rsid w:val="009E792C"/>
    <w:rsid w:val="00A67A1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0AA7"/>
  <w15:chartTrackingRefBased/>
  <w15:docId w15:val="{E55DE650-3063-4A72-9EE0-6DF5BAFBE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67A13"/>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67A13"/>
    <w:rPr>
      <w:rFonts w:ascii="Times New Roman" w:eastAsia="Times New Roman" w:hAnsi="Times New Roman" w:cs="Times New Roman"/>
      <w:b/>
      <w:bCs/>
      <w:sz w:val="27"/>
      <w:szCs w:val="27"/>
      <w:lang w:eastAsia="fr-BE"/>
    </w:rPr>
  </w:style>
  <w:style w:type="character" w:customStyle="1" w:styleId="activelang2">
    <w:name w:val="activelang2"/>
    <w:basedOn w:val="DefaultParagraphFont"/>
    <w:rsid w:val="00A67A13"/>
  </w:style>
  <w:style w:type="character" w:styleId="Hyperlink">
    <w:name w:val="Hyperlink"/>
    <w:basedOn w:val="DefaultParagraphFont"/>
    <w:uiPriority w:val="99"/>
    <w:semiHidden/>
    <w:unhideWhenUsed/>
    <w:rsid w:val="00A67A13"/>
    <w:rPr>
      <w:color w:val="0000FF"/>
      <w:u w:val="single"/>
    </w:rPr>
  </w:style>
  <w:style w:type="paragraph" w:styleId="z-TopofForm">
    <w:name w:val="HTML Top of Form"/>
    <w:basedOn w:val="Normal"/>
    <w:next w:val="Normal"/>
    <w:link w:val="z-TopofFormChar"/>
    <w:hidden/>
    <w:uiPriority w:val="99"/>
    <w:semiHidden/>
    <w:unhideWhenUsed/>
    <w:rsid w:val="00A67A13"/>
    <w:pPr>
      <w:pBdr>
        <w:bottom w:val="single" w:sz="6" w:space="1" w:color="auto"/>
      </w:pBdr>
      <w:spacing w:after="0" w:line="240" w:lineRule="auto"/>
      <w:jc w:val="center"/>
    </w:pPr>
    <w:rPr>
      <w:rFonts w:ascii="Arial" w:eastAsia="Times New Roman" w:hAnsi="Arial" w:cs="Arial"/>
      <w:vanish/>
      <w:sz w:val="16"/>
      <w:szCs w:val="16"/>
      <w:lang w:eastAsia="fr-BE"/>
    </w:rPr>
  </w:style>
  <w:style w:type="character" w:customStyle="1" w:styleId="z-TopofFormChar">
    <w:name w:val="z-Top of Form Char"/>
    <w:basedOn w:val="DefaultParagraphFont"/>
    <w:link w:val="z-TopofForm"/>
    <w:uiPriority w:val="99"/>
    <w:semiHidden/>
    <w:rsid w:val="00A67A13"/>
    <w:rPr>
      <w:rFonts w:ascii="Arial" w:eastAsia="Times New Roman" w:hAnsi="Arial" w:cs="Arial"/>
      <w:vanish/>
      <w:sz w:val="16"/>
      <w:szCs w:val="16"/>
      <w:lang w:eastAsia="fr-BE"/>
    </w:rPr>
  </w:style>
  <w:style w:type="paragraph" w:styleId="z-BottomofForm">
    <w:name w:val="HTML Bottom of Form"/>
    <w:basedOn w:val="Normal"/>
    <w:next w:val="Normal"/>
    <w:link w:val="z-BottomofFormChar"/>
    <w:hidden/>
    <w:uiPriority w:val="99"/>
    <w:semiHidden/>
    <w:unhideWhenUsed/>
    <w:rsid w:val="00A67A13"/>
    <w:pPr>
      <w:pBdr>
        <w:top w:val="single" w:sz="6" w:space="1" w:color="auto"/>
      </w:pBdr>
      <w:spacing w:after="0" w:line="240" w:lineRule="auto"/>
      <w:jc w:val="center"/>
    </w:pPr>
    <w:rPr>
      <w:rFonts w:ascii="Arial" w:eastAsia="Times New Roman"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A67A13"/>
    <w:rPr>
      <w:rFonts w:ascii="Arial" w:eastAsia="Times New Roman" w:hAnsi="Arial" w:cs="Arial"/>
      <w:vanish/>
      <w:sz w:val="16"/>
      <w:szCs w:val="16"/>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39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justice.just.fgov.be/cgi/article_body.pl?language=fr&amp;pub_date=2023-01-20&amp;caller=list&amp;numac=2023030395" TargetMode="External"/><Relationship Id="rId5" Type="http://schemas.openxmlformats.org/officeDocument/2006/relationships/hyperlink" Target="https://www.ejustice.just.fgov.be/cgi/article_body.pl?language=fr&amp;pub_date=2023-01-20&amp;caller=list&amp;numac=2023030395" TargetMode="External"/><Relationship Id="rId4" Type="http://schemas.openxmlformats.org/officeDocument/2006/relationships/hyperlink" Target="https://www.ejustice.just.fgov.be/cgi/article_body.pl?language=fr&amp;pub_date=2023-01-20&amp;caller=list&amp;numac=202303039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1467</Words>
  <Characters>8244</Characters>
  <Application>Microsoft Office Word</Application>
  <DocSecurity>0</DocSecurity>
  <Lines>197</Lines>
  <Paragraphs>48</Paragraphs>
  <ScaleCrop>false</ScaleCrop>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Wenkin (FOD Economie - SPF Economie)</dc:creator>
  <cp:keywords>class='Internal'</cp:keywords>
  <dc:description/>
  <cp:lastModifiedBy>Ragnhild Efraimsson</cp:lastModifiedBy>
  <cp:revision>2</cp:revision>
  <dcterms:created xsi:type="dcterms:W3CDTF">2023-02-13T13:51:00Z</dcterms:created>
  <dcterms:modified xsi:type="dcterms:W3CDTF">2023-02-13T13:51:00Z</dcterms:modified>
</cp:coreProperties>
</file>