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MONITORUL OFICIAL FEDERAL</w:t>
      </w:r>
    </w:p>
    <w:p w:rsidR="00F10F73" w:rsidRPr="00EB5BAD" w:rsidRDefault="00F10F73" w:rsidP="00EB60F8">
      <w:pPr>
        <w:pStyle w:val="03RepOesterr"/>
      </w:pPr>
      <w:r>
        <w:t xml:space="preserve">AL REPUBLICII AUSTRIA</w:t>
      </w:r>
    </w:p>
    <w:p w:rsidR="00F10F73" w:rsidRPr="00EB5BAD" w:rsidRDefault="00F10F73" w:rsidP="00EB60F8">
      <w:pPr>
        <w:pStyle w:val="04AusgabeDaten"/>
      </w:pPr>
      <w:r>
        <w:t xml:space="preserve">Anul 2020</w:t>
      </w:r>
      <w:r>
        <w:tab/>
      </w:r>
      <w:r>
        <w:t xml:space="preserve">Emis la 18 februarie 2020</w:t>
      </w:r>
      <w:r>
        <w:tab/>
      </w:r>
      <w:r>
        <w:t xml:space="preserve">Partea II</w:t>
      </w:r>
    </w:p>
    <w:p w:rsidR="00F10F73" w:rsidRPr="00EB5BAD" w:rsidRDefault="00F10F73" w:rsidP="00EB60F8">
      <w:pPr>
        <w:pStyle w:val="05Kurztitel"/>
      </w:pPr>
      <w:r>
        <w:t xml:space="preserve">A 30-a ordonanță:</w:t>
      </w:r>
      <w:r>
        <w:tab/>
      </w:r>
      <w:r>
        <w:t xml:space="preserve">Asigurarea aprovizionării cu medicamente</w:t>
      </w:r>
    </w:p>
    <w:p w:rsidR="00F10F73" w:rsidRPr="00EB5BAD" w:rsidRDefault="00F10F73" w:rsidP="00EB60F8">
      <w:pPr>
        <w:pStyle w:val="11Titel"/>
      </w:pPr>
      <w:r>
        <w:t xml:space="preserve">A 30-a ordonanță a ministrului federal al muncii, asigurărilor sociale, sănătății și protecției consumatorilor privind asigurarea accesului la medicamente</w:t>
      </w:r>
    </w:p>
    <w:p w:rsidR="00F10F73" w:rsidRPr="00EB5BAD" w:rsidRDefault="00F10F73" w:rsidP="00EB60F8">
      <w:pPr>
        <w:pStyle w:val="12PromKlEinlSatz"/>
      </w:pPr>
      <w:r>
        <w:t xml:space="preserve">În temeiul articolului 57a alineatul (2) din Legea privind medicamentele, publicată în Monitorul Oficial nr. 185/1983, astfel cum a fost modificată ultima dată prin Legea federală publicată în Monitorul Oficial Federal I nr. 104/2019 și Amendamentul la Legea Federală a Ministerelor din 2020, Monitorul Oficial Federal I nr. 8/2020, se stabilesc următoarele:</w:t>
      </w:r>
    </w:p>
    <w:p w:rsidR="00F10F73" w:rsidRPr="00EB5BAD" w:rsidRDefault="00F10F73" w:rsidP="00EB60F8">
      <w:pPr>
        <w:pStyle w:val="51Abs"/>
      </w:pPr>
      <w:r>
        <w:rPr>
          <w:rStyle w:val="991GldSymbol"/>
        </w:rPr>
        <w:t xml:space="preserve">Articolul 1.</w:t>
      </w:r>
      <w:r>
        <w:t xml:space="preserve"> </w:t>
      </w:r>
      <w:r>
        <w:t xml:space="preserve">(1) Titularul autorizației de introducere pe piață trebuie să informeze imediat Oficiul Federal pentru Protecția Sănătății cu privire la orice restricție privind comercializarea unui medicament brevetat eliberat pe bază de prescripție medicală pe piața internă.</w:t>
      </w:r>
      <w:r>
        <w:t xml:space="preserve"> </w:t>
      </w:r>
      <w:r>
        <w:t xml:space="preserve">Restricționarea comercializării reprezintă o indisponibilitate de aproximativ două săptămâni sau o capacitate insuficientă pe o perioadă probabilă de patru săptămâni a unui medicament eliberat pe bază de prescripție medicală, necesar pentru acoperirea necesarului pacienților din Germania.</w:t>
      </w:r>
    </w:p>
    <w:p w:rsidR="00F10F73" w:rsidRPr="00EB5BAD" w:rsidRDefault="00F10F73" w:rsidP="00EB60F8">
      <w:pPr>
        <w:pStyle w:val="51Abs"/>
      </w:pPr>
      <w:r>
        <w:t xml:space="preserve">(2) În conformitate cu cerințele prevăzute în Ordinul Oficiului Federal pentru Protecția Sănătății, notificarea în temeiul alineatului (1) trebuie făcută prin transmiterea electronică a cererilor și notificărilor (Ordinul privind transmiterea electronică din 2011 - EEVO).</w:t>
      </w:r>
    </w:p>
    <w:p w:rsidR="00F10F73" w:rsidRPr="00EB5BAD" w:rsidRDefault="00F10F73" w:rsidP="00EB60F8">
      <w:pPr>
        <w:pStyle w:val="51Abs"/>
      </w:pPr>
      <w:r>
        <w:t xml:space="preserve">(3) După verificarea notificării prevăzute la alineatul (1), Oficiul Federal pentru Protecția Sănătății trebuie să facă publice medicamentele brevetate într-o listă publicată pe pagina web cel mai devreme în ziua în care are loc restricția privind distribuția.</w:t>
      </w:r>
    </w:p>
    <w:p w:rsidR="00F10F73" w:rsidRPr="00EB5BAD" w:rsidRDefault="00F10F73" w:rsidP="00EB60F8">
      <w:pPr>
        <w:pStyle w:val="51Abs"/>
      </w:pPr>
      <w:r>
        <w:t xml:space="preserve">(4) Verificarea notificării titularului autorizației de introducere pe piață cu privire la restricționarea distribuției medicamentului brevetat în cauză se referă în special la numărul de pacienți în cauză, la acoperirea pieței, la cifrele medii ale vânzărilor, la nevoile și stocurile calculate, precum și la potențialele medicamente alternative disponibile.</w:t>
      </w:r>
    </w:p>
    <w:p w:rsidR="00F10F73" w:rsidRPr="00EB5BAD" w:rsidRDefault="00F10F73" w:rsidP="00EB60F8">
      <w:pPr>
        <w:pStyle w:val="51Abs"/>
      </w:pPr>
      <w:r>
        <w:t xml:space="preserve">(5) Oficiul Federal pentru Protecția Sănătății verifică în mod regulat dacă lista menționată la alineatul (3) este actualizată.</w:t>
      </w:r>
    </w:p>
    <w:p w:rsidR="00F10F73" w:rsidRPr="00EB5BAD" w:rsidRDefault="00F10F73" w:rsidP="00EB60F8">
      <w:pPr>
        <w:pStyle w:val="51Abs"/>
      </w:pPr>
      <w:r>
        <w:rPr>
          <w:rStyle w:val="991GldSymbol"/>
        </w:rPr>
        <w:t xml:space="preserve">Articolul 2.</w:t>
      </w:r>
      <w:r>
        <w:t xml:space="preserve"> </w:t>
      </w:r>
      <w:r>
        <w:t xml:space="preserve">(1) În cazul eliminării restricției de comercializare a medicamentelor eliberate pe bază de prescripție medicală pe piața internă, titularul autorizației de introducere pe piață trebuie să comunice acest lucru Oficiului Federal pentru Protecția Sănătății.</w:t>
      </w:r>
      <w:r>
        <w:t xml:space="preserve"> </w:t>
      </w:r>
      <w:r>
        <w:t xml:space="preserve">Articolul 1 alineatul (2) se aplică mutatis mutandis.</w:t>
      </w:r>
    </w:p>
    <w:p w:rsidR="00F10F73" w:rsidRPr="00EB5BAD" w:rsidRDefault="00F10F73" w:rsidP="00EB60F8">
      <w:pPr>
        <w:pStyle w:val="51Abs"/>
      </w:pPr>
      <w:r>
        <w:t xml:space="preserve">(2) Oficiul Federal pentru Protecția Sănătății va șterge, după caz, și după verificare, medicamentul brevetat din lista prevăzută la articolul 1 alineatul (3).</w:t>
      </w:r>
    </w:p>
    <w:p w:rsidR="00F10F73" w:rsidRPr="00EB5BAD" w:rsidRDefault="00F10F73" w:rsidP="00EB60F8">
      <w:pPr>
        <w:pStyle w:val="51Abs"/>
      </w:pPr>
      <w:r>
        <w:t xml:space="preserve">(3) În cazul în care titularul autorizației de introducere pe piață nu își îndeplinește obligația care îi revine în temeiul alineatului (1), Oficiul Federal pentru Protecția Sănătății poate efectua, după verificare, o ștergere din oficiu.</w:t>
      </w:r>
    </w:p>
    <w:p w:rsidR="00F10F73" w:rsidRPr="00EB5BAD" w:rsidRDefault="00F10F73" w:rsidP="00EB60F8">
      <w:pPr>
        <w:pStyle w:val="51Abs"/>
      </w:pPr>
      <w:r>
        <w:rPr>
          <w:rStyle w:val="991GldSymbol"/>
        </w:rPr>
        <w:t xml:space="preserve">Articolul 3.</w:t>
      </w:r>
      <w:r>
        <w:t xml:space="preserve"> </w:t>
      </w:r>
      <w:r>
        <w:t xml:space="preserve">(1) Dacă Oficiul Federal pentru Protecția Sănătății află că titularul autorizației de introducere pe piață nu și-a îndeplinit obligația sau a îndeplinit-o parțial conform articolului 1 alineatul (1), Oficiul Federal pentru Protecția Sănătății trebuie să publice, în urma unei verificări, după caz, medicamentele brevetate, într-o listă, astfel cum se prevede la articolul 1 alineatul (3).</w:t>
      </w:r>
    </w:p>
    <w:p w:rsidR="00F10F73" w:rsidRPr="00EB5BAD" w:rsidRDefault="00F10F73" w:rsidP="00EB60F8">
      <w:pPr>
        <w:pStyle w:val="51Abs"/>
      </w:pPr>
      <w:r>
        <w:t xml:space="preserve">(3) În cazul în care nu mai există o restricție privind distribuția menționată la alineatul (1), se aplică mutatis mutandis articolul 2.</w:t>
      </w:r>
    </w:p>
    <w:p w:rsidR="00F10F73" w:rsidRPr="00EB5BAD" w:rsidRDefault="00F10F73" w:rsidP="00EB60F8">
      <w:pPr>
        <w:pStyle w:val="51Abs"/>
      </w:pPr>
      <w:r>
        <w:rPr>
          <w:rStyle w:val="991GldSymbol"/>
        </w:rPr>
        <w:t xml:space="preserve">Articolul 4.</w:t>
      </w:r>
      <w:r>
        <w:t xml:space="preserve"> </w:t>
      </w:r>
      <w:r>
        <w:t xml:space="preserve">(1) Dacă Oficiul Federal pentru Protecția Sănătății află că un medicament brevetat eliberat pe bază de prescripție medicală nu acoperă necesitățile pacienților naționali, deși nu a fost notificată nicio restricție de distribuție de către titularul autorizației de comercializare, Oficiul Federal pentru Protecția Sănătății poate include, în urma verificării, medicamentul brevetat eliberat pe bază de prescripție medicală pe lista accesibilă public conform articolului 1 alineatul (3).</w:t>
      </w:r>
    </w:p>
    <w:p w:rsidR="00F10F73" w:rsidRPr="00EB5BAD" w:rsidRDefault="00F10F73" w:rsidP="00EB60F8">
      <w:pPr>
        <w:pStyle w:val="51Abs"/>
      </w:pPr>
      <w:r>
        <w:t xml:space="preserve">(2) În cazul în care nu mai există nicio altă restricție în temeiul alineatului (1), Oficiul Federal pentru Protecția Sănătății efectuează, după verificare, o eliminare ex officio a medicamentului brevetat în cauză din listă, în conformitate cu articolul 1 alineatul (3).</w:t>
      </w:r>
    </w:p>
    <w:p w:rsidR="00F10F73" w:rsidRPr="00EB5BAD" w:rsidRDefault="00F10F73" w:rsidP="00EB60F8">
      <w:pPr>
        <w:pStyle w:val="51Abs"/>
      </w:pPr>
      <w:r>
        <w:rPr>
          <w:rStyle w:val="991GldSymbol"/>
        </w:rPr>
        <w:t xml:space="preserve">Articolul 5.</w:t>
      </w:r>
      <w:r>
        <w:t xml:space="preserve"> </w:t>
      </w:r>
      <w:r>
        <w:t xml:space="preserve">(1) Din motive de protecție a sănătății publice, se interzice exportul medicamentelor brevetate publicate în lista Oficiului Federal pentru Protecția Sănătății conform articolului 1 alineatul (3), pentru alte părți semnatare ale Acordului privind Spațiul Economic European.</w:t>
      </w:r>
    </w:p>
    <w:p w:rsidR="00F10F73" w:rsidRPr="00EB5BAD" w:rsidRDefault="00F10F73" w:rsidP="00EB60F8">
      <w:pPr>
        <w:pStyle w:val="51Abs"/>
      </w:pPr>
      <w:r>
        <w:t xml:space="preserve">(2) La cererea titularului autorizației de introducere pe piață, Oficiul Federal pentru Protecția Sănătății adoptă o decizie privind interdicția de export menționată la alineatul (1).</w:t>
      </w:r>
    </w:p>
    <w:p w:rsidR="00F10F73" w:rsidRPr="00EB5BAD" w:rsidRDefault="00F10F73" w:rsidP="00EB60F8">
      <w:pPr>
        <w:pStyle w:val="51Abs"/>
      </w:pPr>
      <w:r>
        <w:rPr>
          <w:rStyle w:val="991GldSymbol"/>
        </w:rPr>
        <w:t xml:space="preserve">Articolul 6.</w:t>
      </w:r>
      <w:r>
        <w:t xml:space="preserve"> </w:t>
      </w:r>
      <w:r>
        <w:t xml:space="preserve">Prezenta ordonanță a făcut obiectul unei proceduri de furnizare de informații în temeiul Directivei (UE) 2015/1535 a Parlamentului European și a Consiliului din 9 septembrie 2015 referitoare la procedura de furnizare de informații în domeniul reglementărilor tehnice și al normelor privind serviciile societății informaționale (JO L 241, 17.9.2015, p. 1).</w:t>
      </w:r>
    </w:p>
    <w:p w:rsidR="00F10F73" w:rsidRPr="00EB5BAD" w:rsidRDefault="00F10F73" w:rsidP="00EB60F8">
      <w:pPr>
        <w:pStyle w:val="51Abs"/>
      </w:pPr>
      <w:r>
        <w:rPr>
          <w:rStyle w:val="991GldSymbol"/>
        </w:rPr>
        <w:t xml:space="preserve">Articolul 7.</w:t>
      </w:r>
      <w:r>
        <w:t xml:space="preserve"> </w:t>
      </w:r>
      <w:r>
        <w:t xml:space="preserve">Prezenta ordonanță intră în vigoare la 1 aprilie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Emis la 18 februarie 2020 – nr.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din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Emis la 18 februarie 2020 – nr.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din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din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ro-RO"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ro-RO"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ro-RO"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ro-RO"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ro-RO"/>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ro-RO"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ro-RO"/>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ro-RO"/>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ro-RO"/>
    </w:rPr>
  </w:style>
  <w:style w:type="paragraph" w:customStyle="1" w:styleId="PDU1">
    <w:name w:val="PD_U1"/>
    <w:basedOn w:val="00LegStandard"/>
    <w:next w:val="Standard"/>
    <w:rsid w:val="00F10F73"/>
    <w:pPr>
      <w:tabs>
        <w:tab w:val="center" w:pos="2126"/>
        <w:tab w:val="center" w:pos="6379"/>
      </w:tabs>
      <w:spacing w:before="440"/>
    </w:pPr>
    <w:rPr>
      <w:b/>
      <w:lang w:val="ro-RO"/>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ro-RO"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ro-RO"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ro-RO"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ro-RO"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ro-RO"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ro-RO"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ro-RO"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ro-RO"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ro-RO" w:eastAsia="de-AT"/>
    </w:rPr>
  </w:style>
  <w:style w:type="paragraph" w:customStyle="1" w:styleId="58Schlussteile0Abs">
    <w:name w:val="58_Schlussteil_e0_Abs"/>
    <w:basedOn w:val="00LegStandard"/>
    <w:next w:val="51Abs"/>
    <w:rsid w:val="00F10F73"/>
    <w:pPr>
      <w:spacing w:before="40"/>
    </w:pPr>
    <w:rPr>
      <w:lang w:val="ro-RO"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ro-RO"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ro-RO"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ro-RO"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ro-RO"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ro-RO"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ro-RO"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ro-RO"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ro-RO"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ro-RO"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ro-RO"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ro-RO"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ro-RO"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ro-RO"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ro-RO"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ro-RO"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ro-RO"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ro-R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