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7C" w:rsidRPr="00B23501" w:rsidRDefault="0000457C" w:rsidP="0000457C">
      <w:pPr>
        <w:pStyle w:val="12PromKlEinlSatz"/>
        <w:keepNext w:val="0"/>
        <w:spacing w:before="0" w:after="120" w:line="240" w:lineRule="auto"/>
        <w:ind w:firstLine="0"/>
        <w:jc w:val="center"/>
        <w:rPr>
          <w:snapToGrid/>
          <w:rFonts w:ascii="Courier New" w:hAnsi="Courier New"/>
        </w:rPr>
      </w:pPr>
      <w:r>
        <w:rPr>
          <w:snapToGrid/>
          <w:rFonts w:ascii="Courier New" w:hAnsi="Courier New"/>
        </w:rPr>
        <w:t xml:space="preserve">1.</w:t>
      </w:r>
      <w:r>
        <w:rPr>
          <w:snapToGrid/>
          <w:rFonts w:ascii="Courier New" w:hAnsi="Courier New"/>
        </w:rPr>
        <w:t xml:space="preserve"> </w:t>
      </w:r>
      <w:r>
        <w:rPr>
          <w:snapToGrid/>
          <w:rFonts w:ascii="Courier New" w:hAnsi="Courier New"/>
        </w:rPr>
        <w:t xml:space="preserve">------IND- 2019 0280 EE- SL- ------ 20190621 --- --- PROJET</w:t>
      </w:r>
    </w:p>
    <w:p w:rsidR="00E97C8D" w:rsidRPr="000F1F61" w:rsidRDefault="0000457C" w:rsidP="0000457C">
      <w:pPr>
        <w:pStyle w:val="Default"/>
        <w:jc w:val="right"/>
      </w:pPr>
      <w:r>
        <w:t xml:space="preserve">OSNUTEK</w:t>
      </w:r>
    </w:p>
    <w:p w:rsidR="00E97C8D" w:rsidRDefault="00E97C8D" w:rsidP="0000457C">
      <w:pPr>
        <w:pStyle w:val="Default"/>
        <w:jc w:val="right"/>
      </w:pPr>
      <w:r>
        <w:t xml:space="preserve">…….2019</w:t>
      </w:r>
    </w:p>
    <w:p w:rsidR="006F0FE1" w:rsidRPr="006F0FE1" w:rsidRDefault="006F0FE1" w:rsidP="0000457C">
      <w:pPr>
        <w:pStyle w:val="Default"/>
        <w:ind w:left="7788"/>
        <w:jc w:val="center"/>
      </w:pPr>
    </w:p>
    <w:p w:rsidR="00DF1C9F" w:rsidRPr="006F0FE1" w:rsidRDefault="00DF1C9F" w:rsidP="0000457C">
      <w:pPr>
        <w:pStyle w:val="eelnupealkiri"/>
        <w:widowControl/>
        <w:rPr>
          <w:szCs w:val="32"/>
        </w:rPr>
      </w:pPr>
      <w:r>
        <w:t xml:space="preserve">Zakon o spremembi zakona o tobaku</w:t>
      </w:r>
    </w:p>
    <w:p w:rsidR="00DF1C9F" w:rsidRPr="000F1F61" w:rsidRDefault="00DF1C9F" w:rsidP="0000457C">
      <w:pPr>
        <w:pStyle w:val="muudatustesissejuhatus"/>
        <w:keepNext/>
        <w:keepLines/>
        <w:widowControl/>
      </w:pPr>
      <w:r>
        <w:t xml:space="preserve">Zakon o tobaku se spremeni:</w:t>
      </w:r>
    </w:p>
    <w:p w:rsidR="00DF1C9F" w:rsidRDefault="00DF1C9F" w:rsidP="0000457C">
      <w:pPr>
        <w:pStyle w:val="muutmisksk"/>
        <w:keepNext/>
        <w:keepLines/>
        <w:widowControl/>
      </w:pPr>
      <w:r>
        <w:rPr>
          <w:b/>
        </w:rPr>
        <w:t xml:space="preserve">1)</w:t>
      </w:r>
      <w:r>
        <w:t xml:space="preserve"> oddelek 3(2) se spremeni in se glasi:</w:t>
      </w:r>
    </w:p>
    <w:p w:rsidR="00F3659F" w:rsidRDefault="00F3659F" w:rsidP="0000457C">
      <w:pPr>
        <w:pStyle w:val="muutmisksk"/>
        <w:widowControl/>
      </w:pPr>
      <w:r>
        <w:t xml:space="preserve">„(2) Tobačni izdelki so razvrščeni kot izdelki za kajenje, pa tudi brezdimni in ogrevani tobačni izdelki.“;</w:t>
      </w:r>
    </w:p>
    <w:p w:rsidR="00CB4A82" w:rsidRDefault="00CB4A82" w:rsidP="0000457C">
      <w:pPr>
        <w:pStyle w:val="muutmisksk"/>
        <w:keepNext/>
        <w:keepLines/>
        <w:widowControl/>
      </w:pPr>
      <w:r>
        <w:rPr>
          <w:b/>
        </w:rPr>
        <w:t xml:space="preserve">2)</w:t>
      </w:r>
      <w:r>
        <w:t xml:space="preserve"> oddelek 3(4) se spremeni in se glasi:</w:t>
      </w:r>
    </w:p>
    <w:p w:rsidR="00F3659F" w:rsidRDefault="00FA49AA" w:rsidP="0000457C">
      <w:pPr>
        <w:pStyle w:val="muutmisksk"/>
        <w:widowControl/>
      </w:pPr>
      <w:r>
        <w:t xml:space="preserve">„(4) Brezdimni tobačni izdelek je tobačni izdelek (kar vključuje tobak za žvečenje, tobak za njuhanje in tobak za oralno uporabo), ki ne vključuje postopka zgorevanja in ni ogrevan tobačni izdelek.“;</w:t>
      </w:r>
    </w:p>
    <w:p w:rsidR="00F3659F" w:rsidRDefault="006405C9" w:rsidP="0000457C">
      <w:pPr>
        <w:pStyle w:val="muutmisksk"/>
        <w:keepNext/>
        <w:keepLines/>
        <w:widowControl/>
      </w:pPr>
      <w:r>
        <w:rPr>
          <w:b/>
        </w:rPr>
        <w:t xml:space="preserve">3)</w:t>
      </w:r>
      <w:r>
        <w:t xml:space="preserve"> v oddelku 3 se doda odstavek 6, ki se glasi:</w:t>
      </w:r>
    </w:p>
    <w:p w:rsidR="00302BE2" w:rsidRDefault="00F3659F" w:rsidP="0000457C">
      <w:pPr>
        <w:pStyle w:val="muutmisksk"/>
        <w:widowControl/>
      </w:pPr>
      <w:r>
        <w:t xml:space="preserve">„(6) Ogrevan tobačni izdelek je nov tobačni izdelek, ki ne vključuje postopka zgorevanja tobaka in se uporablja s pomočjo pripomočka za ogrevanje tobaka.“;</w:t>
      </w:r>
    </w:p>
    <w:p w:rsidR="00B0041E" w:rsidRDefault="006405C9" w:rsidP="0000457C">
      <w:pPr>
        <w:pStyle w:val="muutmisksk"/>
        <w:keepNext/>
        <w:keepLines/>
        <w:widowControl/>
      </w:pPr>
      <w:r>
        <w:rPr>
          <w:b/>
        </w:rPr>
        <w:t xml:space="preserve">4)</w:t>
      </w:r>
      <w:r>
        <w:t xml:space="preserve"> prvi stavek oddelka 8(5) se glasi:</w:t>
      </w:r>
    </w:p>
    <w:p w:rsidR="00B0041E" w:rsidRDefault="00B0041E" w:rsidP="0000457C">
      <w:pPr>
        <w:pStyle w:val="muutmisksk"/>
        <w:widowControl/>
      </w:pPr>
      <w:r>
        <w:t xml:space="preserve">„Cigarete, tobak za zvijanje in ogrevani tobačni izdelki ne smejo imeti značilne arome.“;</w:t>
      </w:r>
    </w:p>
    <w:p w:rsidR="000C419A" w:rsidRDefault="000C419A" w:rsidP="0000457C">
      <w:pPr>
        <w:pStyle w:val="muutmisksk"/>
        <w:keepNext/>
        <w:keepLines/>
        <w:widowControl/>
      </w:pPr>
      <w:r>
        <w:rPr>
          <w:b/>
        </w:rPr>
        <w:t xml:space="preserve">5)</w:t>
      </w:r>
      <w:r>
        <w:t xml:space="preserve"> prvi stavek oddelka 8(6) se glasi:</w:t>
      </w:r>
    </w:p>
    <w:p w:rsidR="000C419A" w:rsidRDefault="000C419A" w:rsidP="0000457C">
      <w:pPr>
        <w:pStyle w:val="muutmisksk"/>
        <w:widowControl/>
      </w:pPr>
      <w:r>
        <w:t xml:space="preserve">„Sestavine cigaret, tobaka za zvijanje in ogrevanih tobačnih izdelkov, kot so filtri, papir, ovoj in kapsule, ne smejo biti aromatizirani.“;</w:t>
      </w:r>
    </w:p>
    <w:p w:rsidR="00F3659F" w:rsidRDefault="00544F55" w:rsidP="0000457C">
      <w:pPr>
        <w:pStyle w:val="muutmisksk"/>
        <w:keepNext/>
        <w:keepLines/>
        <w:widowControl/>
      </w:pPr>
      <w:r>
        <w:rPr>
          <w:b/>
        </w:rPr>
        <w:t xml:space="preserve">6)</w:t>
      </w:r>
      <w:r>
        <w:t xml:space="preserve"> prvi stavek oddelka 12(5) se glasi:</w:t>
      </w:r>
    </w:p>
    <w:p w:rsidR="00F3659F" w:rsidRDefault="002A4570" w:rsidP="0000457C">
      <w:pPr>
        <w:pStyle w:val="muutmisksk"/>
        <w:widowControl/>
      </w:pPr>
      <w:r>
        <w:t xml:space="preserve">„Informacije iz odstavka 1 tega oddelka se lahko navedejo na nalepkah na primarni embalaži in kombiniranem pakiranju tobačnega izdelka, razen cigaret in tobaka za zvijanje.“;</w:t>
      </w:r>
    </w:p>
    <w:p w:rsidR="00CB4A82" w:rsidRDefault="00544F55" w:rsidP="0000457C">
      <w:pPr>
        <w:pStyle w:val="muutmisksk"/>
        <w:keepNext/>
        <w:keepLines/>
        <w:widowControl/>
      </w:pPr>
      <w:r>
        <w:rPr>
          <w:b/>
        </w:rPr>
        <w:t xml:space="preserve">7</w:t>
      </w:r>
      <w:r>
        <w:t xml:space="preserve">) naslov oddelka 13 se spremeni in se glasi:</w:t>
      </w:r>
    </w:p>
    <w:p w:rsidR="00CB4A82" w:rsidRDefault="00CB4A82" w:rsidP="0000457C">
      <w:pPr>
        <w:pStyle w:val="muutmisksk"/>
        <w:widowControl/>
      </w:pPr>
      <w:r>
        <w:t xml:space="preserve">„</w:t>
      </w:r>
      <w:r>
        <w:rPr>
          <w:b/>
        </w:rPr>
        <w:t xml:space="preserve">Oddelek 13.</w:t>
      </w:r>
      <w:r>
        <w:rPr>
          <w:b/>
        </w:rPr>
        <w:t xml:space="preserve"> </w:t>
      </w:r>
      <w:r>
        <w:rPr>
          <w:b/>
        </w:rPr>
        <w:t xml:space="preserve">Zdravstvena opozorila za tobačne izdelke za kajenje</w:t>
      </w:r>
      <w:r>
        <w:t xml:space="preserve">“;</w:t>
      </w:r>
    </w:p>
    <w:p w:rsidR="00CB4A82" w:rsidRDefault="00544F55" w:rsidP="0000457C">
      <w:pPr>
        <w:pStyle w:val="muutmisksk"/>
        <w:keepNext/>
        <w:keepLines/>
        <w:widowControl/>
      </w:pPr>
      <w:r>
        <w:rPr>
          <w:b/>
        </w:rPr>
        <w:t xml:space="preserve">8)</w:t>
      </w:r>
      <w:r>
        <w:t xml:space="preserve"> oddelek 13(1) se spremeni in se glasi:</w:t>
      </w:r>
    </w:p>
    <w:p w:rsidR="00CB4A82" w:rsidRDefault="00CB4A82" w:rsidP="0000457C">
      <w:pPr>
        <w:pStyle w:val="muutmisksk"/>
        <w:widowControl/>
      </w:pPr>
      <w:r>
        <w:t xml:space="preserve">„(1) Zdravstvena opozorila za tobačne izdelke za kajenje se delijo na splošna opozorila, informacijska sporočila in kombinirana zdravstvena opozorila.“;</w:t>
      </w:r>
    </w:p>
    <w:p w:rsidR="00CB4A82" w:rsidRDefault="00544F55" w:rsidP="0000457C">
      <w:pPr>
        <w:pStyle w:val="muutmisksk"/>
        <w:keepNext/>
        <w:keepLines/>
        <w:widowControl/>
      </w:pPr>
      <w:r>
        <w:rPr>
          <w:b/>
        </w:rPr>
        <w:t xml:space="preserve">9)</w:t>
      </w:r>
      <w:r>
        <w:t xml:space="preserve"> zakon se dopolni z oddelkom 13</w:t>
      </w:r>
      <w:r>
        <w:rPr>
          <w:vertAlign w:val="superscript"/>
        </w:rPr>
        <w:t xml:space="preserve">1</w:t>
      </w:r>
      <w:r>
        <w:t xml:space="preserve">, ki se glasi:</w:t>
      </w:r>
    </w:p>
    <w:p w:rsidR="00CB4A82" w:rsidRDefault="00CB4A82" w:rsidP="0000457C">
      <w:pPr>
        <w:pStyle w:val="muutmisksk"/>
        <w:widowControl/>
        <w:rPr>
          <w:b/>
        </w:rPr>
      </w:pPr>
      <w:r>
        <w:t xml:space="preserve">„</w:t>
      </w:r>
      <w:r>
        <w:rPr>
          <w:b/>
        </w:rPr>
        <w:t xml:space="preserve">13</w:t>
      </w:r>
      <w:r>
        <w:rPr>
          <w:b/>
          <w:vertAlign w:val="superscript"/>
        </w:rPr>
        <w:t xml:space="preserve">1</w:t>
      </w:r>
      <w:r>
        <w:rPr>
          <w:b/>
        </w:rPr>
        <w:t xml:space="preserve">.</w:t>
      </w:r>
      <w:r>
        <w:rPr>
          <w:b/>
        </w:rPr>
        <w:t xml:space="preserve"> </w:t>
      </w:r>
      <w:r>
        <w:rPr>
          <w:b/>
          <w:b/>
        </w:rPr>
        <w:t xml:space="preserve">Zdravstvena opozorila za ogrevane tobačne izdelke</w:t>
      </w:r>
    </w:p>
    <w:p w:rsidR="00FA49AA" w:rsidRDefault="00FA49AA" w:rsidP="0000457C">
      <w:pPr>
        <w:pStyle w:val="muutmisksk"/>
        <w:widowControl/>
      </w:pPr>
      <w:r>
        <w:t xml:space="preserve">(1) Na vsaki primarni embalaži in kombiniranem pakiranju ogrevanega tobačnega izdelka se navede naslednje zdravstveno opozorilo:</w:t>
      </w:r>
    </w:p>
    <w:p w:rsidR="00FA49AA" w:rsidRDefault="00FA49AA" w:rsidP="0000457C">
      <w:pPr>
        <w:pStyle w:val="muudetavtekst"/>
      </w:pPr>
      <w:r>
        <w:t xml:space="preserve">,Ta tobačni izdelek škoduje zdravju in povzroča zasvojenost.‘.</w:t>
      </w:r>
    </w:p>
    <w:p w:rsidR="00FA49AA" w:rsidRDefault="00D5650D" w:rsidP="0000457C">
      <w:pPr>
        <w:pStyle w:val="muutmisksk"/>
        <w:widowControl/>
      </w:pPr>
      <w:r>
        <w:t xml:space="preserve">(2) Zdravstveno opozorilo iz odstavka 1 tega oddelka izpolnjuje zahteve, določene v oddelku 16(6), (10), (11) in (12) tega zakona.</w:t>
      </w:r>
    </w:p>
    <w:p w:rsidR="00FA49AA" w:rsidRDefault="00D5650D" w:rsidP="0000457C">
      <w:pPr>
        <w:pStyle w:val="muutmisksk"/>
        <w:widowControl/>
      </w:pPr>
      <w:r>
        <w:t xml:space="preserve">(3) Poleg določb odstavka 2 tega oddelka zdravstveno opozorilo za ogrevane tobačne izdelke izpolnjuje naslednje:</w:t>
      </w:r>
    </w:p>
    <w:p w:rsidR="00FA49AA" w:rsidRDefault="00D5650D" w:rsidP="0000457C">
      <w:pPr>
        <w:pStyle w:val="muudetavtekst"/>
      </w:pPr>
      <w:r>
        <w:t xml:space="preserve">1. na kockastih zavojčkih in kakršnem koli kombiniranem pakiranju je navedeno vzporedno z bočnim robom primarne embalaže ali kombiniranega pakiranja.</w:t>
      </w:r>
      <w:r>
        <w:t xml:space="preserve"> </w:t>
      </w:r>
      <w:r>
        <w:t xml:space="preserve">Besedilo zdravstvenega opozorila mora biti vzporedno z glavnim besedilom na površini, namenjeni tem opozorilom;</w:t>
      </w:r>
    </w:p>
    <w:p w:rsidR="00FA49AA" w:rsidRDefault="00D5650D" w:rsidP="0000457C">
      <w:pPr>
        <w:pStyle w:val="muudetavtekst"/>
      </w:pPr>
      <w:r>
        <w:t xml:space="preserve">2. navede se na dveh največjih površinah primarne embalaže in kakršnega koli kombiniranega pakiranja;</w:t>
      </w:r>
    </w:p>
    <w:p w:rsidR="00CB4A82" w:rsidRDefault="00D5650D" w:rsidP="0000457C">
      <w:pPr>
        <w:pStyle w:val="muudetavtekst"/>
      </w:pPr>
      <w:r>
        <w:t xml:space="preserve">3. pokriva 30 % površin primarne embalaže in kakršnega koli kombiniranega pakiranja.“;</w:t>
      </w:r>
    </w:p>
    <w:p w:rsidR="00D5650D" w:rsidRDefault="00544F55" w:rsidP="0000457C">
      <w:pPr>
        <w:pStyle w:val="muutmisksk"/>
        <w:keepNext/>
        <w:keepLines/>
        <w:widowControl/>
      </w:pPr>
      <w:r>
        <w:rPr>
          <w:b/>
        </w:rPr>
        <w:t xml:space="preserve">10)</w:t>
      </w:r>
      <w:r>
        <w:t xml:space="preserve"> oddelek 27(1) se spremeni in se glasi:</w:t>
      </w:r>
    </w:p>
    <w:p w:rsidR="00D5650D" w:rsidRDefault="00D5650D" w:rsidP="0000457C">
      <w:pPr>
        <w:pStyle w:val="muutmisksk"/>
        <w:widowControl/>
      </w:pPr>
      <w:r>
        <w:t xml:space="preserve">„(1) Oseba, mlajša od 18 let (v nadaljnjem besedilu:</w:t>
      </w:r>
      <w:r>
        <w:t xml:space="preserve"> </w:t>
      </w:r>
      <w:r>
        <w:rPr>
          <w:i/>
        </w:rPr>
        <w:t xml:space="preserve">mladoletna oseba</w:t>
      </w:r>
      <w:r>
        <w:t xml:space="preserve">) ne sme kaditi ali uporabljati tobačnega izdelka ali izdelka, ki se uporablja na enak način kot tobačni izdelki.“;</w:t>
      </w:r>
    </w:p>
    <w:p w:rsidR="00D5650D" w:rsidRDefault="00544F55" w:rsidP="0000457C">
      <w:pPr>
        <w:pStyle w:val="muutmisksk"/>
        <w:keepNext/>
        <w:keepLines/>
        <w:widowControl/>
      </w:pPr>
      <w:r>
        <w:rPr>
          <w:b/>
        </w:rPr>
        <w:t xml:space="preserve">11)</w:t>
      </w:r>
      <w:r>
        <w:t xml:space="preserve"> oddelek 29(2) se spremeni in se glasi:</w:t>
      </w:r>
    </w:p>
    <w:p w:rsidR="00D5650D" w:rsidRDefault="001B35A3" w:rsidP="0000457C">
      <w:pPr>
        <w:pStyle w:val="muutmisksk"/>
        <w:widowControl/>
      </w:pPr>
      <w:r>
        <w:t xml:space="preserve">„(2) Prepoved, določena v odstavku 1 tega oddelka, se uporablja za elektronske cigarete in ogrevane tobačne izdelke, točki 1 in 2 odstavka 1 pa tudi za druge izdelke, ki se uporabljajo na enak način kot tobačni izdelki.“;</w:t>
      </w:r>
    </w:p>
    <w:p w:rsidR="00D5650D" w:rsidRDefault="00544F55" w:rsidP="0000457C">
      <w:pPr>
        <w:pStyle w:val="muutmisksk"/>
        <w:keepNext/>
        <w:keepLines/>
        <w:widowControl/>
      </w:pPr>
      <w:r>
        <w:rPr>
          <w:b/>
        </w:rPr>
        <w:t xml:space="preserve">12)</w:t>
      </w:r>
      <w:r>
        <w:t xml:space="preserve"> oddelek 30(5) se spremeni in se glasi:</w:t>
      </w:r>
    </w:p>
    <w:p w:rsidR="00D5650D" w:rsidRDefault="009F6B90" w:rsidP="0000457C">
      <w:pPr>
        <w:pStyle w:val="muutmisksk"/>
        <w:widowControl/>
      </w:pPr>
      <w:r>
        <w:t xml:space="preserve">„(5) Omejitve, določene v odstavku 2 tega oddelka, se uporabljajo tudi za uživanje elektronskih cigaret in ogrevanih tobačnih izdelkov.“;</w:t>
      </w:r>
    </w:p>
    <w:p w:rsidR="00C3258B" w:rsidRDefault="00544F55" w:rsidP="0000457C">
      <w:pPr>
        <w:pStyle w:val="muutmisksk"/>
        <w:keepNext/>
        <w:keepLines/>
        <w:widowControl/>
      </w:pPr>
      <w:r>
        <w:rPr>
          <w:b/>
        </w:rPr>
        <w:t xml:space="preserve">13)</w:t>
      </w:r>
      <w:r>
        <w:t xml:space="preserve"> oddelek 31 se spremeni in se glasi:</w:t>
      </w:r>
    </w:p>
    <w:p w:rsidR="00C3258B" w:rsidRPr="00C3258B" w:rsidRDefault="00C3258B" w:rsidP="0000457C">
      <w:pPr>
        <w:pStyle w:val="muutmisksk"/>
        <w:widowControl/>
        <w:rPr>
          <w:b/>
        </w:rPr>
      </w:pPr>
      <w:r>
        <w:t xml:space="preserve">„</w:t>
      </w:r>
      <w:r>
        <w:rPr>
          <w:b/>
        </w:rPr>
        <w:t xml:space="preserve">Oddelek 31.</w:t>
      </w:r>
      <w:r>
        <w:rPr>
          <w:b/>
        </w:rPr>
        <w:t xml:space="preserve"> </w:t>
      </w:r>
      <w:r>
        <w:rPr>
          <w:b/>
        </w:rPr>
        <w:t xml:space="preserve">Kajenje in uživanje ogrevanih tobačnih izdelkov v gostinskih obratih</w:t>
      </w:r>
    </w:p>
    <w:p w:rsidR="00C3258B" w:rsidRDefault="00C3258B" w:rsidP="0000457C">
      <w:pPr>
        <w:pStyle w:val="muutmisksk"/>
        <w:widowControl/>
      </w:pPr>
      <w:r>
        <w:t xml:space="preserve">(1) V gostinskih obratih sta kajenje in uživanje ogrevanih tobačnih izdelkov dovoljena samo v posebej določenih prostorih za kajenje (kadilnice) ali na terasah ali vrtovih, ki pripadajo gostinskemu obratu.</w:t>
      </w:r>
    </w:p>
    <w:p w:rsidR="00C3258B" w:rsidRDefault="00C3258B" w:rsidP="0000457C">
      <w:pPr>
        <w:pStyle w:val="muutmisksk"/>
        <w:widowControl/>
      </w:pPr>
      <w:r>
        <w:t xml:space="preserve">(2) V kadilnici iz odstavka 1 tega oddelka se ne sme streči hrane, ki jo gostinski obrat pripravi in postreže za uživanje v prostorih ali postreže za uživanje v prostorih.</w:t>
      </w:r>
    </w:p>
    <w:p w:rsidR="00C3258B" w:rsidRDefault="00C3258B" w:rsidP="0000457C">
      <w:pPr>
        <w:pStyle w:val="muutmisksk"/>
        <w:widowControl/>
      </w:pPr>
      <w:r>
        <w:t xml:space="preserve">(3) Prodajalec ima pravico zavrniti postrežbo osebi, ki ne upošteva prepovedi in omejitev kajenja in uživanja ogrevanih tobačnih izdelkov v gostinskem obratu, ter od nje zahtevati, da zapusti prostore.“;</w:t>
      </w:r>
    </w:p>
    <w:p w:rsidR="009F6B90" w:rsidRDefault="00C3258B" w:rsidP="0000457C">
      <w:pPr>
        <w:pStyle w:val="muutmisksk"/>
        <w:keepNext/>
        <w:keepLines/>
        <w:widowControl/>
      </w:pPr>
      <w:r>
        <w:rPr>
          <w:b/>
        </w:rPr>
        <w:t xml:space="preserve">14</w:t>
      </w:r>
      <w:r>
        <w:t xml:space="preserve">) besedilo oddelka 47 se spremeni in se glasi:</w:t>
      </w:r>
    </w:p>
    <w:p w:rsidR="009F6B90" w:rsidRDefault="009F6B90" w:rsidP="0000457C">
      <w:pPr>
        <w:pStyle w:val="muutmisksk"/>
        <w:widowControl/>
      </w:pPr>
      <w:r>
        <w:t xml:space="preserve">„Mladoletne osebe, ki kadijo ali uživajo tobačni izdelek ali izdelek, ki se uporablja na enak način kot tobačni izdelki, se kaznuje z globo do 10 kazenskih enot.“;</w:t>
      </w:r>
    </w:p>
    <w:p w:rsidR="009C5189" w:rsidRDefault="00C3258B" w:rsidP="0000457C">
      <w:pPr>
        <w:pStyle w:val="muutmisksk"/>
        <w:keepNext/>
        <w:keepLines/>
        <w:widowControl/>
      </w:pPr>
      <w:r>
        <w:rPr>
          <w:b/>
        </w:rPr>
        <w:t xml:space="preserve">15</w:t>
      </w:r>
      <w:r>
        <w:t xml:space="preserve">) besedilo oddelka 49 se spremeni in se glasi:</w:t>
      </w:r>
    </w:p>
    <w:p w:rsidR="009C5189" w:rsidRDefault="009C5189" w:rsidP="0000457C">
      <w:pPr>
        <w:pStyle w:val="muutmisksk"/>
        <w:widowControl/>
      </w:pPr>
      <w:r>
        <w:t xml:space="preserve">„Kajenje ali uživanje ogrevanega tobačnega izdelka ali izdelka, ki se uporablja na enak način kot tobačni izdelki, na mestu, kjer je kajenje ali uživanje ogrevanega tobačnega izdelka ali izdelka, ki se uporablja na enak način kot tobačni izdelki, prepovedano, se kaznuje z globo do 20 kazenskih enot.“;</w:t>
      </w:r>
    </w:p>
    <w:p w:rsidR="009C5189" w:rsidRDefault="00C3258B" w:rsidP="0000457C">
      <w:pPr>
        <w:pStyle w:val="muutmisksk"/>
        <w:keepNext/>
        <w:keepLines/>
        <w:widowControl/>
      </w:pPr>
      <w:r>
        <w:rPr>
          <w:b/>
        </w:rPr>
        <w:t xml:space="preserve">16)</w:t>
      </w:r>
      <w:r>
        <w:t xml:space="preserve"> oddelek 50(1) se spremeni in se glasi:</w:t>
      </w:r>
    </w:p>
    <w:p w:rsidR="009C5189" w:rsidRDefault="009C5189" w:rsidP="0000457C">
      <w:pPr>
        <w:pStyle w:val="muutmisksk"/>
        <w:widowControl/>
      </w:pPr>
      <w:r>
        <w:t xml:space="preserve">„(1) Omogočanje kajenja ali uživanja ogrevanega tobačnega izdelka ali izdelka, ki se uporablja na enak način kot tobačni izdelki, na mestu, kjer po zakonu kajenje ali uživanje ogrevanega tobačnega izdelka ali izdelka, ki se uporablja na enak način kot tobačni izdelki, ni dovoljeno, kot tudi kršitev zahtev za kadilnico, se kaznuje z globo do 200 kazenskih enot.“.</w:t>
      </w:r>
    </w:p>
    <w:p w:rsidR="000F1F61" w:rsidRDefault="000F1F61" w:rsidP="0000457C">
      <w:pPr>
        <w:pStyle w:val="muutmisksk"/>
        <w:widowControl/>
      </w:pPr>
      <w:r>
        <w:t xml:space="preserve">Predsednik estonskega parlamenta</w:t>
      </w:r>
    </w:p>
    <w:p w:rsidR="000F1F61" w:rsidRDefault="000F1F61" w:rsidP="0000457C">
      <w:pPr>
        <w:pStyle w:val="muutmisksk"/>
        <w:widowControl/>
      </w:pPr>
      <w:r>
        <w:t xml:space="preserve">Talin, ...........................</w:t>
      </w:r>
      <w:r>
        <w:t xml:space="preserve"> </w:t>
      </w:r>
      <w:r>
        <w:t xml:space="preserve">2019</w:t>
      </w:r>
    </w:p>
    <w:p w:rsidR="000F1F61" w:rsidRPr="000F1F61" w:rsidRDefault="000F1F61" w:rsidP="0000457C">
      <w:pPr>
        <w:pStyle w:val="muutmisksk"/>
        <w:widowControl/>
      </w:pPr>
      <w:r>
        <w:t xml:space="preserve">Na pobudo Vlade Republike dne.......................</w:t>
      </w:r>
      <w:r>
        <w:t xml:space="preserve"> </w:t>
      </w:r>
      <w:r>
        <w:t xml:space="preserve">2019</w:t>
      </w:r>
    </w:p>
    <w:p w:rsidR="000F1F61" w:rsidRPr="000F1F61" w:rsidRDefault="000F1F61" w:rsidP="0000457C">
      <w:pPr>
        <w:pStyle w:val="muutmisksk"/>
        <w:widowControl/>
      </w:pPr>
      <w:r>
        <w:t xml:space="preserve">Digitalni podpis</w:t>
      </w:r>
    </w:p>
    <w:sectPr w:rsidR="000F1F61" w:rsidRPr="000F1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8D1" w:rsidRDefault="004B08D1" w:rsidP="0000457C">
      <w:pPr>
        <w:spacing w:after="0" w:line="240" w:lineRule="auto"/>
      </w:pPr>
      <w:r>
        <w:separator/>
      </w:r>
    </w:p>
  </w:endnote>
  <w:endnote w:type="continuationSeparator" w:id="0">
    <w:p w:rsidR="004B08D1" w:rsidRDefault="004B08D1" w:rsidP="0000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8D1" w:rsidRDefault="004B08D1" w:rsidP="0000457C">
      <w:pPr>
        <w:spacing w:after="0" w:line="240" w:lineRule="auto"/>
      </w:pPr>
      <w:r>
        <w:separator/>
      </w:r>
    </w:p>
  </w:footnote>
  <w:footnote w:type="continuationSeparator" w:id="0">
    <w:p w:rsidR="004B08D1" w:rsidRDefault="004B08D1" w:rsidP="00004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9F"/>
    <w:rsid w:val="0000457C"/>
    <w:rsid w:val="00056899"/>
    <w:rsid w:val="000707A0"/>
    <w:rsid w:val="00083F9E"/>
    <w:rsid w:val="0009318D"/>
    <w:rsid w:val="000C419A"/>
    <w:rsid w:val="000F1F61"/>
    <w:rsid w:val="00117FE9"/>
    <w:rsid w:val="001A0F14"/>
    <w:rsid w:val="001B35A3"/>
    <w:rsid w:val="0028759C"/>
    <w:rsid w:val="00292FDA"/>
    <w:rsid w:val="002A4570"/>
    <w:rsid w:val="00302BE2"/>
    <w:rsid w:val="00316DFA"/>
    <w:rsid w:val="00342FCA"/>
    <w:rsid w:val="004371FC"/>
    <w:rsid w:val="004628AB"/>
    <w:rsid w:val="004A3CE7"/>
    <w:rsid w:val="004B08D1"/>
    <w:rsid w:val="004E2E5A"/>
    <w:rsid w:val="004F68F8"/>
    <w:rsid w:val="00544F55"/>
    <w:rsid w:val="00576D82"/>
    <w:rsid w:val="006405C9"/>
    <w:rsid w:val="006A413B"/>
    <w:rsid w:val="006F0FE1"/>
    <w:rsid w:val="00702706"/>
    <w:rsid w:val="0074406D"/>
    <w:rsid w:val="00762D57"/>
    <w:rsid w:val="00763AA4"/>
    <w:rsid w:val="00787AB4"/>
    <w:rsid w:val="007B3F29"/>
    <w:rsid w:val="007C37B1"/>
    <w:rsid w:val="00830A4B"/>
    <w:rsid w:val="008C30DF"/>
    <w:rsid w:val="008D1695"/>
    <w:rsid w:val="00917A01"/>
    <w:rsid w:val="00937BD8"/>
    <w:rsid w:val="00952903"/>
    <w:rsid w:val="00982C65"/>
    <w:rsid w:val="00986D51"/>
    <w:rsid w:val="009C5189"/>
    <w:rsid w:val="009F6B90"/>
    <w:rsid w:val="00A228FC"/>
    <w:rsid w:val="00A32CCA"/>
    <w:rsid w:val="00B0041E"/>
    <w:rsid w:val="00BC7517"/>
    <w:rsid w:val="00BD2AD3"/>
    <w:rsid w:val="00C3258B"/>
    <w:rsid w:val="00C57B18"/>
    <w:rsid w:val="00C71875"/>
    <w:rsid w:val="00C71CDF"/>
    <w:rsid w:val="00C74A67"/>
    <w:rsid w:val="00CB4A82"/>
    <w:rsid w:val="00CF6953"/>
    <w:rsid w:val="00D5650D"/>
    <w:rsid w:val="00DD0CD1"/>
    <w:rsid w:val="00DF1C9F"/>
    <w:rsid w:val="00E271A0"/>
    <w:rsid w:val="00E51B56"/>
    <w:rsid w:val="00E97C8D"/>
    <w:rsid w:val="00EA1E2C"/>
    <w:rsid w:val="00EB24C5"/>
    <w:rsid w:val="00F313F5"/>
    <w:rsid w:val="00F3659F"/>
    <w:rsid w:val="00F44C04"/>
    <w:rsid w:val="00F7405A"/>
    <w:rsid w:val="00F757D9"/>
    <w:rsid w:val="00FA49AA"/>
    <w:rsid w:val="00FB29EC"/>
    <w:rsid w:val="00FB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sl-SI"/>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en-GB"/>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9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6125-29F7-4644-A7B1-F9BE3CAF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822</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Sarapuu</dc:creator>
  <cp:keywords/>
  <dc:description/>
  <cp:lastModifiedBy>DA</cp:lastModifiedBy>
  <cp:revision>3</cp:revision>
  <cp:lastPrinted>2019-03-26T14:28:00Z</cp:lastPrinted>
  <dcterms:created xsi:type="dcterms:W3CDTF">2019-06-14T14:56:00Z</dcterms:created>
  <dcterms:modified xsi:type="dcterms:W3CDTF">2019-06-18T12:34:00Z</dcterms:modified>
</cp:coreProperties>
</file>