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DA- ------ 20200812 --- --- PROJET</w:t>
      </w:r>
    </w:p>
    <w:p w14:paraId="5AB4C723" w14:textId="5E46F097" w:rsidR="007104F8" w:rsidRPr="008E1574" w:rsidRDefault="007104F8" w:rsidP="00206537">
      <w:pPr>
        <w:keepNext/>
        <w:keepLines/>
        <w:jc w:val="center"/>
        <w:rPr>
          <w:b/>
          <w:sz w:val="32"/>
          <w:szCs w:val="32"/>
        </w:rPr>
      </w:pPr>
      <w:r>
        <w:rPr>
          <w:b/>
          <w:sz w:val="32"/>
          <w:szCs w:val="32"/>
        </w:rPr>
        <w:t>Forslag til lov om reduktion af indvirkningen af visse plastprodukter på miljøet</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Artikel 1. Formål</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Formålet med denne lov er at forebygge og reducere visse plastprodukters miljøpåvirkning, især påvirkning af vandmiljøet, og påvirkning af menneskers sundhed samt at fremme omstillingen til en cirkulær økonomi med innovative og bæredygtige forretningsmodeller, produkter og materialer, hvilket også vil bidrage til det indre markeds effektive funktion.</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2. Anvendelsesområde</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Denne lov finder anvendelse på de i bilaget anførte engangsplastprodukter, på produkter fremstillet af oxonedbrydelig plast og på fiskeredskaber, der indeholder plast.</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Den udgør en særlov i forhold til den ændrede lov af 21. marts 2012 om affald og ressourcer, i det efterfølgende benævnt "lov af 21. marts 2012", og den ændrede lov af 21. marts 2017 om emballage og emballageaffald.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3. Definitioner</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 denne lov forstås ved: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"udtjent fiskeredskab": ethvert fiskeredskab, der er omfattet af definitionen af affald i artikel 4 i lov af 21. marts 2012, herunder alle særskilte komponenter, stoffer eller materialer, der var en del af eller fastgjort på et sådant fiskeredskab, da det blev kasseret, herunder da det blev efterladt eller tabt</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"emballage": emballage som defineret i artikel 3 i den ændrede lov af 21. marts 2017 om emballage og emballageaffald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"fiskeredskab": enhver genstand eller udstyrsdel, der anvendes til fiskeri eller akvakultur, til at spore, fange eller opdrætte marine biologiske ressourcer, eller som flyder på havfladen og benyttes med det formål at tillokke, fange eller opdrætte sådanne marine biologiske ressourcer</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"tilgængeliggørelse på markedet": levering af et produkt med henblik på distribution, forbrug eller anvendelse på det luxembourgske marked som led i erhvervsvirksomhed hvad enten det sker mod eller uden vederlag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"markedsføring": første tilgængeliggørelse af et produkt på det luxembourgske marked</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"harmoniseret standard": en harmoniseret standard som defineret i artikel 2, nr. 1), litra c), i forordning (EU) nr.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7) "plast": et materiale bestående af en polymer som defineret i artikel 3, nr. 5), i forordning (EF) nr. 1907/2006, hvortil der kan være tilsat tilsætningsstoffer eller andre stoffer, og som kan fungere som strukturel hovedbestanddel i slutprodukter, herunder polymerbaserede gummiprodukter og biobaserede eller bionedbrydelige plasttyper, uanset om de er afledt af biomasse eller er beregnet til biologisk nedbrydning over tid.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Denne definition udelukker naturlige polymerer, der ikke er kemisk modificerede</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"bionedbrydelig plast": et plastmateriale, der kan undergå fysisk, biologisk nedbrydning, således at det i sidste ende nedbrydes til kuldioxid (CO</w:t>
      </w:r>
      <w:r>
        <w:rPr>
          <w:rFonts w:asciiTheme="minorHAnsi" w:hAnsiTheme="minorHAnsi"/>
          <w:b w:val="0"/>
          <w:sz w:val="24"/>
          <w:szCs w:val="24"/>
          <w:vertAlign w:val="subscript"/>
        </w:rPr>
        <w:t>2</w:t>
      </w:r>
      <w:r>
        <w:rPr>
          <w:rFonts w:asciiTheme="minorHAnsi" w:hAnsiTheme="minorHAnsi"/>
          <w:b w:val="0"/>
          <w:sz w:val="24"/>
          <w:szCs w:val="24"/>
        </w:rPr>
        <w:t>), biomasse og vand og er i overensstemmelse med europæiske standarder for emballage, der kan genanvendes via kompostering og anaerob nedbrydning</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"oxonedbrydelig plast": plastmaterialer, der indeholder tilsætningsstoffer, som gennem tilførsel af ilt fører til fragmentering af plastmaterialet til mikrofragmenter eller til kemisk nedbrydning</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"tobaksvarer": tobaksvarer som defineret i artikel 2, nr. 1, litra a) i den ændrede lov af 11. august 2006 om tobakskontrol</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"engangsplastprodukt": et produkt, der er helt eller delvist fremstillet af plast, og som ikke er udtænkt, designet eller markedsført med henblik på i sin levetid at gennemgå et antal ture eller cyklusser ved at blive returneret til en producent til genpåfyldning eller genbrug til det samme formål, som det det blev udtænkt til.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Definitionerne af "affald", "indsamling", "særskilt indsamling", "behandling", "produktproducent" og "ordning for udvidet producentansvar" i artikel 4 i den ændrede lov af 21. marts 2012 finder anvendelse.</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4. Forbrugsreduktion</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Produktproducenterne træffer foranstaltninger, som fører til en målelig kvantitativ reduktion af forbruget af engangsplastprodukter opført i del A i bilaget senest i 2026 i forhold til 2022. Denne reduktion skal for den pågældende periode være mindst 20 % i forhold til de markedsførte enheder. Fra den 1. januar 2026 skal der hvert år opnås en reduktion på mindst 10 % i forhold til de markedsførte mængder det foregående år. Produktproducenterne skal pålægge et organ, som er godkendt i henhold til artikel 19 i lov af 21. marts 2012, at sikre opfyldelsen af denne forpligtelse.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Ministeren, der har miljø blandt sine beføjelser, i det efterfølgende benævnt "ministeren", sikrer samordningen af de nødvendige foranstaltninger for at opnå en ambitiøs og varig reduktion af forbruget af engangsplastprodukter opført i del A i bilaget i overensstemmelse med de overordnede mål for Unionens affaldspolitik, navnlig affaldsforebyggelse, som fører til en betydelig ændring i de øgede forbrugstendenser.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Miljøforvaltningen overvåger engangsplastprodukter opført i del A i bilaget, som markedsføres, og de reduktionsforanstaltninger, som træffes.</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I dette øjemed oplyser det godkendte organ i årsrapporten omhandlet i artikel 35 i lov af 21. marts 2012, hvor store mængder engangsplastprodukter som opført i bilaget, del A, der er gjort tilgængelige på markedet det foregående år.</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5. Restriktioner for markedsføring</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Det er forbudt at markedsføre engangsplastprodukter opført i del B i bilaget og produkter fremstillet af oxonedbrydelig plast.</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6. Produktkrav</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Engangsplastprodukter opført i del C i bilaget, som har kapsler og låg fremstillet af plast, må kun markedsføres, hvis kapslerne og lågene forbliver fastgjort til beholderne under produktets planlagte brugsfase.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Kapsler eller låg af metal med plastplombering anses ikke for at være fremstillet af plast.</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Med hensyn til drikkeflasker som opført i del F gælder følgende krav: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drikkeflasker opført i del F i bilaget, der er fremstillet af polyethylenterephtalat som den primære komponent ("PET-flasker"), indeholder fra 2025 mindst 25 % genanvendt plast, beregnet som et gennemsnit for alle PET-flasker, der markedsføres </w:t>
      </w:r>
      <w:bookmarkStart w:id="1" w:name="_Hlk25242138"/>
      <w:r>
        <w:rPr>
          <w:rFonts w:asciiTheme="minorHAnsi" w:hAnsiTheme="minorHAnsi"/>
          <w:b w:val="0"/>
          <w:sz w:val="24"/>
          <w:szCs w:val="24"/>
        </w:rPr>
        <w:t>af samme producent</w:t>
      </w:r>
      <w:bookmarkEnd w:id="1"/>
      <w:r>
        <w:rPr>
          <w:rFonts w:asciiTheme="minorHAnsi" w:hAnsiTheme="minorHAnsi"/>
          <w:b w:val="0"/>
          <w:sz w:val="24"/>
          <w:szCs w:val="24"/>
        </w:rPr>
        <w:t>, og</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drikkeflasker opført i del F i bilaget indeholder fra 2030 mindst 30 % genanvendt plast, beregnet som et gennemsnit for alle sådanne drikkeflasker, der markedsføres af samme producent.</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I dette øjemed oplyser det organ, der er godkendt i overensstemmelse med artikel 19 i lov af 21. marts 2012, i årsrapporten omhandlet i artikel 35 i samme lov, hvor store mængder PET-flasker der er gjort tilgængelige på markedet det foregående år, og gennemsnitsprocenten af genanvendt plast i disse flasker. I mangel af en EU-gennemførelsesretsakt fastsættes reglerne for beregning og verifikation af målene af miljøforvaltningen.</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Artikel 7. Mærkningskrav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Alle markedsførte engangsplastprodukter opført i del D i bilaget skal have en synlig, klart læselig og uudslettelig mærkning på emballagen eller på selve produktet, der oplyser forbrugerne om følgende:</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hensigtsmæssige affaldshåndteringsmuligheder for produktet eller affaldsbortskaffelsesmetoder, der skal undgås for det pågældende produkt i overensstemmelse med affaldshierarkiet, og</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lastRenderedPageBreak/>
        <w:t>2) tilstedeværelsen af plast i produktet og den deraf følgende negative miljøpåvirkning fra henkastet affald eller andre uhensigtsmæssige former for affaldsbortskaffelse af produktet.</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Bestemmelserne i denne artikel vedrørende tobaksvarer supplerer bestemmelserne i den ændrede lov af 11. august 2006 om tobakskontrol.</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8. Udvidet producentansvar</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Der udarbejdes ordninger for udvidet producentansvar for alle engangsplastprodukter opført i del E i bilaget og for fiskeredskaber, der indeholder plast, i henhold til de relevante bestemmelser i lov af 21. marts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Producenterne af engangsplastprodukter opført i afsnit I i del E i bilaget afholder omkostningerne i henhold til bestemmelserne om det udvidede producentansvar i lov af 21. marts 2012 og lov af 21. marts 2017 om emballage og emballageaffald og afholder følgende omkostninger, hvis de ikke allerede indgår: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omkostningerne ved bevidstgørelsesforanstaltninger, der er omhandlet i artikel 10, vedrørende disse produkter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omkostningerne ved indsamling af affald fra disse produkter, der overleveres til offentlige indsamlingssystemer, herunder infrastrukturen og driften heraf, og den efterfølgende transport og behandling af nævnte affald, og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omkostningerne ved oprydning af henkastet affald, som forårsages af disse produkter, og den efterfølgende transport og behandling af dette henkastede affald.</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Producenterne af engangsplastprodukter opført i afsnit II </w:t>
      </w:r>
      <w:bookmarkEnd w:id="2"/>
      <w:r>
        <w:rPr>
          <w:rFonts w:asciiTheme="minorHAnsi" w:hAnsiTheme="minorHAnsi"/>
          <w:b w:val="0"/>
          <w:sz w:val="24"/>
          <w:szCs w:val="24"/>
        </w:rPr>
        <w:t>og III i del E i bilaget afholder som minimum følgende omkostninger</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omkostningerne ved de bevidstgørelsesforanstaltninger, der er omhandlet i artikel 10, vedrørende disse produkter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omkostningerne ved oprydning af henkastet affald forårsaget af disse produkter, og den efterfølgende transport og behandling af dette henkastede affald, og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omkostningerne ved indsamling og rapportering af data i overensstemmelse med artikel 19 i lov af 21. marts 2012. </w:t>
      </w:r>
    </w:p>
    <w:p w14:paraId="023DC410" w14:textId="77777777" w:rsidR="007104F8" w:rsidRPr="00725895"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725895">
        <w:rPr>
          <w:rFonts w:asciiTheme="minorHAnsi" w:hAnsiTheme="minorHAnsi"/>
          <w:b w:val="0"/>
          <w:spacing w:val="-4"/>
          <w:sz w:val="24"/>
          <w:szCs w:val="24"/>
        </w:rPr>
        <w:t>Med henvisning til engangsplastprodukter opført i afsnit III i del E i bilaget afholder produktproducenterne desuden omkostningerne ved indsamling af affald fra disse produkter, der overleveres til offentlige indsamlingssystemer, herunder infrastrukturen og driften heraf, og den efterfølgende transport og behandling af nævnte affald. Omkostningerne omfatter oprettelse af en specifik infrastruktur for indsamling af affald fra disse produkter såsom passende affaldsbeholdere på steder, hvor der typisk smides affald.</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4. Producenterne af engangsplastprodukter opført i afsnit III i del E skal træffe de fornødne foranstaltninger til at forebygge, at disse produkter, der er blevet til affald, efterlades, kasseres eller håndteres på en ukontrolleret måde.</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Fra den 1. januar 2024 skal der hvert år opnås en reduktion på mindst 10 % i forhold til de kasserede mængder det foregående år. Den kompetente forvaltning udarbejder og offentliggør metoder til kvantificering af de kasserede mængder og verifikation af reduktionen.</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De omkostninger, der skal afholdes, jf. stk. 2 og 3, må ikke være højere, end hvad der er nødvendigt for, at de tjenester, der er omhandlet deri, kan leveres på en omkostningseffektiv måde, og skal fastsættes på gennemsigtig vis mellem de berørte aktører. Omkostningerne ved oprydning af henkastet affald begrænses til aktiviteter iværksat af de offentlige myndigheder eller på deres vegne. Beregningsmetoden udvikles på en måde, der gør det muligt at fastlægge omkostningerne ved oprydning af henkastet affald på en forholdsmæssig måde. For at minimere de administrative omkostninger kan der fastsættes finansielle bidrag til oprydning af henkastet affald ved at fastsætte passende flerårige faste beløb.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En produktproducent, der er etableret i en anden EU-medlemsstat, men markedsfører produkter på det luxembourgske marked, har tilladelse til at udpege en juridisk eller fysisk person, der er etableret på det nationale område eller i en anden medlemsstat, som bemyndiget repræsentant med henblik på opfyldelsen af producentens forpligtelser under ordninger for udvidet producentansvar.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Enhver producent, der er etableret i Storhertugdømmet Luxembourg, og som sælger engangsplastprodukter, der er opført i del E i bilaget, og fiskeredskaber, der indeholder plast, i en anden EU-medlemsstat, hvor den ikke er etableret, skal udnævne en bemyndiget repræsentant i den pågældende anden EU-medlemsstat. Den bemyndigede repræsentant er den person, der er ansvarlig for opfyldelsen af de forpligtelser, der påhviler denne producent i henhold til denne lov på den pågældende anden EU-medlemsstats område.</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Med hensyn til ordningerne for udvidet producentansvar for fiskeredskaber, der indeholder plast, skal producenterne af fiskeredskaber, der indeholder plast, afholde omkostningerne ved den særskilte indsamling af udtjente fiskeredskaber, der indeholder plast, og som er blevet leveret til et specifikt indsamlingssystem samt omkostningerne ved den efterfølgende transport og behandling.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Producenterne skal også afholde omkostningerne ved de i artikel 10 omhandlede bevidstgørelsesforanstaltninger vedrørende fiskeredskaber, der indeholder plast.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9. Særskilt indsamling</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Med henblik på genanvendelse skal den mængde affald af engangsplastprodukter opført i del F i bilaget, der indsamles særskilt: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a) senest i 2025 svare til </w:t>
      </w:r>
      <w:bookmarkStart w:id="4" w:name="_Hlk25246527"/>
      <w:r>
        <w:rPr>
          <w:rFonts w:asciiTheme="minorHAnsi" w:hAnsiTheme="minorHAnsi"/>
          <w:b w:val="0"/>
          <w:sz w:val="24"/>
          <w:szCs w:val="24"/>
        </w:rPr>
        <w:t>77 % af den samlede mængde affald af disse produkter, der produceres i et givet år efter vægt, herunder som henkastet affald</w:t>
      </w:r>
      <w:bookmarkEnd w:id="4"/>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senest i 2029 svare til 90 % af den samlede mængde af affald af disse produkter, der produceres i et givet år efter vægt, herunder som henkastet affald.</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10. Bevidstgørelsesforanstaltninger</w:t>
      </w:r>
    </w:p>
    <w:p w14:paraId="148EAE36" w14:textId="77777777" w:rsidR="007104F8" w:rsidRPr="00725895" w:rsidRDefault="007104F8" w:rsidP="007104F8">
      <w:pPr>
        <w:pStyle w:val="Article"/>
        <w:numPr>
          <w:ilvl w:val="0"/>
          <w:numId w:val="0"/>
        </w:numPr>
        <w:spacing w:before="240"/>
        <w:rPr>
          <w:rFonts w:asciiTheme="minorHAnsi" w:hAnsiTheme="minorHAnsi" w:cs="TimesNewRoman"/>
          <w:b w:val="0"/>
          <w:spacing w:val="-4"/>
          <w:sz w:val="24"/>
          <w:szCs w:val="24"/>
        </w:rPr>
      </w:pPr>
      <w:r w:rsidRPr="00725895">
        <w:rPr>
          <w:rFonts w:asciiTheme="minorHAnsi" w:hAnsiTheme="minorHAnsi"/>
          <w:b w:val="0"/>
          <w:spacing w:val="-4"/>
          <w:sz w:val="24"/>
          <w:szCs w:val="24"/>
        </w:rPr>
        <w:t xml:space="preserve">Miljøforvaltningen og vandressourceforvaltningen sørger hver på sit område for at oplyse forbrugerne og fremme ansvarlig forbrugeradfærd med henblik på at reducere henkastet affald fra produkter, der er omfattet af denne lov, og sørger for at oplyse forbrugere af engangsplastprodukter opført i del G i bilaget og brugere af fiskeredskaber, der indeholder plast, om følgende: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tilgængelige genbrugelige alternativer, genbrugssystemer og affaldshåndteringsmuligheder for disse engangsplastprodukter og for fiskeredskaber, der indeholder plast, samt bedste praksis for forsvarlig affaldshåndtering i henhold til artikel 10 i lov af 21. marts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den miljøbelastning, navnlig på havmiljøet, som henkastet affald og anden uhensigtsmæssig affaldsbortskaffelse af disse engangsplastprodukter og fiskeredskaber, der indeholder plast, medfører, og</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konsekvenserne af uhensigtsmæssige former for affaldsbortskaffelse af disse engangsplastprodukter for kloaknettet.</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11. Koordinering af foranstaltninger</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Med forbehold for denne lovs artikel 4, stk. 1, første afsnit, udgør foranstaltninger i henhold til denne lov en integrerende del af og er i overensstemmelse med de indsatsprogrammer, der er fastsat i henhold til den ændrede lov af 19. december 2008 om vand, og affaldshåndteringsplaner og affaldsforebyggelsesprogrammer, der er fastsat i henhold til lov af 21. marts 2012.</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De foranstaltninger, som træffes i artikel 4 til 9, skal overholde fødevarebestemmelserne for at sikre, at fødevarehygiejne og fødevaresikkerhed ikke kompromitteres.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Miljøforvaltningen og sundhedsstyrelsen opfordrer hver på sit område til brug af bæredygtige alternativer til engangsplast for materialer bestemt til kontakt med fødevarer.</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12. Specifikationer og retningslinjer om engangsplastprodukter</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For at afgøre om en fødevarebeholder skal betragtes som et engangsplastprodukt med henblik på denne lov, spiller det, i tillæg til kriterierne i bilaget for så vidt angår fødevarebeholdere, en afgørende rolle, hvor hyppigt den henkastes på grund af sin volumen eller størrelse, navnlig engangsportioner.</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Artikel 13. Administrative foranstaltninger</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Ved manglende overholdelse af bestemmelserne i artikel 5, artikel 6, stk. 1 og stk. 2, nr. 1 og 2, artikel 7 og artikel 9 kan ministeren: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give producenten eller det godkendte organ en frist på højst to år til at efterkomme disse bestemmelser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kræve suspension af hele eller dele af producentens aktivitet eller af virksomhedens drift som en midlertidig foranstaltning eller kræve hel eller delvis lukning af virksomheden og forsegle adgangen.</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Interessenter kan anmode om anvendelse af foranstaltningerne i stk.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Foranstaltningerne i stk. 1 ophæves, når producenten eller det godkendte organ har bragt forholdene i orden.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Artikel 14. Særlige bestemmelser</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Følgende bestemmelser i lov af 21. marts 2012 finder anvendelse:</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artikel 44, 45 og 46 vedrørende undersøgelse og påvisning af overtrædelser, kontrolmyndighed og -beføjelser og</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artikel 50, stk. 2, vedrørende godkendte miljøforeningers adgang til retslige procedurer.</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Artikel 15. Bilag</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Bilaget kan ændres ved storhertugelig forskrift med henblik på at tilpasse det udviklingen i EU-lovgivningen på området.</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16. Strafferetlige sanktioner</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Der idømmes otte dages til tre års fængselsstraf og en bøde på 251 til 750 000 EUR eller blot én af disse straffe ved overtrædelse af artikel 5, artikel 6, stk. 1, første afsnit, og stk. 2, nr. 1 og 2, artikel 7, stk. 1, artikel 8, stk. 4, og artikel 9.</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Samme sanktioner finder anvendelse ved hindring eller manglende overholdelse af de administrative foranstaltninger i henhold til artikel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17. Administrative bøder</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Ministeren kan pålægge en administrativ bøde på 250 til 10 000 EUR for overtrædelse af artikel 4, stk. 4, og artikel 6, stk. 2, andet afsnit.</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Bøderne skal betales senest to måneder efter skriftlig meddelelse om afgørelsen.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Administrative bøder indbetales til forvaltningen for registrering, ejendom og moms. Opkrævning finder sted som for registreringsafgifter.</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18. Klageadgang</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Der er klageadgang for omgørelse af afgørelser i henhold til denne lov ved den administrative domstol. Klager skal indgives senest 40 dage efter meddelelsen om afgørelsen, ellers fortabes retten.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19. Ikrafttræden</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Denne lov træder i kraft den 3. juli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Imidlertid træder bestemmelserne i artikel 6, stk. 1, først i kraft den 3. juli 2024, og bestemmelserne i artikel 8 træder i kraft den 31. december 2026, med undtagelse af engangsplastprodukter opført i bilagets del E, afsnit III, for hvilke de træder i kraft den 5. januar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Bilag</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Engangsplastprodukter, der er omfattet af artikel 4 om forbrugsreduktion</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Drikkebægre, herunder kapsler og låg til disse</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Fødevarebeholdere, dvs. beholdere såsom æsker, med eller uden låg, til fødevarer, som:</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er beregnet til umiddelbar fortæring enten på salgsstedet eller som takeaway</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typisk fortæres fra beholderen</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er klar til at blive fortæret uden yderligere tilberedning såsom stegning, kogning eller opvarmning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herunder fødevarebeholdere, der anvendes til fastfood, eller andre måltider, som er klar til umiddelbar fortæring, undtagen drikkevarebeholdere, tallerkener og indpakningsposer og -folier indeholdende fødevarer.</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DEL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Engangsplastprodukter, der er omfattet af artikel 5 om restriktioner for markedsføring</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Vatpinde, undtagen hvis de er omfattet af Rådets direktiv 90/385/EØF</w:t>
      </w:r>
      <w:r>
        <w:rPr>
          <w:rStyle w:val="FootnoteReference"/>
          <w:rFonts w:cs="TimesNewRoman"/>
          <w:sz w:val="24"/>
          <w:szCs w:val="24"/>
          <w:lang w:val="fr-LU" w:eastAsia="fr-BE"/>
        </w:rPr>
        <w:footnoteReference w:id="1"/>
      </w:r>
      <w:r>
        <w:rPr>
          <w:sz w:val="24"/>
          <w:szCs w:val="24"/>
        </w:rPr>
        <w:t xml:space="preserve"> eller Rådets direktiv 93/42/EØF</w:t>
      </w:r>
      <w:r>
        <w:rPr>
          <w:rStyle w:val="FootnoteReference"/>
          <w:rFonts w:cs="TimesNewRoman"/>
          <w:sz w:val="24"/>
          <w:szCs w:val="24"/>
          <w:lang w:val="fr-LU" w:eastAsia="fr-BE"/>
        </w:rPr>
        <w:footnoteReference w:id="2"/>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Bestik (gafler, knive, skeer og spisepinde)</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Tallerkener</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Sugerør, undtagen hvis de er omfattet af direktiv 90/385/EØF eller direktiv 93/42/EØF</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Rørepinde til drikkevarer</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Pinde bestemt til at blive fastgjort til og understøtte balloner, undtagen balloner til industriel eller anden erhvervsmæssig anvendelse samt anvendelser, der ikke distribueres til forbrugere, herunder mekanismerne til sådanne pinde</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Fødevarebeholdere af ekspanderet polystyren, dvs. beholdere såsom æsker, med eller uden låg, til fødevarer, som:</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er beregnet til umiddelbar fortæring enten på salgsstedet eller som takeaway</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typisk fortæres fra beholderen</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er klar til at blive fortæret uden yderligere tilberedning såsom stegning, kogning eller opvarmning</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herunder fødevarebeholdere, der anvendes til fastfood, eller andre måltider, som er klar til umiddelbar fortæring, undtagen drikkevarebeholdere, tallerkener og indpakningsposer og -folier indeholdende fødevarer</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Drikkevarebeholdere af ekspanderet polystyren, herunder kapsler og låg til disse</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Drikkebægre af ekspanderet polystyren, herunder kapsler og låg til disse.</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DEL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Engangsplastprodukter, der er omfattet af artikel 6, stk. 1, om produktkrav</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Drikkevarebeholdere med en kapacitet på op til tre liter, dvs. beholdere, der anvendes til at indeholde en væske, såsom drikkeflasker, herunder kapsler og låg til disse, og kompositemballage til drikkevarer, herunder kapsler og låg til disse, men ikke:</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drikkevarebeholdere af glas eller metal, der har kapsler og låg af plast</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drikkevarebeholdere, der er beregnet og anvendes til fødevarer til særlige medicinske formål som defineret i artikel 2, litra g), i Europa-Parlamentets og Rådets forordning (EU) nr. 609/2013</w:t>
      </w:r>
      <w:r>
        <w:rPr>
          <w:rStyle w:val="FootnoteReference"/>
          <w:rFonts w:cs="TimesNewRoman"/>
          <w:sz w:val="24"/>
          <w:szCs w:val="24"/>
          <w:lang w:val="fr-LU" w:eastAsia="fr-BE"/>
        </w:rPr>
        <w:footnoteReference w:id="3"/>
      </w:r>
      <w:r>
        <w:rPr>
          <w:sz w:val="24"/>
          <w:szCs w:val="24"/>
        </w:rPr>
        <w:t>, som er i flydende form.</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Engangsplastprodukter, der er omfattet af artikel 7 om mærkningskrav</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Hygiejnebind, tamponer og indføringshylstre til tamponer</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Vådservietter, dvs. forvædede servietter til personlig pleje og husholdningsbrug</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Tobaksvarer med filtre og filtre, som markedsføres til anvendelse i kombination med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tobaksvarer</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Drikkebægre.</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Engangsplastprodukter, der er omfattet af artikel 8 om udvidet producentansvar</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Fødevarebeholdere, dvs. beholdere såsom æsker, med eller uden låg, til fødevarer, som:</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er beregnet til umiddelbar fortæring enten på salgsstedet eller som takeaway</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typisk fortæres fra beholderen</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er klar til at blive fortæret uden yderligere tilberedning såsom stegning, kogning eller opvarmning</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herunder fødevarebeholdere, der anvendes til fastfood, eller andre måltider, som er klar til umiddelbar fortæring, undtagen drikkevarebeholdere, tallerkener og indpakningsposer og -folier indeholdende fødevarer</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Indpakningsposer og -folier, der er fremstillet af fleksibelt materiale indeholdende fødevarer, der er beregnet til umiddelbar fortæring fra indpakningsposen eller -folien uden yderligere tilberedning</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Drikkevarebeholdere med en kapacitet på op til tre liter, dvs. beholdere, der anvendes til at indeholde en væske, såsom drikkeflasker, herunder kapsler og låg til disse, og kompositemballage til drikkevarer, herunder kapsler og låg til disse, men ikke drikkevarebeholder af glas eller metal, der har kapsler og låg af plast</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Drikkebægre, herunder kapsler og låg til disse</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Letvægtsplastbæreposer som defineret i artikel 3, nr. 1c), i direktiv 94/62/EF.</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II. Engangsplastprodukter, der er omfattet af artikel 8, stk. 3, om udvidet producentansvar</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Vådservietter, dvs. forvædede servietter til personlig pleje og husholdningsbrug</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Balloner, undtagen balloner til industriel eller anden erhvervsmæssig brug og anvendelser, der ikke distribueres til forbrugere.</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Andre engangsplastprodukter, der er omfattet af artikel 8, stk. 3, om udvidet producentansvar</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Tobaksvarer med filtre og filtre, som markedsføres til anvendelse i kombination med tobaksvarer.</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Engangsplastprodukter, der er omfattet af artikel 9 om særskilt indsamling og af artikel 6, stk. 2, om produktkrav</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Drikkeflasker med en kapacitet på op til tre liter, herunder kapsler og låg til disse, dog ikke:</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drikkeflasker af glas eller metal med kapsler og låg af plast</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drikkeflasker, der er beregnet og anvendes til fødevarer til særlige medicinske formål som defineret i artikel 2, litra g), i forordning (EU) nr. 609/2013, der er i flydende form.</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Engangsplastprodukter, der er omfattet af artikel 10 om bevidstgørelsesforanstaltninger</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Fødevarebeholdere, dvs. beholdere såsom æsker, med eller uden låg, til fødevarer, som:</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er beregnet til umiddelbar fortæring enten på salgsstedet eller som takeaway</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lastRenderedPageBreak/>
        <w:t>b) typisk fortæres fra beholderen</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er klar til at blive fortæret uden yderligere tilberedning såsom stegning, kogning eller opvarmning</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herunder fødevarebeholdere, der anvendes til fastfood, eller andre måltider, som er klar til umiddelbar fortæring, undtagen drikkevarebeholdere, tallerkener og indpakningsposer og -folier indeholdende fødevarer</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Indpakningsposer og -folier, der er fremstillet af fleksibelt materiale indeholdende fødevarer, der er beregnet til umiddelbar fortæring fra indpakningsposen eller -folien uden yderligere tilberedning</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Drikkevarebeholdere med en kapacitet på op til tre liter, dvs. beholdere, der anvendes til at indeholde en væske, såsom drikkeflasker, herunder kapsler og låg til disse, og kompositemballage til drikkevarer, herunder kapsler og låg til disse, men ikke drikkevarebeholder af glas eller metal, der har kapsler og låg af plast</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Drikkebægre, herunder kapsler og låg til disse</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Tobaksvarer med filtre og filtre, som markedsføres til anvendelse i kombination med tobaksvarer</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Vådservietter, dvs. forvædede servietter til personlig pleje og husholdningsbrug</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Balloner, undtagen balloner til industriel eller anden erhvervsmæssig brug og anvendelser, der ikke distribueres til forbrugere</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Letvægtsplastbæreposer som defineret i artikel 3, nr. 1</w:t>
      </w:r>
      <w:r>
        <w:rPr>
          <w:i/>
          <w:sz w:val="24"/>
          <w:szCs w:val="24"/>
        </w:rPr>
        <w:t>c</w:t>
      </w:r>
      <w:r>
        <w:rPr>
          <w:sz w:val="24"/>
          <w:szCs w:val="24"/>
        </w:rPr>
        <w:t>), i direktiv 94/62/EF</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Hygiejnebind, tamponer og indføringshylstre til tamponer.</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Rådets direktiv 90/385/EØF af 20. juni 1990 om indbyrdes tilnærmelse af medlemsstaternes lovgivning om aktive, implantable medicinske anordninger (EFT L 189 af 20.7.1990, s. 17).</w:t>
      </w:r>
    </w:p>
  </w:footnote>
  <w:footnote w:id="2">
    <w:p w14:paraId="42EC3717" w14:textId="77777777" w:rsidR="007104F8" w:rsidRPr="006227D4" w:rsidRDefault="007104F8" w:rsidP="007104F8">
      <w:pPr>
        <w:pStyle w:val="FootnoteText"/>
      </w:pPr>
      <w:r>
        <w:rPr>
          <w:rStyle w:val="FootnoteReference"/>
        </w:rPr>
        <w:footnoteRef/>
      </w:r>
      <w:r>
        <w:t xml:space="preserve"> Rådets direktiv 93/42/EØF af 14. juni 1993 om medicinske anordninger (EFT L 169 af 12.7.1993, s. 1).</w:t>
      </w:r>
    </w:p>
  </w:footnote>
  <w:footnote w:id="3">
    <w:p w14:paraId="7B0A379B" w14:textId="77777777" w:rsidR="007104F8" w:rsidRPr="006227D4" w:rsidRDefault="007104F8" w:rsidP="007104F8">
      <w:pPr>
        <w:pStyle w:val="FootnoteText"/>
      </w:pPr>
      <w:r>
        <w:rPr>
          <w:rStyle w:val="FootnoteReference"/>
        </w:rPr>
        <w:footnoteRef/>
      </w:r>
      <w:r>
        <w:t xml:space="preserve"> Europa-Parlamentets og Rådets forordning (EU) nr. 609/2013 af 12. juni 2013 om fødevarer bestemt til spædbørn og småbørn, fødevarer til særlige medicinske formål og kosterstatning til vægtkontrol og om ophævelse af Rådets direktiv 92/52/EØF, Kommissionens direktiv 96/8/EF, 1999/21/EF, 2006/125/EF og 2006/141/EF, Europa-Parlamentets og Rådets direktiv 2009/39/EF og Kommissionens forordning (EF) nr. 41/2009 og (EF) nr. 953/2009 (EUT L 181 af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725895"/>
    <w:rsid w:val="00A613C2"/>
    <w:rsid w:val="00E2162C"/>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da-DK"/>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2020-08-12T15:34:00Z</dcterms:created>
  <dcterms:modified xsi:type="dcterms:W3CDTF">2020-08-13T07:25:00Z</dcterms:modified>
</cp:coreProperties>
</file>