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szCs w:val="20"/>
        </w:rPr>
        <w:t>1. ------IND- 2020 0486 L-- ET- ------ 20200812 --- --- PROJET</w:t>
      </w:r>
    </w:p>
    <w:p w14:paraId="5AB4C723" w14:textId="5E46F097" w:rsidR="007104F8" w:rsidRPr="008E1574" w:rsidRDefault="007104F8" w:rsidP="00206537">
      <w:pPr>
        <w:keepNext/>
        <w:keepLines/>
        <w:jc w:val="center"/>
        <w:rPr>
          <w:b/>
          <w:sz w:val="32"/>
          <w:szCs w:val="32"/>
        </w:rPr>
      </w:pPr>
      <w:r>
        <w:rPr>
          <w:b/>
          <w:sz w:val="32"/>
          <w:szCs w:val="32"/>
        </w:rPr>
        <w:t>Seaduse eelnõu teatavate plasttoodete keskkonnamõju vähendamise kohta</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1EF05A92"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Artikkel 1 Eesmärgid</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Seaduse eesmärk on vältida ja vähendada teatavate plasttoodete mõju keskkonnale (eriti veekeskkonnale) ja inimeste tervisele, samuti edendada ärimudelite, uuenduslike ja jätkusuutlike toodete ning materjalide abil üleminekut ringmajandusele, aidates sellega kaasa ka siseturu tõhusale toimimisele.</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Artikkel 2 Kohaldamisala</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Seadust kohaldatakse lisas loetletud ühekordselt kasutatavate plasttoodete, oksüdantide toimel lagunevast plastist toodete ja plastikut sisaldavate kalapüügivahendite suhtes.</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Tegemist on eriseadusega, mis on seotud 21. märtsi 2012. aasta muudetud seadusega jäätmete ja ressursside kohta (edaspidi „21. märtsi 2012. aasta seadus“) ja 21. märtsi 2017. aasta muudetud seadusega pakendite ja pakendijäätmete kohta.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Artikkel 3 Mõisted</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Käesolevas seaduses kasutatakse järgmisi mõisteid järgmises tähenduses: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„kalapüügivahendite jäätmed“ – kõik kalapüügivahendid, mis on hõlmatud 21. märtsi 2012. aasta seaduse artikli 4 mõistega „jäätmed“, sealhulgas kõik komponendid, ained või eraldiseisvad materjalid, mis olid ära viskamise ajal osa kalapüügivahendist või selle külge kinnitatud, sealhulgas ka siis, kui see hüljati või kaotati;</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„pakend“ – 21. märtsi 2017. aasta muudetud seaduse (pakendite ja pakendijäätmete kohta) artikli 3 kohane pakend;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„kalapüügivahend“ – mis tahes üksus või seade, mida kasutatakse kalanduses või vesiviljeluses meres elavate või mere pinnal hõljuvate elusressursside sihtimiseks, kinnipüüdmiseks või kasvatamiseks, ning mida kasutatakse selliste mere elusressursside ligimeelitamise, kinnipüüdmise või kasvatamise eesmärgil;</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„turul kättesaadavaks tegemine“ – toote tasu eest või tasuta tarnimine Luksemburgi turule äritegevuse käigus levitamiseks, tarbimiseks või kasutamiseks;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5. „turule laskmine“ – toote Luksemburgi turul esimest korda kättesaadavaks tegemine;</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„harmoniseeritud standard“ – määruse (EL) nr 1025/2012 artikli 2 lõike 1 punkti c kohane harmoniseeritud standard; </w:t>
      </w:r>
    </w:p>
    <w:p w14:paraId="013F9AF4" w14:textId="6FCB66A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7. „plast“ – materjal, mis koosneb määruse (EÜ) nr 1907/2006 artikli 3 lõikes 5 määratletud polümeerist, ja millele võib olla lisatud lisaaineid ning mis võib toimida lõpptoodete, sealhulgas polümeeril põhinevate kummide ja bioloogilise päritoluga või biolagunevate, nii biomassist saadud kui ka aja jooksul bioloogiliselt lagunevate plastide peamise struktuurikomponendina.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See määratlus ei hõlma looduslikke polümeere, mida ei ole keemiliselt modifitseeritud;</w:t>
      </w:r>
    </w:p>
    <w:p w14:paraId="222C8903" w14:textId="692E0FC6"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„biolagunev plast“ – plast, mis võib tõenäoliselt füüsikaliselt või bioloogiliselt laguneda nii, et see laguneb lõpuks süsinikdioksiidiks (CO</w:t>
      </w:r>
      <w:r>
        <w:rPr>
          <w:rFonts w:asciiTheme="minorHAnsi" w:hAnsiTheme="minorHAnsi"/>
          <w:b w:val="0"/>
          <w:sz w:val="24"/>
          <w:szCs w:val="24"/>
          <w:vertAlign w:val="subscript"/>
        </w:rPr>
        <w:t>2</w:t>
      </w:r>
      <w:r>
        <w:rPr>
          <w:rFonts w:asciiTheme="minorHAnsi" w:hAnsiTheme="minorHAnsi"/>
          <w:b w:val="0"/>
          <w:sz w:val="24"/>
          <w:szCs w:val="24"/>
        </w:rPr>
        <w:t>), biomassiks ja veeks, ning on vastavalt pakenditele kohaldatavatele Euroopa standarditele kompostimise ja anaeroobse lagundamise teel taaskasutatav;</w:t>
      </w:r>
    </w:p>
    <w:p w14:paraId="2191053B" w14:textId="02C50DC2" w:rsidR="007104F8" w:rsidRPr="008E1574" w:rsidRDefault="00ED3BD5"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w:t>
      </w:r>
      <w:r w:rsidR="007104F8">
        <w:rPr>
          <w:rFonts w:asciiTheme="minorHAnsi" w:hAnsiTheme="minorHAnsi"/>
          <w:b w:val="0"/>
          <w:sz w:val="24"/>
          <w:szCs w:val="24"/>
        </w:rPr>
        <w:t>. „oksüdantide toimel lagunev plast“ – plastid, mis sisaldavad lisaaineid, mis oksüdeerumise tagajärjel killustavad plasti mikroosadeks või lagundavad keemiliselt;</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„tubakatooted“ – 11. augusti 2006. aasta muudetud seaduse (tubakatoodete tarbimise leviku vähendamise kohta) artikli 2 lõike 1 punkti a kohased tubakatooted;</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„ühekordselt kasutatav plasttoode“ – täielikult või osaliselt plastist valmistatud toode, mis ei ole kavandatud, valmistatud ega turule lastud eesmärgiga see tootjale uuesti täitmiseks tagastada või seda kavandatud eesmärgil korduskasutada nii, et toode ringleks oma olelusringi jooksul mitu korda; </w:t>
      </w:r>
    </w:p>
    <w:p w14:paraId="2B4D5B3D" w14:textId="2720098E" w:rsidR="007104F8" w:rsidRPr="000D4E9D" w:rsidRDefault="007104F8" w:rsidP="007104F8">
      <w:pPr>
        <w:pStyle w:val="Article"/>
        <w:numPr>
          <w:ilvl w:val="0"/>
          <w:numId w:val="0"/>
        </w:numPr>
        <w:spacing w:before="240"/>
        <w:rPr>
          <w:rFonts w:asciiTheme="minorHAnsi" w:hAnsiTheme="minorHAnsi" w:cs="TimesNewRoman"/>
          <w:b w:val="0"/>
          <w:spacing w:val="-4"/>
          <w:sz w:val="24"/>
          <w:szCs w:val="24"/>
        </w:rPr>
      </w:pPr>
      <w:r w:rsidRPr="000D4E9D">
        <w:rPr>
          <w:rFonts w:asciiTheme="minorHAnsi" w:hAnsiTheme="minorHAnsi"/>
          <w:b w:val="0"/>
          <w:spacing w:val="-4"/>
          <w:sz w:val="24"/>
          <w:szCs w:val="24"/>
        </w:rPr>
        <w:t>kohaldatakse 21. märtsi 2012. aasta muudetud seaduse artiklis 4 esitatud mõisteid „jäätmed“, „kogumine“, „eraldi kogumine“, „töötlemine“, „toodete tootja“ ja „laiendatud tootjavastutuse süsteem“.</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Artikkel 4 Tarbimise vähendamine</w:t>
      </w:r>
    </w:p>
    <w:p w14:paraId="34312720" w14:textId="69968051" w:rsidR="007104F8" w:rsidRPr="000D4E9D" w:rsidRDefault="007104F8" w:rsidP="007104F8">
      <w:pPr>
        <w:pStyle w:val="Article"/>
        <w:numPr>
          <w:ilvl w:val="0"/>
          <w:numId w:val="0"/>
        </w:numPr>
        <w:spacing w:before="240"/>
        <w:rPr>
          <w:rFonts w:asciiTheme="minorHAnsi" w:hAnsiTheme="minorHAnsi" w:cs="TimesNewRoman"/>
          <w:b w:val="0"/>
          <w:spacing w:val="-4"/>
          <w:sz w:val="24"/>
          <w:szCs w:val="24"/>
        </w:rPr>
      </w:pPr>
      <w:r w:rsidRPr="000D4E9D">
        <w:rPr>
          <w:rFonts w:asciiTheme="minorHAnsi" w:hAnsiTheme="minorHAnsi"/>
          <w:b w:val="0"/>
          <w:spacing w:val="-4"/>
          <w:sz w:val="24"/>
          <w:szCs w:val="24"/>
        </w:rPr>
        <w:t xml:space="preserve">Toodete tootjad võtavad meetmeid, mille tulemuseks on 2026. aastaks lisa A osas loetletud ühekordselt kasutatavate plasttoodete tarbimise mõõdetav kvantitatiivne vähenemine võrreldes 2022. aastaga. See vähenemine peab asjaomase perioodi jooksul olema vähemalt 20% võrreldes turule lastud ühikutega. Alates 1. jaanuarist 2026 tuleb igal aastal saavutada vähemalt 10%-line vähenemine võrreldes eelmise aasta jooksul turule lastud kogustega. Toodete tootjad peavad selle kohustuse täitmise volitama volitatud asutusele vastavalt 21. märtsi 2012. aasta seaduse artiklile 19.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Keskkonnaminister (edaspidi „minister“) tagab selliste meetmete kooskõlastamise, mis on vajalikud lisa osas A loetletud ühekordselt kasutatavate plasttoodete tarbimise ambitsioonika ja püsiva vähendamise saavutamiseks kooskõlas liidu jäätmepoliitika üldiste eesmärkidega, eeskätt jäätmetekke vältimisega, et tarbimise kasvutrendid märkimisväärselt ümber pöörata.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Keskkonnaamet jälgib lisa osas A loetletud ühekordselt kasutatavate plasttoodete turule laskmist ja vastuvõetud vähendamismeetmeid.</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lastRenderedPageBreak/>
        <w:t>Selleks edastab volitatud asutus 21. märtsi 2012. aasta seaduse artiklis 35 osutatud aastaaruande osana eelmisel aastal turul kättesaadavaks tehtud lisa osas A loetletud ühekordselt kasutatavate plasttoodete kogused.</w:t>
      </w:r>
    </w:p>
    <w:bookmarkEnd w:id="0"/>
    <w:p w14:paraId="5EDC7E96" w14:textId="131B524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Artikkel 5 Turule laskmise piirang</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Lisa osas B loetletud ühekordselt kasutatavate plasttoodete ja oksüdantide toimel lagunevast plastist valmistatud toodete turule laskmine on keelatud.</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Artikkel 6 Toodetele kohaldatavad nõuded</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Lisa osas C loetletud ühekordselt kasutatavaid plasttooteid, millel on plastkorgid ja -kaaned, tohib turule lasta ainult siis, kui nende korgid ja kaaned jäävad toodete kavandatud kasutuse ajal anuma külge.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Metallkorke ja plasttihenditega metallkaasi ei loeta plastikuks.</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Lisa osas F loetletud joogipudelite suhtes kehtivad järgmised nõuded: </w:t>
      </w:r>
    </w:p>
    <w:p w14:paraId="0E3B3C72" w14:textId="1A2FF810" w:rsidR="007104F8" w:rsidRPr="000D4E9D" w:rsidRDefault="007104F8" w:rsidP="007104F8">
      <w:pPr>
        <w:pStyle w:val="Article"/>
        <w:numPr>
          <w:ilvl w:val="0"/>
          <w:numId w:val="0"/>
        </w:numPr>
        <w:spacing w:before="240"/>
        <w:ind w:left="851"/>
        <w:rPr>
          <w:rFonts w:asciiTheme="minorHAnsi" w:hAnsiTheme="minorHAnsi" w:cs="TimesNewRoman"/>
          <w:b w:val="0"/>
          <w:spacing w:val="-4"/>
          <w:sz w:val="24"/>
          <w:szCs w:val="24"/>
        </w:rPr>
      </w:pPr>
      <w:r w:rsidRPr="000D4E9D">
        <w:rPr>
          <w:rFonts w:asciiTheme="minorHAnsi" w:hAnsiTheme="minorHAnsi"/>
          <w:b w:val="0"/>
          <w:spacing w:val="-4"/>
          <w:sz w:val="24"/>
          <w:szCs w:val="24"/>
        </w:rPr>
        <w:t xml:space="preserve">1. alates 2025. aastast peavad lisa osas F loetletud joogipudelid, mis on valmistatud peamiselt polüetüleentereftalaadist (edaspidi „PET-pudelid“), sisaldama vähemalt 25% ümbertöödeldud plasti, mis arvutatakse </w:t>
      </w:r>
      <w:bookmarkStart w:id="1" w:name="_Hlk25242138"/>
      <w:r w:rsidRPr="000D4E9D">
        <w:rPr>
          <w:rFonts w:asciiTheme="minorHAnsi" w:hAnsiTheme="minorHAnsi"/>
          <w:b w:val="0"/>
          <w:spacing w:val="-4"/>
          <w:sz w:val="24"/>
          <w:szCs w:val="24"/>
        </w:rPr>
        <w:t>ühe tootja</w:t>
      </w:r>
      <w:bookmarkEnd w:id="1"/>
      <w:r w:rsidRPr="000D4E9D">
        <w:rPr>
          <w:rFonts w:asciiTheme="minorHAnsi" w:hAnsiTheme="minorHAnsi"/>
          <w:b w:val="0"/>
          <w:spacing w:val="-4"/>
          <w:sz w:val="24"/>
          <w:szCs w:val="24"/>
        </w:rPr>
        <w:t xml:space="preserve"> turule lastud kõikide PET-pudelite keskmise järgi;</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alates 2030. aastast peavad lisa osas F loetletud joogipudelid sisaldama vähemalt 30% ümbertöödeldud plasti, mis arvutatakse ühe tootja turule lastud kõikide nimetatud pudelite keskmise järgi.</w:t>
      </w:r>
    </w:p>
    <w:p w14:paraId="0DCF115F" w14:textId="2E621D3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Selleks edastab 21. märtsi 2012. aasta seaduse artikli 19 kohaselt volitatud asutus sama seaduse artiklis 35 nimetatud aastaaruande osana eelmisel aastal turul kättesaadavaks tehtud PET-pudelite kogused ja neis kasutatud ümbertöödeldud plasti keskmise protsendi. Kui Euroopa Liidu rakendusakti ei ole, kehtestab arvutamise ja eesmärkide kinnitamise meetodid keskkonnaamet.</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 xml:space="preserve">Artikkel 7 Märgistamisnõuded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Igal turule lastud lisa osas D loetletud ühekordselt kasutataval plasttootel peab olema pakendile või tootele kinnitatud nähtav, selgesti loetav ja kustumatu märgistus, mis teavitab tarbijaid järgmisest:</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jäätmehierarhiale vastavad toote jaoks sobivad jäätmekäitluslahendused või jäätmete kõrvaldamise viisid, mida selle toote puhul tuleb vältida;</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plasti olemasolu tootes ja toote jäätmete ebaseaduslikust prügistamisest või muust sobimatust kõrvaldamisest tulenev kahjulik mõju keskkonnale.</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2) Käesoleva artikli tubakatooteid käsitlevad sätted täiendavad tubakatoodete tarbimise leviku vähendamist käsitleva 11. augusti 2006. aasta muudetud seaduse sätteid.</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Artikkel 8 Laiendatud tootjavastutus</w:t>
      </w:r>
    </w:p>
    <w:p w14:paraId="658BCE29" w14:textId="05067A6E"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Kõigi lisa osas E loetletud ühekordseks kasutamiseks mõeldud plasttoodete ja plastikut sisaldavate kalapüügivahendite jaoks kehtestatakse 21. märtsi 2012. aasta seaduse kohane laiendatud tootjavastutuse kord.</w:t>
      </w:r>
    </w:p>
    <w:p w14:paraId="3F70DBA1" w14:textId="64938615"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Lisa osa E I jaos loetletud ühekordselt kasutatavate plasttoodete tootjad katavad kulud vastavalt laiendatud tootjavastutust käsitlevatele sätetele, mis sisalduvad 21. märtsi 2012. aasta seaduses ja 21. märtsi 2017. aasta seaduses pakendite ja pakendijäätmete kohta, samuti järgmised kulud, kui need juba seadustes ei sisaldu: </w:t>
      </w:r>
    </w:p>
    <w:p w14:paraId="67A67612" w14:textId="77777777" w:rsidR="007104F8" w:rsidRPr="000D4E9D"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0D4E9D">
        <w:rPr>
          <w:rFonts w:asciiTheme="minorHAnsi" w:hAnsiTheme="minorHAnsi"/>
          <w:b w:val="0"/>
          <w:spacing w:val="-4"/>
          <w:sz w:val="24"/>
          <w:szCs w:val="24"/>
        </w:rPr>
        <w:t xml:space="preserve">1) nende toodetega seotud artiklis 10 osutatud teadlikkuse suurendamise meetmete kulud;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nende toodete jäätmete kogumise ja avalikesse kogumissüsteemidesse viimise kulud, sealhulgas infrastruktuuri ja selle toimimisega seotud ning selliste jäätmete veo ja hilisema töötlemise kulud;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nendest toodetest pärineva loodusesse visatud prügi koristamise ning sellise prügi äraviimise ja sellele järgneva töötlemise kulud.</w:t>
      </w:r>
    </w:p>
    <w:p w14:paraId="48570621" w14:textId="0A8BAF58"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Lisa osa E II ja III jaos loetletud ühekordselt kasutatavate plasttoodete tootjad </w:t>
      </w:r>
      <w:bookmarkEnd w:id="2"/>
      <w:r>
        <w:rPr>
          <w:rFonts w:asciiTheme="minorHAnsi" w:hAnsiTheme="minorHAnsi"/>
          <w:b w:val="0"/>
          <w:sz w:val="24"/>
          <w:szCs w:val="24"/>
        </w:rPr>
        <w:t>katavad vähemalt järgmised kulud</w:t>
      </w:r>
      <w:bookmarkStart w:id="3" w:name="_Hlk33179167"/>
      <w:r>
        <w:rPr>
          <w:rFonts w:asciiTheme="minorHAnsi" w:hAnsiTheme="minorHAnsi"/>
          <w:b w:val="0"/>
          <w:sz w:val="24"/>
          <w:szCs w:val="24"/>
        </w:rPr>
        <w:t>:</w:t>
      </w:r>
    </w:p>
    <w:bookmarkEnd w:id="3"/>
    <w:p w14:paraId="4D930272" w14:textId="77777777" w:rsidR="007104F8" w:rsidRPr="000D4E9D"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0D4E9D">
        <w:rPr>
          <w:rFonts w:asciiTheme="minorHAnsi" w:hAnsiTheme="minorHAnsi"/>
          <w:b w:val="0"/>
          <w:spacing w:val="-4"/>
          <w:sz w:val="24"/>
          <w:szCs w:val="24"/>
        </w:rPr>
        <w:t xml:space="preserve">1) nende toodetega seotud artiklis 10 osutatud teadlikkuse suurendamise meetmete kulud;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nendest toodetest pärineva loodusesse visatud prügi koristamise ning sellise prügi äraviimise ja sellele järgneva töötlemise kulud;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andmete kogumise ja nende edastamise kulud vastavalt 21. märtsi 2012. aasta seaduse artiklile 19. </w:t>
      </w:r>
    </w:p>
    <w:p w14:paraId="023DC410" w14:textId="259C35C3" w:rsidR="007104F8" w:rsidRPr="000D4E9D"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0D4E9D">
        <w:rPr>
          <w:rFonts w:asciiTheme="minorHAnsi" w:hAnsiTheme="minorHAnsi"/>
          <w:b w:val="0"/>
          <w:spacing w:val="-4"/>
          <w:sz w:val="24"/>
          <w:szCs w:val="24"/>
        </w:rPr>
        <w:t>Lisa osa E III jaos loetletud ühekordseks kasutamiseks mõeldud plasttoodete puhul peavad toodete tootjad katma ka nende toodete jäätmete kogumise ja avalikesse kogumissüsteemidesse viimise kulud, sealhulgas infrastruktuuri ja selle toimimisega seotud ning selliste jäätmete veo ja hilisema töötlemise kulud. Kulud hõlmavad nende toodete jäätmete kogumiseks mõeldud spetsiaalse infrastruktuuri loomist, näiteks sobivate mahutite paigaldamist kohtadesse, kuhu jäätmeid kõige sagedamini prügistatakse.</w:t>
      </w:r>
    </w:p>
    <w:p w14:paraId="16975037" w14:textId="74C73CD3"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Osa E III jaos loetletud ühekordselt kasutatavate plasttoodete tootjad peavad võtma vajalikke meetmeid jäätmeteks muutunud toodete hülgamise, minema viskamise ja kontrollimatu käitlemise vältimiseks.</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Alates 1. jaanuarist 2024 tuleb igal aastal saavutada vähemalt 10%-line vähenemine võrreldes eelmise aasta jooksul minema visatud kogustega. Pädev haldusasutus kehtestab ja avaldab metoodika minema visatud koguste kvantifitseerimiseks ja vähenemise kontrollimiseks.</w:t>
      </w:r>
    </w:p>
    <w:p w14:paraId="2FA016B7" w14:textId="1A75535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Lõigetes 2 ja 3 nimetatud kaetavad kulud ei tohi ületada samades lõigetes osutatud teenuste kulutõhusal viisil osutamiseks vajalikke kulusid ja need tuleb asjaomaste osalejate vahel läbipaistvalt kindlaks määrata. Loodusesse visatud prügi koristamise kulud piirduvad riigiasutuste või nende nimel tehtavate tegevustega. Arvutusmeetod on välja töötatud nii, et loodusesse visatud prügi koristamise kulusid saab proportsionaalselt kindlaks määrata. Halduskulude minimeerimiseks võib määratleda rahalise panuse loodusesse visatud prügi koristamiskuludesse, kehtestades sobivad kindlad mitmeaastased summad. </w:t>
      </w:r>
    </w:p>
    <w:p w14:paraId="2B943E40" w14:textId="220A8DEA"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Euroopa Liidu teises liikmesriigis asutatud toodete tootjatel, kes lasevad tooteid Luksemburgi turule, on lubatud enda esindajaks määrata riigi territooriumil või muus liikmesriigis asutatud füüsiline või juriidiline isik, et tagada laiendatud tootjavastutuse skeemide kohaste kohustuste täitmise. </w:t>
      </w:r>
    </w:p>
    <w:p w14:paraId="7124F9EF" w14:textId="09F3200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Kõik Luksemburgi Suurhertsogiriigis asutatud tootjad, kes müüvad lisa osas E loetletud ühekordseks kasutamiseks mõeldud plasttooteid ja plastikut sisaldavaid kalapüügivahendeid mõnes teises Euroopa Liidu liikmesriigis, kus ta ei ole asutatud, peavad selles teises Euroopa Liidu liikmesriigis määrama endale esindaja. Esindaja on isik, kes vastutab tootja käesoleva seaduse kohaste kohustuste täitmise eest teise Euroopa Liidu liikmesriigi territooriumil.</w:t>
      </w:r>
    </w:p>
    <w:p w14:paraId="32953A1D" w14:textId="4F207419"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Plasti sisaldavate kalapüügivahendite laiendatud tootjavastutuse skeemide korral peavad plasti sisaldavate kalapüügivahendite tootjad katma plasti sisaldavatest kalapüügivahenditest pärinevate jäätmete liigiti kogumise ja konkreetsesse kogumissüsteemi viimise kulud, samuti nende transpordi ja hilisema töötlemise kulud. </w:t>
      </w:r>
    </w:p>
    <w:p w14:paraId="21E340C8" w14:textId="2B12CED5"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Tootjad katavad ka artiklis 10 osutatud teadlikkust suurendavate meetmete kulud, mis on seotud plastikut sisaldavate kalapüügivahenditega.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Artikkel 9 Eraldi kogumine</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Lisa osas F loetletud eraldi kogutud ühekordselt kasutatavate plasttoodete ringlusse võetud jäätmekogus peab olema järgmine: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hiljemalt 2025. aastaks </w:t>
      </w:r>
      <w:bookmarkStart w:id="4" w:name="_Hlk25246527"/>
      <w:r>
        <w:rPr>
          <w:rFonts w:asciiTheme="minorHAnsi" w:hAnsiTheme="minorHAnsi"/>
          <w:b w:val="0"/>
          <w:sz w:val="24"/>
          <w:szCs w:val="24"/>
        </w:rPr>
        <w:t>kuni 77% nende toodete jäätmete üldkogusest, sh loodusesse visatud prügi</w:t>
      </w:r>
      <w:bookmarkEnd w:id="4"/>
      <w:r>
        <w:rPr>
          <w:rFonts w:asciiTheme="minorHAnsi" w:hAnsiTheme="minorHAnsi"/>
          <w:b w:val="0"/>
          <w:sz w:val="24"/>
          <w:szCs w:val="24"/>
        </w:rPr>
        <w:t xml:space="preserve">; </w:t>
      </w:r>
    </w:p>
    <w:p w14:paraId="39395F5D" w14:textId="0B957C8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hiljemalt 2029. aastaks kuni 90% nende toodete jäätmete üldkogusest, sh loodusesse visatud prügi.</w:t>
      </w:r>
    </w:p>
    <w:p w14:paraId="690C365E" w14:textId="77777777" w:rsidR="007104F8" w:rsidRPr="008E1574" w:rsidRDefault="007104F8" w:rsidP="000D4E9D">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Artikkel 10 Teadlikkuse suurendamise meetmed</w:t>
      </w:r>
    </w:p>
    <w:p w14:paraId="148EAE36" w14:textId="77777777" w:rsidR="007104F8" w:rsidRPr="000D4E9D" w:rsidRDefault="007104F8" w:rsidP="000D4E9D">
      <w:pPr>
        <w:pStyle w:val="Article"/>
        <w:keepNext/>
        <w:keepLines/>
        <w:numPr>
          <w:ilvl w:val="0"/>
          <w:numId w:val="0"/>
        </w:numPr>
        <w:spacing w:before="240"/>
        <w:rPr>
          <w:rFonts w:asciiTheme="minorHAnsi" w:hAnsiTheme="minorHAnsi" w:cs="TimesNewRoman"/>
          <w:b w:val="0"/>
          <w:spacing w:val="-4"/>
          <w:sz w:val="24"/>
          <w:szCs w:val="24"/>
        </w:rPr>
      </w:pPr>
      <w:r w:rsidRPr="000D4E9D">
        <w:rPr>
          <w:rFonts w:asciiTheme="minorHAnsi" w:hAnsiTheme="minorHAnsi"/>
          <w:b w:val="0"/>
          <w:spacing w:val="-4"/>
          <w:sz w:val="24"/>
          <w:szCs w:val="24"/>
        </w:rPr>
        <w:t xml:space="preserve">Keskkonnaamet ja veemajanduse amet tegelevad oma vastutusalas tarbijate teavitamise ja vastutustundlike tarbimisharjumuste julgustamisega, et vähendada käesoleva seadusega hõlmatud toodetega prügistamist, ning tagavad, et lisa osas G loetletud ühekordselt kasutatavate plasttoodete tarbijatele ja plastikut sisaldavate kalapüügivahendite kasutajatele antaks järgmist teavet: </w:t>
      </w:r>
    </w:p>
    <w:p w14:paraId="40BDFCF9" w14:textId="00D5FA0B"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ühekordseks kasutamiseks mõeldud plasttoodete ja plasti sisaldavate kalapüügivahendite korduvkasutatavate alternatiivtoodete, korduvkasutussüsteemide ja jäätmekäitluslahenduste kättesaadavus, samuti keskkonnahoidliku jäätmekäitluse parimad tavad, mida rakendatakse vastavalt 21. märtsi 2012. aasta seaduse artiklile 10; </w:t>
      </w:r>
    </w:p>
    <w:p w14:paraId="539EAE81" w14:textId="2BE62CAC"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ühekordselt kasutatavatest plasttoodetest ja plasti sisaldavatest kalapüügivahenditest tekkivate jäätmetega prügistamise ja muude jäätmete sobimatu kõrvaldamise vormide mõju keskkonnale, eriti merekeskkonnale;</w:t>
      </w:r>
    </w:p>
    <w:p w14:paraId="099960BC" w14:textId="384C9090"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ühekordselt kasutatavatest plasttoodetest tekkivate jäätmete sobimatu kõrvaldamise mõju kanalisatsioonisüsteemile.</w:t>
      </w:r>
    </w:p>
    <w:p w14:paraId="5C20C5EA" w14:textId="77777777" w:rsidR="007104F8" w:rsidRPr="009F205B" w:rsidRDefault="007104F8" w:rsidP="007104F8">
      <w:pPr>
        <w:autoSpaceDE w:val="0"/>
        <w:autoSpaceDN w:val="0"/>
        <w:adjustRightInd w:val="0"/>
        <w:spacing w:after="0" w:line="240" w:lineRule="auto"/>
        <w:jc w:val="both"/>
        <w:rPr>
          <w:rFonts w:eastAsia="Calibri" w:cs="TimesNewRoman"/>
          <w:sz w:val="24"/>
          <w:szCs w:val="24"/>
          <w:lang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Artikkel 11 Meetmete kooskõlastamine</w:t>
      </w:r>
    </w:p>
    <w:p w14:paraId="1E68385F" w14:textId="77777777" w:rsidR="007104F8" w:rsidRPr="009F205B" w:rsidRDefault="007104F8" w:rsidP="00206537">
      <w:pPr>
        <w:keepNext/>
        <w:keepLines/>
        <w:autoSpaceDE w:val="0"/>
        <w:autoSpaceDN w:val="0"/>
        <w:adjustRightInd w:val="0"/>
        <w:spacing w:after="0" w:line="240" w:lineRule="auto"/>
        <w:jc w:val="both"/>
        <w:rPr>
          <w:rFonts w:eastAsia="Calibri" w:cs="TimesNewRoman"/>
          <w:sz w:val="24"/>
          <w:szCs w:val="24"/>
          <w:lang w:eastAsia="fr-BE"/>
        </w:rPr>
      </w:pPr>
    </w:p>
    <w:p w14:paraId="1F475B2C" w14:textId="46668A99"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Käesoleva seaduse raames võetud meetmed, ilma piiramata artikli 4 lõike 1 esimese lõigu kohaldamist, on lahutamatu osa meetmeprogrammidest, mis on koostatud vastavalt 19. detsembri 2008. aasta muudetud veeseadusele ja vastavalt 21. märtsi 2012. aasta seadusele loodud jäätmehoolduse ja jäätmetekke vältimise programmidele, ning mis peavad olema nende programmidega kooskõlas.</w:t>
      </w:r>
    </w:p>
    <w:p w14:paraId="0F81657A" w14:textId="77777777" w:rsidR="007104F8" w:rsidRPr="009F205B" w:rsidRDefault="007104F8" w:rsidP="007104F8">
      <w:pPr>
        <w:autoSpaceDE w:val="0"/>
        <w:autoSpaceDN w:val="0"/>
        <w:adjustRightInd w:val="0"/>
        <w:spacing w:after="0" w:line="240" w:lineRule="auto"/>
        <w:jc w:val="both"/>
        <w:rPr>
          <w:rFonts w:eastAsia="Calibri" w:cs="TimesNewRoman"/>
          <w:sz w:val="24"/>
          <w:szCs w:val="24"/>
          <w:lang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Artiklites 4–9 võetud meetmed peavad olema kooskõlas toiduaineid käsitlevate sätetega, et vältida toiduhügieeni ja toiduohutuse ohustamist. </w:t>
      </w:r>
    </w:p>
    <w:p w14:paraId="20A67F74" w14:textId="77777777" w:rsidR="007104F8" w:rsidRPr="009F205B" w:rsidRDefault="007104F8" w:rsidP="007104F8">
      <w:pPr>
        <w:autoSpaceDE w:val="0"/>
        <w:autoSpaceDN w:val="0"/>
        <w:adjustRightInd w:val="0"/>
        <w:spacing w:after="0" w:line="240" w:lineRule="auto"/>
        <w:jc w:val="both"/>
        <w:rPr>
          <w:rFonts w:eastAsia="Calibri" w:cs="TimesNewRoman"/>
          <w:sz w:val="24"/>
          <w:szCs w:val="24"/>
          <w:lang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Keskkonnaamet ja terviseosakond vastutavad kumbki oma vastutusalas toiduga kokkupuutumiseks mõeldud ühekordselt kasutatavat plastikut asendavate jätkusuutlike alternatiivide kasutamise soodustamise eest.</w:t>
      </w:r>
    </w:p>
    <w:p w14:paraId="3C704E47" w14:textId="77777777" w:rsidR="007104F8" w:rsidRPr="009F205B" w:rsidRDefault="007104F8" w:rsidP="007104F8">
      <w:pPr>
        <w:autoSpaceDE w:val="0"/>
        <w:autoSpaceDN w:val="0"/>
        <w:adjustRightInd w:val="0"/>
        <w:spacing w:after="0" w:line="240" w:lineRule="auto"/>
        <w:jc w:val="both"/>
        <w:rPr>
          <w:rFonts w:eastAsia="Calibri" w:cs="TimesNewRoman"/>
          <w:b/>
          <w:sz w:val="24"/>
          <w:szCs w:val="24"/>
          <w:lang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Artikkel 12 Ühekordseks kasutamiseks mõeldud plasttoodete spetsifikatsioonid ja juhised</w:t>
      </w:r>
    </w:p>
    <w:p w14:paraId="7D2D1479" w14:textId="77777777" w:rsidR="007104F8" w:rsidRPr="009F205B" w:rsidRDefault="007104F8" w:rsidP="00206537">
      <w:pPr>
        <w:keepNext/>
        <w:keepLines/>
        <w:autoSpaceDE w:val="0"/>
        <w:autoSpaceDN w:val="0"/>
        <w:adjustRightInd w:val="0"/>
        <w:spacing w:after="0" w:line="240" w:lineRule="auto"/>
        <w:jc w:val="both"/>
        <w:rPr>
          <w:rFonts w:cs="TimesNewRoman"/>
          <w:sz w:val="24"/>
          <w:szCs w:val="24"/>
          <w:lang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Selleks, et kindlaks määrata, kas toidumahutit tuleks käesoleva seaduse tähenduses lugeda ühekordselt kasutatavaks plasttooteks, tuleb lisaks lisas loetletud toidumahuteid puudutavatele kriteeriumidele arvesse võtta ka selle kalduvust muutuda selle mahu või suuruse tõttu loodusesse visatud prügiks, eriti üksikportsjonite korral.</w:t>
      </w:r>
    </w:p>
    <w:p w14:paraId="0D162CFF" w14:textId="77777777" w:rsidR="007104F8" w:rsidRPr="009F205B" w:rsidRDefault="007104F8" w:rsidP="007104F8">
      <w:pPr>
        <w:autoSpaceDE w:val="0"/>
        <w:autoSpaceDN w:val="0"/>
        <w:adjustRightInd w:val="0"/>
        <w:spacing w:after="0" w:line="240" w:lineRule="auto"/>
        <w:jc w:val="both"/>
        <w:rPr>
          <w:rFonts w:cs="TimesNewRoman"/>
          <w:sz w:val="24"/>
          <w:szCs w:val="24"/>
          <w:lang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lastRenderedPageBreak/>
        <w:t>Artikkel 13 Haldusmeetmed</w:t>
      </w:r>
    </w:p>
    <w:p w14:paraId="0261ED08" w14:textId="77777777" w:rsidR="007104F8" w:rsidRPr="009F205B" w:rsidRDefault="007104F8" w:rsidP="00206537">
      <w:pPr>
        <w:keepNext/>
        <w:keepLines/>
        <w:autoSpaceDE w:val="0"/>
        <w:autoSpaceDN w:val="0"/>
        <w:adjustRightInd w:val="0"/>
        <w:spacing w:after="0" w:line="240" w:lineRule="auto"/>
        <w:jc w:val="both"/>
        <w:rPr>
          <w:rFonts w:cs="TimesNewRoman"/>
          <w:sz w:val="24"/>
          <w:szCs w:val="24"/>
          <w:lang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Artikli 5, artikli 6 lõike 1 ning lõike 2 punktide 1 ja 2, artikli 7 ja artikli 9 sätete rikkumise korral võib minister: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määrata tootjale või volitatud asutusele tähtaja, mis ajaks tuleb neid sätteid järgida, kusjuures see tähtaeg ei või ületada kahte aastat;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peatada ajutise meetmena täielikult või osaliselt tootja või ettevõtte tegevuse või lasta ettevõte täielikult või osaliselt sulgeda ja kinnitada plommid.</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Iga huvitatud isik võib taotleda lõikes 1 osutatud meetmete kohaldamist.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Lõikes 1 loetletud meetmed lõpetatakse, kui tootja või volitatud asutus on neid täitnud. </w:t>
      </w:r>
    </w:p>
    <w:p w14:paraId="6BFDBF4E" w14:textId="77777777" w:rsidR="007104F8" w:rsidRPr="009F205B" w:rsidRDefault="007104F8" w:rsidP="007104F8">
      <w:pPr>
        <w:autoSpaceDE w:val="0"/>
        <w:autoSpaceDN w:val="0"/>
        <w:adjustRightInd w:val="0"/>
        <w:spacing w:after="0" w:line="240" w:lineRule="auto"/>
        <w:jc w:val="both"/>
        <w:rPr>
          <w:rFonts w:cs="TimesNewRoman"/>
          <w:sz w:val="24"/>
          <w:szCs w:val="24"/>
          <w:lang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Artikkel 14 Erisätted</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Kohaldatakse järgmisi 21. märtsi 2012. aasta seaduse sätteid:</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artiklid 44, 45 ja 46, mis käsitlevad rikkumiste uurimist ja jälgimist, kontrollivolitusi ja kontrolliõigusi;</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artikli 50 lõige 2, mis käsitleb õigust võtta õiguslikke meetmeid tunnustatud keskkonnaühenduste vastu.</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Artikkel 15 Lisa</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Lisa võib muuta suurhertsogiriigi määrusega, et kohandada seda Euroopa Liidu selle valdkonna õigusaktide muudatustega.</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Artikkel 16 Karistused</w:t>
      </w:r>
    </w:p>
    <w:p w14:paraId="2A0B878B" w14:textId="77777777" w:rsidR="007104F8" w:rsidRPr="009F205B" w:rsidRDefault="007104F8" w:rsidP="00206537">
      <w:pPr>
        <w:keepNext/>
        <w:keepLines/>
        <w:autoSpaceDE w:val="0"/>
        <w:autoSpaceDN w:val="0"/>
        <w:adjustRightInd w:val="0"/>
        <w:spacing w:after="0" w:line="240" w:lineRule="auto"/>
        <w:jc w:val="both"/>
        <w:rPr>
          <w:rFonts w:cs="TimesNewRoman"/>
          <w:sz w:val="24"/>
          <w:szCs w:val="24"/>
          <w:lang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Artikli 5, artikli 6 lõike 1 esimese lõigu ja lõike 2 punktide 1 ja 2, artikli 7 lõike 1, artikli 8 lõike 4 ning artikli 9 rikkumisi karistatakse kaheksa päeva kuni 3 aasta pikkuse vangistusega ja rahatrahviga suuruses 251–750 000 eurot või ainult ühega neist karistustest.</w:t>
      </w:r>
    </w:p>
    <w:p w14:paraId="3002620B" w14:textId="77777777" w:rsidR="007104F8" w:rsidRPr="000D4E9D" w:rsidRDefault="007104F8" w:rsidP="007104F8">
      <w:pPr>
        <w:autoSpaceDE w:val="0"/>
        <w:autoSpaceDN w:val="0"/>
        <w:adjustRightInd w:val="0"/>
        <w:spacing w:after="0" w:line="240" w:lineRule="auto"/>
        <w:jc w:val="both"/>
        <w:rPr>
          <w:rFonts w:cs="TimesNewRoman"/>
          <w:spacing w:val="-4"/>
          <w:sz w:val="24"/>
          <w:szCs w:val="24"/>
        </w:rPr>
      </w:pPr>
      <w:r w:rsidRPr="000D4E9D">
        <w:rPr>
          <w:spacing w:val="-4"/>
          <w:sz w:val="24"/>
          <w:szCs w:val="24"/>
        </w:rPr>
        <w:t xml:space="preserve">Samad karistused kehtivad artikli 13 alusel võetud haldusmeetmete takistamise või rikkumise korral. </w:t>
      </w:r>
    </w:p>
    <w:p w14:paraId="66780AD9" w14:textId="77777777" w:rsidR="007104F8" w:rsidRPr="009F205B" w:rsidRDefault="007104F8" w:rsidP="007104F8">
      <w:pPr>
        <w:autoSpaceDE w:val="0"/>
        <w:autoSpaceDN w:val="0"/>
        <w:adjustRightInd w:val="0"/>
        <w:spacing w:after="0" w:line="240" w:lineRule="auto"/>
        <w:jc w:val="both"/>
        <w:rPr>
          <w:rFonts w:cs="TimesNewRoman"/>
          <w:sz w:val="24"/>
          <w:szCs w:val="24"/>
          <w:lang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Artikkel 17 Haldustrahvid</w:t>
      </w:r>
    </w:p>
    <w:p w14:paraId="42DB19C4" w14:textId="77777777" w:rsidR="007104F8" w:rsidRPr="009F205B"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Minister võib artikli 4 lõike 4 ja artikli 6 lõike 2 teise lõigu rikkumise korral määrata haldustrahvi 250–10 000 eurot.</w:t>
      </w:r>
    </w:p>
    <w:p w14:paraId="22DE3E9D" w14:textId="77777777" w:rsidR="007104F8" w:rsidRPr="009F205B" w:rsidRDefault="007104F8" w:rsidP="007104F8">
      <w:pPr>
        <w:autoSpaceDE w:val="0"/>
        <w:autoSpaceDN w:val="0"/>
        <w:adjustRightInd w:val="0"/>
        <w:spacing w:after="0"/>
        <w:rPr>
          <w:rFonts w:cs="TimesNewRoman"/>
          <w:sz w:val="24"/>
          <w:szCs w:val="24"/>
          <w:lang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Trahvid tuleb tasuda kahe kuu jooksul alates kirjaliku otsuse teatavaks tegemisest. </w:t>
      </w:r>
    </w:p>
    <w:p w14:paraId="0E834F42" w14:textId="77777777" w:rsidR="007104F8" w:rsidRPr="009F205B" w:rsidRDefault="007104F8" w:rsidP="007104F8">
      <w:pPr>
        <w:autoSpaceDE w:val="0"/>
        <w:autoSpaceDN w:val="0"/>
        <w:adjustRightInd w:val="0"/>
        <w:spacing w:after="0"/>
        <w:rPr>
          <w:rFonts w:cs="TimesNewRoman"/>
          <w:sz w:val="24"/>
          <w:szCs w:val="24"/>
          <w:lang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Haldustrahve kogub registreerimis-, kinnisvara- ja käibemaksuamet. Kogumine toimub nagu registreerimistasu puhul.</w:t>
      </w:r>
    </w:p>
    <w:p w14:paraId="12320C73" w14:textId="77777777" w:rsidR="007104F8" w:rsidRPr="009F205B" w:rsidRDefault="007104F8" w:rsidP="007104F8">
      <w:pPr>
        <w:autoSpaceDE w:val="0"/>
        <w:autoSpaceDN w:val="0"/>
        <w:adjustRightInd w:val="0"/>
        <w:spacing w:after="0" w:line="240" w:lineRule="auto"/>
        <w:jc w:val="both"/>
        <w:rPr>
          <w:rFonts w:ascii="Times New Roman" w:hAnsi="Times New Roman" w:cs="Times New Roman"/>
          <w:b/>
          <w:bCs/>
          <w:sz w:val="28"/>
          <w:szCs w:val="28"/>
          <w:lang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Artikkel 18 Kaebused</w:t>
      </w:r>
    </w:p>
    <w:p w14:paraId="155E7C62" w14:textId="77777777" w:rsidR="007104F8" w:rsidRPr="009F205B" w:rsidRDefault="007104F8" w:rsidP="00206537">
      <w:pPr>
        <w:keepNext/>
        <w:keepLines/>
        <w:autoSpaceDE w:val="0"/>
        <w:autoSpaceDN w:val="0"/>
        <w:adjustRightInd w:val="0"/>
        <w:spacing w:after="0" w:line="240" w:lineRule="auto"/>
        <w:jc w:val="both"/>
        <w:rPr>
          <w:rFonts w:cs="TimesNewRoman"/>
          <w:sz w:val="24"/>
          <w:szCs w:val="24"/>
          <w:lang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Selle seaduse alusel tehtud otsuste vastu saab halduskohtus esitada apellatsioonkaebuse reformi tegemiseks. Konfiskeerimise korral tuleb apellatsioonkaebus esitada neljakümne päeva jooksul alates otsuse teatavaks tegemisest. </w:t>
      </w:r>
    </w:p>
    <w:p w14:paraId="157255C5" w14:textId="77777777" w:rsidR="007104F8" w:rsidRPr="009F205B" w:rsidRDefault="007104F8" w:rsidP="007104F8">
      <w:pPr>
        <w:autoSpaceDE w:val="0"/>
        <w:autoSpaceDN w:val="0"/>
        <w:adjustRightInd w:val="0"/>
        <w:spacing w:after="0" w:line="240" w:lineRule="auto"/>
        <w:jc w:val="both"/>
        <w:rPr>
          <w:rFonts w:cs="TimesNewRoman"/>
          <w:sz w:val="24"/>
          <w:szCs w:val="24"/>
          <w:lang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Artikkel 19 Jõustumine</w:t>
      </w:r>
    </w:p>
    <w:p w14:paraId="6C0CDF60" w14:textId="77777777" w:rsidR="007104F8" w:rsidRPr="009F205B" w:rsidRDefault="007104F8" w:rsidP="00206537">
      <w:pPr>
        <w:keepNext/>
        <w:keepLines/>
        <w:autoSpaceDE w:val="0"/>
        <w:autoSpaceDN w:val="0"/>
        <w:adjustRightInd w:val="0"/>
        <w:spacing w:after="0" w:line="240" w:lineRule="auto"/>
        <w:jc w:val="both"/>
        <w:rPr>
          <w:rFonts w:cs="TimesNewRoman"/>
          <w:sz w:val="24"/>
          <w:szCs w:val="24"/>
          <w:lang w:eastAsia="fr-BE"/>
        </w:rPr>
      </w:pPr>
    </w:p>
    <w:p w14:paraId="44E260C2" w14:textId="66DFE4C6"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Käesolev seadus jõustub 3. juulil 2021.</w:t>
      </w:r>
    </w:p>
    <w:p w14:paraId="3BA6C81F" w14:textId="77777777" w:rsidR="007104F8" w:rsidRPr="009F205B" w:rsidRDefault="007104F8" w:rsidP="007104F8">
      <w:pPr>
        <w:autoSpaceDE w:val="0"/>
        <w:autoSpaceDN w:val="0"/>
        <w:adjustRightInd w:val="0"/>
        <w:spacing w:after="0" w:line="240" w:lineRule="auto"/>
        <w:jc w:val="both"/>
        <w:rPr>
          <w:rFonts w:cs="TimesNewRoman"/>
          <w:sz w:val="24"/>
          <w:szCs w:val="24"/>
          <w:lang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Artikli 6 lõike 1 sätted jõustuvad siiski alles 3. juulil 2024 ja artikli 8 sätted 31. detsembril 2026, välja arvatud lisa osa E III jaos loetletud ühekordselt kasutatavate plasttoodete puhul, mille jaoks need jõustuvad 5. jaanuaril 2023.</w:t>
      </w:r>
    </w:p>
    <w:p w14:paraId="36AA9B98" w14:textId="77777777" w:rsidR="007104F8" w:rsidRPr="009F205B" w:rsidRDefault="007104F8" w:rsidP="007104F8">
      <w:pPr>
        <w:autoSpaceDE w:val="0"/>
        <w:autoSpaceDN w:val="0"/>
        <w:adjustRightInd w:val="0"/>
        <w:spacing w:after="0" w:line="240" w:lineRule="auto"/>
        <w:jc w:val="both"/>
        <w:rPr>
          <w:rFonts w:cs="TimesNewRoman"/>
          <w:sz w:val="24"/>
          <w:szCs w:val="24"/>
          <w:lang w:eastAsia="fr-BE"/>
        </w:rPr>
      </w:pPr>
    </w:p>
    <w:p w14:paraId="4A1FF5D4" w14:textId="77777777" w:rsidR="007104F8" w:rsidRPr="009F205B" w:rsidRDefault="007104F8" w:rsidP="007104F8">
      <w:pPr>
        <w:autoSpaceDE w:val="0"/>
        <w:autoSpaceDN w:val="0"/>
        <w:adjustRightInd w:val="0"/>
        <w:spacing w:after="0" w:line="240" w:lineRule="auto"/>
        <w:jc w:val="both"/>
        <w:rPr>
          <w:rFonts w:cs="TimesNewRoman"/>
          <w:sz w:val="24"/>
          <w:szCs w:val="24"/>
          <w:lang w:eastAsia="fr-BE"/>
        </w:rPr>
      </w:pPr>
    </w:p>
    <w:p w14:paraId="4726972A" w14:textId="77777777" w:rsidR="007104F8" w:rsidRPr="009F205B" w:rsidRDefault="007104F8" w:rsidP="007104F8">
      <w:pPr>
        <w:autoSpaceDE w:val="0"/>
        <w:autoSpaceDN w:val="0"/>
        <w:adjustRightInd w:val="0"/>
        <w:spacing w:after="0" w:line="240" w:lineRule="auto"/>
        <w:jc w:val="both"/>
        <w:rPr>
          <w:rFonts w:cs="TimesNewRoman"/>
          <w:sz w:val="24"/>
          <w:szCs w:val="24"/>
          <w:lang w:eastAsia="fr-BE"/>
        </w:rPr>
      </w:pPr>
    </w:p>
    <w:p w14:paraId="2E81F53C" w14:textId="77777777" w:rsidR="007104F8" w:rsidRPr="009F205B" w:rsidRDefault="007104F8" w:rsidP="007104F8">
      <w:pPr>
        <w:autoSpaceDE w:val="0"/>
        <w:autoSpaceDN w:val="0"/>
        <w:adjustRightInd w:val="0"/>
        <w:spacing w:after="0" w:line="240" w:lineRule="auto"/>
        <w:jc w:val="both"/>
        <w:rPr>
          <w:rFonts w:cs="TimesNewRoman"/>
          <w:sz w:val="24"/>
          <w:szCs w:val="24"/>
          <w:lang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t>Lisa</w:t>
      </w:r>
    </w:p>
    <w:p w14:paraId="6DBE1B5B" w14:textId="77777777" w:rsidR="007104F8" w:rsidRPr="009F205B" w:rsidRDefault="007104F8" w:rsidP="00206537">
      <w:pPr>
        <w:keepNext/>
        <w:keepLines/>
        <w:autoSpaceDE w:val="0"/>
        <w:autoSpaceDN w:val="0"/>
        <w:adjustRightInd w:val="0"/>
        <w:spacing w:after="0" w:line="240" w:lineRule="auto"/>
        <w:jc w:val="center"/>
        <w:rPr>
          <w:rFonts w:cs="TimesNewRoman"/>
          <w:sz w:val="24"/>
          <w:szCs w:val="24"/>
          <w:lang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OSA A</w:t>
      </w:r>
    </w:p>
    <w:p w14:paraId="0D0675AF" w14:textId="77777777" w:rsidR="007104F8" w:rsidRPr="009F205B" w:rsidRDefault="007104F8" w:rsidP="00206537">
      <w:pPr>
        <w:keepNext/>
        <w:keepLines/>
        <w:autoSpaceDE w:val="0"/>
        <w:autoSpaceDN w:val="0"/>
        <w:adjustRightInd w:val="0"/>
        <w:spacing w:after="0" w:line="240" w:lineRule="auto"/>
        <w:jc w:val="center"/>
        <w:rPr>
          <w:rFonts w:cs="TimesNewRoman"/>
          <w:sz w:val="24"/>
          <w:szCs w:val="24"/>
          <w:lang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Artiklis 4 osutatud ühekordseks kasutamiseks mõeldud plasttooted, mis on seotud tarbimise vähendamisega</w:t>
      </w:r>
    </w:p>
    <w:p w14:paraId="071BEE2F"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558D44CF"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27959AD5" w14:textId="36586DED" w:rsidR="007104F8" w:rsidRDefault="007104F8" w:rsidP="007104F8">
      <w:pPr>
        <w:autoSpaceDE w:val="0"/>
        <w:autoSpaceDN w:val="0"/>
        <w:adjustRightInd w:val="0"/>
        <w:spacing w:after="0" w:line="240" w:lineRule="auto"/>
        <w:rPr>
          <w:rFonts w:cs="TimesNewRoman"/>
          <w:sz w:val="24"/>
          <w:szCs w:val="24"/>
        </w:rPr>
      </w:pPr>
      <w:r>
        <w:rPr>
          <w:sz w:val="24"/>
          <w:szCs w:val="24"/>
        </w:rPr>
        <w:t>1) Joogitopsid, sealhulgas nende sulgurid ja kaaned;</w:t>
      </w:r>
    </w:p>
    <w:p w14:paraId="3161AADB"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0AE4665C" w14:textId="797DE972"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toiduanumad, st näiteks karbid, sulgemisvahenditega või ilma, mida kasutatakse sellise toidu hoidmiseks, mis:</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on ette nähtud koheseks tarbimiseks kas kohapeal või kaasa võtmiseks,</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tarbitakse tavaliselt mahutist ja</w:t>
      </w:r>
    </w:p>
    <w:p w14:paraId="3F279B9C" w14:textId="6E71BE23"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on söömiseks valmis ilma täiendava ettevalmistamiseta, näiteks küpsetamise, keetmise või kuumutamiseta. </w:t>
      </w:r>
    </w:p>
    <w:p w14:paraId="6D897427" w14:textId="77777777" w:rsidR="007104F8" w:rsidRPr="009F205B" w:rsidRDefault="007104F8" w:rsidP="007104F8">
      <w:pPr>
        <w:autoSpaceDE w:val="0"/>
        <w:autoSpaceDN w:val="0"/>
        <w:adjustRightInd w:val="0"/>
        <w:spacing w:after="0" w:line="240" w:lineRule="auto"/>
        <w:ind w:left="720"/>
        <w:rPr>
          <w:rFonts w:cs="TimesNewRoman"/>
          <w:sz w:val="24"/>
          <w:szCs w:val="24"/>
          <w:lang w:eastAsia="fr-BE"/>
        </w:rPr>
      </w:pPr>
    </w:p>
    <w:p w14:paraId="4D39FD1E" w14:textId="1C982B25" w:rsidR="007104F8" w:rsidRDefault="007104F8" w:rsidP="007104F8">
      <w:pPr>
        <w:autoSpaceDE w:val="0"/>
        <w:autoSpaceDN w:val="0"/>
        <w:adjustRightInd w:val="0"/>
        <w:spacing w:after="0" w:line="240" w:lineRule="auto"/>
        <w:ind w:left="720"/>
        <w:rPr>
          <w:rFonts w:cs="TimesNewRoman"/>
          <w:sz w:val="24"/>
          <w:szCs w:val="24"/>
        </w:rPr>
      </w:pPr>
      <w:r>
        <w:rPr>
          <w:sz w:val="24"/>
          <w:szCs w:val="24"/>
        </w:rPr>
        <w:t>Siia hulka kuuluvad ka kiirtoidu või muu koheseks tarbimiseks mõeldud valmistoidu jaoks kasutatavad toiduanumad, välja arvatud joogianumad, taldrikud ning toitu sisaldavad kotikesed ja ümbrised.</w:t>
      </w:r>
    </w:p>
    <w:p w14:paraId="44B058F7"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OSA B</w:t>
      </w:r>
    </w:p>
    <w:p w14:paraId="2B07ED60" w14:textId="77777777" w:rsidR="007104F8" w:rsidRPr="009F205B" w:rsidRDefault="007104F8" w:rsidP="00206537">
      <w:pPr>
        <w:keepNext/>
        <w:keepLines/>
        <w:autoSpaceDE w:val="0"/>
        <w:autoSpaceDN w:val="0"/>
        <w:adjustRightInd w:val="0"/>
        <w:spacing w:after="0" w:line="240" w:lineRule="auto"/>
        <w:jc w:val="center"/>
        <w:rPr>
          <w:rFonts w:cs="TimesNewRoman"/>
          <w:sz w:val="24"/>
          <w:szCs w:val="24"/>
          <w:lang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Artiklis 5 osutatud ühekordseks kasutamiseks mõeldud plasttooted, mis on seotud turule laskmise piirangutega</w:t>
      </w:r>
    </w:p>
    <w:p w14:paraId="7391D162"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3C1AA1F9" w14:textId="4D30E179" w:rsidR="007104F8" w:rsidRDefault="007104F8" w:rsidP="007104F8">
      <w:pPr>
        <w:autoSpaceDE w:val="0"/>
        <w:autoSpaceDN w:val="0"/>
        <w:adjustRightInd w:val="0"/>
        <w:spacing w:after="0" w:line="240" w:lineRule="auto"/>
        <w:rPr>
          <w:rFonts w:cs="TimesNewRoman"/>
          <w:sz w:val="24"/>
          <w:szCs w:val="24"/>
        </w:rPr>
      </w:pPr>
      <w:r>
        <w:rPr>
          <w:sz w:val="24"/>
          <w:szCs w:val="24"/>
        </w:rPr>
        <w:t>1) Vatitikud, välja arvatud need, mis on hõlmatud nõukogu direktiiviga 90/385/EMÜ</w:t>
      </w:r>
      <w:r>
        <w:rPr>
          <w:rStyle w:val="FootnoteReference"/>
          <w:rFonts w:cs="TimesNewRoman"/>
          <w:sz w:val="24"/>
          <w:szCs w:val="24"/>
          <w:lang w:val="fr-LU" w:eastAsia="fr-BE"/>
        </w:rPr>
        <w:footnoteReference w:id="1"/>
      </w:r>
      <w:r>
        <w:rPr>
          <w:sz w:val="24"/>
          <w:szCs w:val="24"/>
        </w:rPr>
        <w:t xml:space="preserve"> või nõukogu direktiiviga 93/42/EMÜ</w:t>
      </w:r>
      <w:r>
        <w:rPr>
          <w:rStyle w:val="FootnoteReference"/>
          <w:rFonts w:cs="TimesNewRoman"/>
          <w:sz w:val="24"/>
          <w:szCs w:val="24"/>
          <w:lang w:val="fr-LU" w:eastAsia="fr-BE"/>
        </w:rPr>
        <w:footnoteReference w:id="2"/>
      </w:r>
      <w:r>
        <w:rPr>
          <w:sz w:val="24"/>
          <w:szCs w:val="24"/>
        </w:rPr>
        <w:t>;</w:t>
      </w:r>
    </w:p>
    <w:p w14:paraId="64C4B395"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692A4B12" w14:textId="1FEFB2FD" w:rsidR="007104F8" w:rsidRDefault="007104F8" w:rsidP="007104F8">
      <w:pPr>
        <w:autoSpaceDE w:val="0"/>
        <w:autoSpaceDN w:val="0"/>
        <w:adjustRightInd w:val="0"/>
        <w:spacing w:after="0" w:line="240" w:lineRule="auto"/>
        <w:rPr>
          <w:rFonts w:cs="TimesNewRoman"/>
          <w:sz w:val="24"/>
          <w:szCs w:val="24"/>
        </w:rPr>
      </w:pPr>
      <w:r>
        <w:rPr>
          <w:sz w:val="24"/>
          <w:szCs w:val="24"/>
        </w:rPr>
        <w:t>2) söögiriistad (kahvlid, noad, lusikad, söögipulgad);</w:t>
      </w:r>
    </w:p>
    <w:p w14:paraId="168ED99E"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013F4158" w14:textId="5B57855F" w:rsidR="007104F8" w:rsidRDefault="007104F8" w:rsidP="007104F8">
      <w:pPr>
        <w:autoSpaceDE w:val="0"/>
        <w:autoSpaceDN w:val="0"/>
        <w:adjustRightInd w:val="0"/>
        <w:spacing w:after="0" w:line="240" w:lineRule="auto"/>
        <w:rPr>
          <w:rFonts w:cs="TimesNewRoman"/>
          <w:sz w:val="24"/>
          <w:szCs w:val="24"/>
        </w:rPr>
      </w:pPr>
      <w:r>
        <w:rPr>
          <w:sz w:val="24"/>
          <w:szCs w:val="24"/>
        </w:rPr>
        <w:t>3) taldrikud;</w:t>
      </w:r>
    </w:p>
    <w:p w14:paraId="72BA7042"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75718305" w14:textId="0B5C9F81" w:rsidR="007104F8" w:rsidRDefault="007104F8" w:rsidP="007104F8">
      <w:pPr>
        <w:autoSpaceDE w:val="0"/>
        <w:autoSpaceDN w:val="0"/>
        <w:adjustRightInd w:val="0"/>
        <w:spacing w:after="0" w:line="240" w:lineRule="auto"/>
        <w:rPr>
          <w:rFonts w:cs="TimesNewRoman"/>
          <w:sz w:val="24"/>
          <w:szCs w:val="24"/>
        </w:rPr>
      </w:pPr>
      <w:r>
        <w:rPr>
          <w:sz w:val="24"/>
          <w:szCs w:val="24"/>
        </w:rPr>
        <w:t>4) kõrred, välja arvatud need, mis on hõlmatud direktiiviga 90/385/EMÜ või direktiiviga 93/42/EMÜ;</w:t>
      </w:r>
    </w:p>
    <w:p w14:paraId="1EBC438A"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3777CE30" w14:textId="27EE38EA" w:rsidR="007104F8" w:rsidRDefault="007104F8" w:rsidP="007104F8">
      <w:pPr>
        <w:autoSpaceDE w:val="0"/>
        <w:autoSpaceDN w:val="0"/>
        <w:adjustRightInd w:val="0"/>
        <w:spacing w:after="0" w:line="240" w:lineRule="auto"/>
        <w:rPr>
          <w:rFonts w:cs="TimesNewRoman"/>
          <w:sz w:val="24"/>
          <w:szCs w:val="24"/>
        </w:rPr>
      </w:pPr>
      <w:r>
        <w:rPr>
          <w:sz w:val="24"/>
          <w:szCs w:val="24"/>
        </w:rPr>
        <w:t>5) joogi segamise kõrred;</w:t>
      </w:r>
    </w:p>
    <w:p w14:paraId="0A2DE51A"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1DBACBDF" w14:textId="1586009E" w:rsidR="007104F8" w:rsidRDefault="007104F8" w:rsidP="007104F8">
      <w:pPr>
        <w:autoSpaceDE w:val="0"/>
        <w:autoSpaceDN w:val="0"/>
        <w:adjustRightInd w:val="0"/>
        <w:spacing w:after="0" w:line="240" w:lineRule="auto"/>
        <w:rPr>
          <w:rFonts w:cs="TimesNewRoman"/>
          <w:sz w:val="24"/>
          <w:szCs w:val="24"/>
        </w:rPr>
      </w:pPr>
      <w:r>
        <w:rPr>
          <w:sz w:val="24"/>
          <w:szCs w:val="24"/>
        </w:rPr>
        <w:t>6) vardad, mis on ette nähtud õhupallide kinnitamiseks, välja arvatud õhupallid, mida kasutatakse tööstuslikuks või professionaalseks otstarbeks ja mida ei levitata tarbijatele, ning nende varraste mehhanismid;</w:t>
      </w:r>
    </w:p>
    <w:p w14:paraId="222BF10C"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0ACB1455" w14:textId="50D25F13"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paisutatud polüstüreenist toiduanumad, st näiteks karbid, sulgemisvahenditega või ilma, mida kasutatakse sellise toidu hoidmiseks, mis:</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on ette nähtud koheseks tarbimiseks kas kohapeal või kaasa võtmiseks,</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tarbitakse tavaliselt mahutist ja</w:t>
      </w:r>
    </w:p>
    <w:p w14:paraId="145D000F" w14:textId="3196462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on söömiseks valmis ilma täiendava ettevalmistamiseta, näiteks küpsetamise, keetmise või kuumutamiseta.</w:t>
      </w:r>
    </w:p>
    <w:p w14:paraId="4ED8044F" w14:textId="6D0E0F5F" w:rsidR="007104F8" w:rsidRDefault="007104F8" w:rsidP="007104F8">
      <w:pPr>
        <w:autoSpaceDE w:val="0"/>
        <w:autoSpaceDN w:val="0"/>
        <w:adjustRightInd w:val="0"/>
        <w:spacing w:after="0" w:line="240" w:lineRule="auto"/>
        <w:ind w:left="720"/>
        <w:rPr>
          <w:rFonts w:cs="TimesNewRoman"/>
          <w:sz w:val="24"/>
          <w:szCs w:val="24"/>
        </w:rPr>
      </w:pPr>
      <w:r>
        <w:rPr>
          <w:sz w:val="24"/>
          <w:szCs w:val="24"/>
        </w:rPr>
        <w:t>Siia hulka kuuluvad ka kiirtoidu või muu koheseks tarbimiseks mõeldud valmistoidu jaoks kasutatavad toiduanumad, välja arvatud joogianumad, taldrikud ning toitu sisaldavad kotikesed ja ümbrised.</w:t>
      </w:r>
    </w:p>
    <w:p w14:paraId="502A21C4" w14:textId="77777777" w:rsidR="007104F8" w:rsidRPr="009F205B" w:rsidRDefault="007104F8" w:rsidP="007104F8">
      <w:pPr>
        <w:autoSpaceDE w:val="0"/>
        <w:autoSpaceDN w:val="0"/>
        <w:adjustRightInd w:val="0"/>
        <w:spacing w:after="0" w:line="240" w:lineRule="auto"/>
        <w:ind w:left="720"/>
        <w:rPr>
          <w:rFonts w:cs="TimesNewRoman"/>
          <w:sz w:val="24"/>
          <w:szCs w:val="24"/>
          <w:lang w:eastAsia="fr-BE"/>
        </w:rPr>
      </w:pPr>
    </w:p>
    <w:p w14:paraId="7B5E3896" w14:textId="2DFB54B8" w:rsidR="007104F8" w:rsidRDefault="007104F8" w:rsidP="007104F8">
      <w:pPr>
        <w:autoSpaceDE w:val="0"/>
        <w:autoSpaceDN w:val="0"/>
        <w:adjustRightInd w:val="0"/>
        <w:spacing w:after="0" w:line="240" w:lineRule="auto"/>
        <w:rPr>
          <w:rFonts w:cs="TimesNewRoman"/>
          <w:sz w:val="24"/>
          <w:szCs w:val="24"/>
        </w:rPr>
      </w:pPr>
      <w:r>
        <w:rPr>
          <w:sz w:val="24"/>
          <w:szCs w:val="24"/>
        </w:rPr>
        <w:t>8) paisutatud polüstüreenist joogianumad, sealhulgas nende korgid ja kaaned;</w:t>
      </w:r>
    </w:p>
    <w:p w14:paraId="68ADD145"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6F422ACA" w14:textId="1DEDDEA1" w:rsidR="007104F8" w:rsidRDefault="007104F8" w:rsidP="007104F8">
      <w:pPr>
        <w:autoSpaceDE w:val="0"/>
        <w:autoSpaceDN w:val="0"/>
        <w:adjustRightInd w:val="0"/>
        <w:spacing w:after="0" w:line="240" w:lineRule="auto"/>
        <w:rPr>
          <w:rFonts w:cs="TimesNewRoman"/>
          <w:sz w:val="24"/>
          <w:szCs w:val="24"/>
        </w:rPr>
      </w:pPr>
      <w:r>
        <w:rPr>
          <w:sz w:val="24"/>
          <w:szCs w:val="24"/>
        </w:rPr>
        <w:t>9) paisutatud polüstüreenist joogitopsid, sealhulgas nende sulgurid ja kaaned.</w:t>
      </w:r>
    </w:p>
    <w:p w14:paraId="587088B5"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OSA C</w:t>
      </w:r>
    </w:p>
    <w:p w14:paraId="6758B3BF"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Artikli 6 lõikes 1 osutatud ühekordselt kasutatavad plasttooted, mis on seotud toodetele kohaldatavate nõuetega</w:t>
      </w:r>
    </w:p>
    <w:p w14:paraId="528B58D7"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Joogianumad mahutavusega kuni kolm liitrit, st vedelike hoidmiseks kasutatavad anumad, näiteks joogipudelid ning nende korgid ja kaaned ning komposiitjoogipakendid ning nende korgid ja kaaned, välja arvatud:</w:t>
      </w:r>
    </w:p>
    <w:p w14:paraId="03848E6F"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klaasist või metallist plastkorkide ja -kaantega jooginõud;</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 meditsiiniliseks eriotstarbeks mõeldud vedelate söökide anumad Euroopa Parlamendi ja nõukogu määruse (EL) nr 609/2013</w:t>
      </w:r>
      <w:r>
        <w:rPr>
          <w:rStyle w:val="FootnoteReference"/>
          <w:rFonts w:cs="TimesNewRoman"/>
          <w:sz w:val="24"/>
          <w:szCs w:val="24"/>
          <w:lang w:val="fr-LU" w:eastAsia="fr-BE"/>
        </w:rPr>
        <w:footnoteReference w:id="3"/>
      </w:r>
      <w:r>
        <w:rPr>
          <w:sz w:val="24"/>
          <w:szCs w:val="24"/>
        </w:rPr>
        <w:t xml:space="preserve"> artikli 2 punkti g tähenduses.</w:t>
      </w:r>
    </w:p>
    <w:p w14:paraId="5847DFF4" w14:textId="77777777" w:rsidR="007104F8" w:rsidRPr="009F205B" w:rsidRDefault="007104F8" w:rsidP="007104F8">
      <w:pPr>
        <w:autoSpaceDE w:val="0"/>
        <w:autoSpaceDN w:val="0"/>
        <w:adjustRightInd w:val="0"/>
        <w:spacing w:after="0" w:line="240" w:lineRule="auto"/>
        <w:ind w:left="720"/>
        <w:rPr>
          <w:rFonts w:cs="TimesNewRoman"/>
          <w:sz w:val="24"/>
          <w:szCs w:val="24"/>
          <w:lang w:eastAsia="fr-BE"/>
        </w:rPr>
      </w:pPr>
    </w:p>
    <w:p w14:paraId="5867733F" w14:textId="77777777" w:rsidR="007104F8" w:rsidRPr="009F205B" w:rsidRDefault="007104F8" w:rsidP="007104F8">
      <w:pPr>
        <w:autoSpaceDE w:val="0"/>
        <w:autoSpaceDN w:val="0"/>
        <w:adjustRightInd w:val="0"/>
        <w:spacing w:after="0" w:line="240" w:lineRule="auto"/>
        <w:ind w:left="720"/>
        <w:rPr>
          <w:rFonts w:cs="TimesNewRoman"/>
          <w:sz w:val="24"/>
          <w:szCs w:val="24"/>
          <w:lang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OSA D</w:t>
      </w:r>
    </w:p>
    <w:p w14:paraId="5BD02B07" w14:textId="77777777" w:rsidR="007104F8" w:rsidRPr="009F205B" w:rsidRDefault="007104F8" w:rsidP="00206537">
      <w:pPr>
        <w:keepNext/>
        <w:keepLines/>
        <w:autoSpaceDE w:val="0"/>
        <w:autoSpaceDN w:val="0"/>
        <w:adjustRightInd w:val="0"/>
        <w:spacing w:after="0" w:line="240" w:lineRule="auto"/>
        <w:jc w:val="center"/>
        <w:rPr>
          <w:rFonts w:cs="TimesNewRoman"/>
          <w:sz w:val="24"/>
          <w:szCs w:val="24"/>
          <w:lang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Artiklis 7 osutatud ühekordseks kasutamiseks mõeldud plasttooted, mis on seotud märgistamisnõuetega</w:t>
      </w:r>
    </w:p>
    <w:p w14:paraId="5D11F487"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14DEC3AD" w14:textId="49827A6A" w:rsidR="007104F8" w:rsidRDefault="007104F8" w:rsidP="007104F8">
      <w:pPr>
        <w:autoSpaceDE w:val="0"/>
        <w:autoSpaceDN w:val="0"/>
        <w:adjustRightInd w:val="0"/>
        <w:spacing w:after="0" w:line="240" w:lineRule="auto"/>
        <w:rPr>
          <w:rFonts w:cs="TimesNewRoman"/>
          <w:sz w:val="24"/>
          <w:szCs w:val="24"/>
        </w:rPr>
      </w:pPr>
      <w:r>
        <w:rPr>
          <w:sz w:val="24"/>
          <w:szCs w:val="24"/>
        </w:rPr>
        <w:t>1) Hügieenisidemed, tampoonid ja tampoonide aplikaatorid;</w:t>
      </w:r>
    </w:p>
    <w:p w14:paraId="41057527" w14:textId="77777777" w:rsidR="007104F8" w:rsidRPr="009F205B" w:rsidRDefault="007104F8" w:rsidP="007104F8">
      <w:pPr>
        <w:autoSpaceDE w:val="0"/>
        <w:autoSpaceDN w:val="0"/>
        <w:adjustRightInd w:val="0"/>
        <w:spacing w:after="0" w:line="240" w:lineRule="auto"/>
        <w:rPr>
          <w:rFonts w:cs="TimesNewRoman"/>
          <w:sz w:val="24"/>
          <w:szCs w:val="24"/>
          <w:lang w:val="es-ES" w:eastAsia="fr-BE"/>
        </w:rPr>
      </w:pPr>
    </w:p>
    <w:p w14:paraId="096C2094" w14:textId="49412627" w:rsidR="007104F8" w:rsidRDefault="007104F8" w:rsidP="007104F8">
      <w:pPr>
        <w:autoSpaceDE w:val="0"/>
        <w:autoSpaceDN w:val="0"/>
        <w:adjustRightInd w:val="0"/>
        <w:spacing w:after="0" w:line="240" w:lineRule="auto"/>
        <w:rPr>
          <w:rFonts w:cs="TimesNewRoman"/>
          <w:sz w:val="24"/>
          <w:szCs w:val="24"/>
        </w:rPr>
      </w:pPr>
      <w:r>
        <w:rPr>
          <w:sz w:val="24"/>
          <w:szCs w:val="24"/>
        </w:rPr>
        <w:t>2) niisked salvrätikud, st eelnevalt leotatud salvrätikud keha ja majapidamise jaoks;</w:t>
      </w:r>
    </w:p>
    <w:p w14:paraId="142A8537" w14:textId="77777777" w:rsidR="007104F8" w:rsidRPr="009F205B" w:rsidRDefault="007104F8" w:rsidP="007104F8">
      <w:pPr>
        <w:autoSpaceDE w:val="0"/>
        <w:autoSpaceDN w:val="0"/>
        <w:adjustRightInd w:val="0"/>
        <w:spacing w:after="0" w:line="240" w:lineRule="auto"/>
        <w:rPr>
          <w:rFonts w:cs="TimesNewRoman"/>
          <w:sz w:val="24"/>
          <w:szCs w:val="24"/>
          <w:lang w:val="es-ES" w:eastAsia="fr-BE"/>
        </w:rPr>
      </w:pPr>
    </w:p>
    <w:p w14:paraId="3E455257" w14:textId="636176A4"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filtritega tubakatooted ja filtrid, mida turustatakse kasutamiseks koos </w:t>
      </w:r>
    </w:p>
    <w:p w14:paraId="0474B8C3" w14:textId="2D114E91" w:rsidR="007104F8" w:rsidRDefault="007104F8" w:rsidP="007104F8">
      <w:pPr>
        <w:autoSpaceDE w:val="0"/>
        <w:autoSpaceDN w:val="0"/>
        <w:adjustRightInd w:val="0"/>
        <w:spacing w:after="0" w:line="240" w:lineRule="auto"/>
        <w:rPr>
          <w:rFonts w:cs="TimesNewRoman"/>
          <w:sz w:val="24"/>
          <w:szCs w:val="24"/>
        </w:rPr>
      </w:pPr>
      <w:r>
        <w:rPr>
          <w:sz w:val="24"/>
          <w:szCs w:val="24"/>
        </w:rPr>
        <w:t>tubakatoodetega;</w:t>
      </w:r>
    </w:p>
    <w:p w14:paraId="0CE0CC90"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27145AE0" w14:textId="0BFFD41D"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joogitopsid.</w:t>
      </w:r>
    </w:p>
    <w:p w14:paraId="52EEFD72"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OSA E</w:t>
      </w:r>
    </w:p>
    <w:p w14:paraId="368DB66B" w14:textId="77777777" w:rsidR="007104F8" w:rsidRPr="009F205B" w:rsidRDefault="007104F8" w:rsidP="00206537">
      <w:pPr>
        <w:keepNext/>
        <w:keepLines/>
        <w:autoSpaceDE w:val="0"/>
        <w:autoSpaceDN w:val="0"/>
        <w:adjustRightInd w:val="0"/>
        <w:spacing w:after="0" w:line="240" w:lineRule="auto"/>
        <w:jc w:val="center"/>
        <w:rPr>
          <w:rFonts w:cs="TimesNewRoman"/>
          <w:sz w:val="24"/>
          <w:szCs w:val="24"/>
          <w:lang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Artiklis 8 osutatud ühekordseks kasutamiseks mõeldud plasttooted, mis on seotud laiendatud tootjavastutusega</w:t>
      </w:r>
    </w:p>
    <w:p w14:paraId="7A479525"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Toiduanumad, st näiteks karbid, sulgemisvahenditega või ilma, mida kasutatakse sellise toidu hoidmiseks, mis:</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on ette nähtud koheseks tarbimiseks kas kohapeal või kaasa võtmiseks,</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tarbitakse tavaliselt mahutist ja</w:t>
      </w:r>
    </w:p>
    <w:p w14:paraId="3FE7ABD4" w14:textId="7079224A"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on söömiseks valmis ilma täiendava ettevalmistamiseta, näiteks küpsetamise, keetmise või kuumutamiseta.</w:t>
      </w:r>
    </w:p>
    <w:p w14:paraId="35B7BE9B" w14:textId="72257534" w:rsidR="007104F8" w:rsidRDefault="007104F8" w:rsidP="007104F8">
      <w:pPr>
        <w:autoSpaceDE w:val="0"/>
        <w:autoSpaceDN w:val="0"/>
        <w:adjustRightInd w:val="0"/>
        <w:spacing w:after="0" w:line="240" w:lineRule="auto"/>
        <w:ind w:left="720"/>
        <w:rPr>
          <w:rFonts w:cs="TimesNewRoman"/>
          <w:sz w:val="24"/>
          <w:szCs w:val="24"/>
        </w:rPr>
      </w:pPr>
      <w:r>
        <w:rPr>
          <w:sz w:val="24"/>
          <w:szCs w:val="24"/>
        </w:rPr>
        <w:lastRenderedPageBreak/>
        <w:t>Siia hulka kuuluvad ka kiirtoidu või muu koheseks tarbimiseks mõeldud valmistoidu jaoks kasutatavad toiduanumad, välja arvatud joogianumad, taldrikud ning toitu sisaldavad kotikesed ja ümbrised.</w:t>
      </w:r>
    </w:p>
    <w:p w14:paraId="65180AEF" w14:textId="77777777" w:rsidR="007104F8" w:rsidRPr="009F205B" w:rsidRDefault="007104F8" w:rsidP="007104F8">
      <w:pPr>
        <w:autoSpaceDE w:val="0"/>
        <w:autoSpaceDN w:val="0"/>
        <w:adjustRightInd w:val="0"/>
        <w:spacing w:after="0" w:line="240" w:lineRule="auto"/>
        <w:ind w:left="720"/>
        <w:rPr>
          <w:rFonts w:cs="TimesNewRoman"/>
          <w:sz w:val="24"/>
          <w:szCs w:val="24"/>
          <w:lang w:eastAsia="fr-BE"/>
        </w:rPr>
      </w:pPr>
    </w:p>
    <w:p w14:paraId="66686FBA" w14:textId="220E43B4" w:rsidR="007104F8" w:rsidRDefault="007104F8" w:rsidP="007104F8">
      <w:pPr>
        <w:autoSpaceDE w:val="0"/>
        <w:autoSpaceDN w:val="0"/>
        <w:adjustRightInd w:val="0"/>
        <w:spacing w:after="0" w:line="240" w:lineRule="auto"/>
        <w:rPr>
          <w:rFonts w:cs="TimesNewRoman"/>
          <w:sz w:val="24"/>
          <w:szCs w:val="24"/>
        </w:rPr>
      </w:pPr>
      <w:r>
        <w:rPr>
          <w:sz w:val="24"/>
          <w:szCs w:val="24"/>
        </w:rPr>
        <w:t>2) Paindlikest materjalidest valmistatud kotikesed ja pakendid, mis sisaldavad toitu, mis on mõeldud ilma ettevalmistamiseta kotikesest või pakendist tarbimiseks;</w:t>
      </w:r>
    </w:p>
    <w:p w14:paraId="4F932AE8"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5BE1D52E" w14:textId="20588FD6" w:rsidR="007104F8" w:rsidRDefault="007104F8" w:rsidP="007104F8">
      <w:pPr>
        <w:autoSpaceDE w:val="0"/>
        <w:autoSpaceDN w:val="0"/>
        <w:adjustRightInd w:val="0"/>
        <w:spacing w:after="0" w:line="240" w:lineRule="auto"/>
        <w:rPr>
          <w:rFonts w:cs="TimesNewRoman"/>
          <w:sz w:val="24"/>
          <w:szCs w:val="24"/>
        </w:rPr>
      </w:pPr>
      <w:r>
        <w:rPr>
          <w:sz w:val="24"/>
          <w:szCs w:val="24"/>
        </w:rPr>
        <w:t>3) joogianumad mahutavusega kuni kolm liitrit, st vedelike hoidmiseks kasutatavad anumad, näiteks joogipudelid ning nende korgid ja kaaned ning komposiitjoogipakendid ning nende korgid ja kaaned, välja arvatud klaasist või metallist plastkorkide ja -kaantega jooginõud;</w:t>
      </w:r>
    </w:p>
    <w:p w14:paraId="01BC29D2"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2A9D042E" w14:textId="0092CB41" w:rsidR="007104F8" w:rsidRDefault="007104F8" w:rsidP="007104F8">
      <w:pPr>
        <w:autoSpaceDE w:val="0"/>
        <w:autoSpaceDN w:val="0"/>
        <w:adjustRightInd w:val="0"/>
        <w:spacing w:after="0" w:line="240" w:lineRule="auto"/>
        <w:rPr>
          <w:rFonts w:cs="TimesNewRoman"/>
          <w:sz w:val="24"/>
          <w:szCs w:val="24"/>
        </w:rPr>
      </w:pPr>
      <w:r>
        <w:rPr>
          <w:sz w:val="24"/>
          <w:szCs w:val="24"/>
        </w:rPr>
        <w:t>4) Joogitopsid, sealhulgas nende sulgurid ja kaaned;</w:t>
      </w:r>
    </w:p>
    <w:p w14:paraId="64B6169A"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388E0423" w14:textId="1A8C2D2B" w:rsidR="007104F8" w:rsidRDefault="007104F8" w:rsidP="007104F8">
      <w:pPr>
        <w:autoSpaceDE w:val="0"/>
        <w:autoSpaceDN w:val="0"/>
        <w:adjustRightInd w:val="0"/>
        <w:spacing w:after="0" w:line="240" w:lineRule="auto"/>
        <w:rPr>
          <w:rFonts w:cs="TimesNewRoman"/>
          <w:sz w:val="24"/>
          <w:szCs w:val="24"/>
        </w:rPr>
      </w:pPr>
      <w:r>
        <w:rPr>
          <w:sz w:val="24"/>
          <w:szCs w:val="24"/>
        </w:rPr>
        <w:t>5) direktiivi 94/62/EÜ artikli 3 punktis 1c määratletud kerged kilekotid.</w:t>
      </w:r>
    </w:p>
    <w:p w14:paraId="3B4185A9"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Artikli 8 lõikes 3 osutatud ühekordseks kasutamiseks mõeldud plasttooted, mis on seotud laiendatud tootjavastutusega</w:t>
      </w:r>
    </w:p>
    <w:p w14:paraId="43B4B06D" w14:textId="77777777" w:rsidR="007104F8" w:rsidRPr="009F205B" w:rsidRDefault="007104F8" w:rsidP="00206537">
      <w:pPr>
        <w:keepNext/>
        <w:keepLines/>
        <w:autoSpaceDE w:val="0"/>
        <w:autoSpaceDN w:val="0"/>
        <w:adjustRightInd w:val="0"/>
        <w:spacing w:after="0" w:line="240" w:lineRule="auto"/>
        <w:rPr>
          <w:rFonts w:cs="TimesNewRoman"/>
          <w:b/>
          <w:sz w:val="24"/>
          <w:szCs w:val="24"/>
          <w:lang w:eastAsia="fr-BE"/>
        </w:rPr>
      </w:pPr>
    </w:p>
    <w:p w14:paraId="05E117B9" w14:textId="34D633B3" w:rsidR="007104F8" w:rsidRDefault="007104F8" w:rsidP="007104F8">
      <w:pPr>
        <w:autoSpaceDE w:val="0"/>
        <w:autoSpaceDN w:val="0"/>
        <w:adjustRightInd w:val="0"/>
        <w:spacing w:after="0" w:line="240" w:lineRule="auto"/>
        <w:rPr>
          <w:rFonts w:cs="TimesNewRoman"/>
          <w:sz w:val="24"/>
          <w:szCs w:val="24"/>
        </w:rPr>
      </w:pPr>
      <w:r>
        <w:rPr>
          <w:sz w:val="24"/>
          <w:szCs w:val="24"/>
        </w:rPr>
        <w:t>1) niisked salvrätikud, st eelnevalt leotatud salvrätikud keha ja majapidamise jaoks;</w:t>
      </w:r>
    </w:p>
    <w:p w14:paraId="2757CAAF"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6E075112" w14:textId="188A284B" w:rsidR="007104F8" w:rsidRDefault="007104F8" w:rsidP="007104F8">
      <w:pPr>
        <w:autoSpaceDE w:val="0"/>
        <w:autoSpaceDN w:val="0"/>
        <w:adjustRightInd w:val="0"/>
        <w:spacing w:after="0" w:line="240" w:lineRule="auto"/>
        <w:rPr>
          <w:rFonts w:cs="TimesNewRoman"/>
          <w:sz w:val="24"/>
          <w:szCs w:val="24"/>
        </w:rPr>
      </w:pPr>
      <w:r>
        <w:rPr>
          <w:sz w:val="24"/>
          <w:szCs w:val="24"/>
        </w:rPr>
        <w:t>2) õhupallid, välja arvatud õhupallid, mida kasutatakse tööstuslikuks või professionaalseks otstarbeks ja mida ei levitata tarbijatele.</w:t>
      </w:r>
    </w:p>
    <w:p w14:paraId="29BE13E8"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Muud artikli 8 lõikes 3 osutatud ühekordseks kasutamiseks mõeldud plasttooted, mis on seotud laiendatud tootjavastutusega</w:t>
      </w:r>
    </w:p>
    <w:p w14:paraId="4EDA4433"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Filtritega tubakatooted ja filtrid, mida turustatakse kasutamiseks koos tubakatoodetega.</w:t>
      </w:r>
    </w:p>
    <w:p w14:paraId="46190EB7"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OSA F</w:t>
      </w:r>
    </w:p>
    <w:p w14:paraId="707C2C4D"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Artiklis 9 osutatud ühekordselt kasutatavad plasttooted, mis on seotud eraldi kogumisega ja artikli 6 lõikes 2 osutatud ühekordselt kasutatavad plasttooted, mis on seotud toodetele kohaldatavate nõuetega</w:t>
      </w:r>
    </w:p>
    <w:p w14:paraId="662CE3DB"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Kuni kolme liitrise mahuga joogipudelid koos korkide ja kaantega, välja arvatud:</w:t>
      </w:r>
    </w:p>
    <w:p w14:paraId="7F00F129"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klaasist või metallist plastkorkide ja -kaantega joogipudelid;</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meditsiiniliseks eriotstarbeks mõeldud vedelate söökide pudelid määruse (EL) nr 609/2013 artikli 2 punkti g tähenduses.</w:t>
      </w:r>
    </w:p>
    <w:p w14:paraId="575CC872"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OSA G</w:t>
      </w:r>
    </w:p>
    <w:p w14:paraId="35956E6D" w14:textId="77777777" w:rsidR="007104F8" w:rsidRPr="009F205B" w:rsidRDefault="007104F8" w:rsidP="00206537">
      <w:pPr>
        <w:keepNext/>
        <w:keepLines/>
        <w:autoSpaceDE w:val="0"/>
        <w:autoSpaceDN w:val="0"/>
        <w:adjustRightInd w:val="0"/>
        <w:spacing w:after="0" w:line="240" w:lineRule="auto"/>
        <w:jc w:val="center"/>
        <w:rPr>
          <w:rFonts w:cs="TimesNewRoman"/>
          <w:sz w:val="24"/>
          <w:szCs w:val="24"/>
          <w:lang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Artiklis 10 osutatud ühekordseks kasutamiseks mõeldud plasttooted, mis on seotud teadlikkuse suurendamise meetmega</w:t>
      </w:r>
    </w:p>
    <w:p w14:paraId="3CEDF162" w14:textId="77777777" w:rsidR="007104F8" w:rsidRPr="009F205B" w:rsidRDefault="007104F8" w:rsidP="00206537">
      <w:pPr>
        <w:keepNext/>
        <w:keepLines/>
        <w:autoSpaceDE w:val="0"/>
        <w:autoSpaceDN w:val="0"/>
        <w:adjustRightInd w:val="0"/>
        <w:spacing w:after="0" w:line="240" w:lineRule="auto"/>
        <w:rPr>
          <w:rFonts w:cs="TimesNewRoman"/>
          <w:sz w:val="24"/>
          <w:szCs w:val="24"/>
          <w:lang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Toiduanumad, st näiteks karbid, sulgemisvahenditega või ilma, mida kasutatakse sellise toidu hoidmiseks, mis:</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on ette nähtud koheseks tarbimiseks kas kohapeal või kaasa võtmiseks,</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tarbitakse tavaliselt mahutist ja</w:t>
      </w:r>
    </w:p>
    <w:p w14:paraId="39DE0733" w14:textId="0738814E"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on söömiseks valmis ilma täiendava ettevalmistamiseta, näiteks küpsetamise, keetmise või kuumutamiseta.</w:t>
      </w:r>
    </w:p>
    <w:p w14:paraId="15C702C7" w14:textId="1DC54413" w:rsidR="007104F8" w:rsidRDefault="007104F8" w:rsidP="007104F8">
      <w:pPr>
        <w:autoSpaceDE w:val="0"/>
        <w:autoSpaceDN w:val="0"/>
        <w:adjustRightInd w:val="0"/>
        <w:spacing w:after="0" w:line="240" w:lineRule="auto"/>
        <w:ind w:left="720"/>
        <w:rPr>
          <w:rFonts w:cs="TimesNewRoman"/>
          <w:sz w:val="24"/>
          <w:szCs w:val="24"/>
        </w:rPr>
      </w:pPr>
      <w:r>
        <w:rPr>
          <w:sz w:val="24"/>
          <w:szCs w:val="24"/>
        </w:rPr>
        <w:t>Siia hulka kuuluvad ka kiirtoidu või muu koheseks tarbimiseks mõeldud valmistoidu jaoks kasutatavad toiduanumad, välja arvatud joogianumad, taldrikud ning toitu sisaldavad kotikesed ja ümbrised.</w:t>
      </w:r>
    </w:p>
    <w:p w14:paraId="0EC23834"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4BF2E74D" w14:textId="33D1479C" w:rsidR="007104F8" w:rsidRDefault="007104F8" w:rsidP="007104F8">
      <w:pPr>
        <w:autoSpaceDE w:val="0"/>
        <w:autoSpaceDN w:val="0"/>
        <w:adjustRightInd w:val="0"/>
        <w:spacing w:after="0" w:line="240" w:lineRule="auto"/>
        <w:rPr>
          <w:rFonts w:cs="TimesNewRoman"/>
          <w:sz w:val="24"/>
          <w:szCs w:val="24"/>
        </w:rPr>
      </w:pPr>
      <w:r>
        <w:rPr>
          <w:sz w:val="24"/>
          <w:szCs w:val="24"/>
        </w:rPr>
        <w:t>2) Paindlikest materjalidest valmistatud kotikesed ja pakendid, mis sisaldavad toitu, mis on mõeldud ilma ettevalmistamiseta kotikesest või pakendist tarbimiseks;</w:t>
      </w:r>
    </w:p>
    <w:p w14:paraId="40A04898"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600DBDF7" w14:textId="0091A07D" w:rsidR="007104F8" w:rsidRDefault="007104F8" w:rsidP="007104F8">
      <w:pPr>
        <w:autoSpaceDE w:val="0"/>
        <w:autoSpaceDN w:val="0"/>
        <w:adjustRightInd w:val="0"/>
        <w:spacing w:after="0" w:line="240" w:lineRule="auto"/>
        <w:rPr>
          <w:rFonts w:cs="TimesNewRoman"/>
          <w:sz w:val="24"/>
          <w:szCs w:val="24"/>
        </w:rPr>
      </w:pPr>
      <w:r>
        <w:rPr>
          <w:sz w:val="24"/>
          <w:szCs w:val="24"/>
        </w:rPr>
        <w:t>3) joogianumad mahutavusega kuni kolm liitrit, st vedelike hoidmiseks kasutatavad anumad, näiteks joogipudelid ning nende korgid ja kaaned ning komposiitjoogipakendid ning nende korgid ja kaaned, välja arvatud klaasist või metallist plastkorkide ja -kaantega jooginõud;</w:t>
      </w:r>
    </w:p>
    <w:p w14:paraId="0A3DA944"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7A9344D4" w14:textId="6DC68119" w:rsidR="007104F8" w:rsidRDefault="007104F8" w:rsidP="007104F8">
      <w:pPr>
        <w:autoSpaceDE w:val="0"/>
        <w:autoSpaceDN w:val="0"/>
        <w:adjustRightInd w:val="0"/>
        <w:spacing w:after="0" w:line="240" w:lineRule="auto"/>
        <w:rPr>
          <w:rFonts w:cs="TimesNewRoman"/>
          <w:sz w:val="24"/>
          <w:szCs w:val="24"/>
        </w:rPr>
      </w:pPr>
      <w:r>
        <w:rPr>
          <w:sz w:val="24"/>
          <w:szCs w:val="24"/>
        </w:rPr>
        <w:t>4) Joogitopsid, sealhulgas nende sulgurid ja kaaned;</w:t>
      </w:r>
    </w:p>
    <w:p w14:paraId="7EC482E1"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53DDFA55" w14:textId="65F943C2" w:rsidR="007104F8" w:rsidRDefault="007104F8" w:rsidP="007104F8">
      <w:pPr>
        <w:autoSpaceDE w:val="0"/>
        <w:autoSpaceDN w:val="0"/>
        <w:adjustRightInd w:val="0"/>
        <w:spacing w:after="0" w:line="240" w:lineRule="auto"/>
        <w:rPr>
          <w:rFonts w:cs="TimesNewRoman"/>
          <w:sz w:val="24"/>
          <w:szCs w:val="24"/>
        </w:rPr>
      </w:pPr>
      <w:r>
        <w:rPr>
          <w:sz w:val="24"/>
          <w:szCs w:val="24"/>
        </w:rPr>
        <w:t>5) filtritega tubakatooted ja filtrid, mida turustatakse kasutamiseks koos tubakatoodetega;</w:t>
      </w:r>
    </w:p>
    <w:p w14:paraId="05D96DD1"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0156A3BA" w14:textId="4B901229" w:rsidR="007104F8" w:rsidRDefault="007104F8" w:rsidP="007104F8">
      <w:pPr>
        <w:autoSpaceDE w:val="0"/>
        <w:autoSpaceDN w:val="0"/>
        <w:adjustRightInd w:val="0"/>
        <w:spacing w:after="0" w:line="240" w:lineRule="auto"/>
        <w:rPr>
          <w:rFonts w:cs="TimesNewRoman"/>
          <w:sz w:val="24"/>
          <w:szCs w:val="24"/>
        </w:rPr>
      </w:pPr>
      <w:r>
        <w:rPr>
          <w:sz w:val="24"/>
          <w:szCs w:val="24"/>
        </w:rPr>
        <w:t>6) niisked salvrätikud, st eelnevalt leotatud salvrätikud keha ja majapidamise jaoks;</w:t>
      </w:r>
    </w:p>
    <w:p w14:paraId="73D3BDE8"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1D2954FC" w14:textId="61622F05" w:rsidR="007104F8" w:rsidRDefault="007104F8" w:rsidP="007104F8">
      <w:pPr>
        <w:autoSpaceDE w:val="0"/>
        <w:autoSpaceDN w:val="0"/>
        <w:adjustRightInd w:val="0"/>
        <w:spacing w:after="0" w:line="240" w:lineRule="auto"/>
        <w:rPr>
          <w:rFonts w:cs="TimesNewRoman"/>
          <w:sz w:val="24"/>
          <w:szCs w:val="24"/>
        </w:rPr>
      </w:pPr>
      <w:r>
        <w:rPr>
          <w:sz w:val="24"/>
          <w:szCs w:val="24"/>
        </w:rPr>
        <w:t>7) õhupallid, välja arvatud õhupallid, mida kasutatakse tööstuslikuks või professionaalseks otstarbeks ja mida ei levitata tarbijatele;</w:t>
      </w:r>
    </w:p>
    <w:p w14:paraId="55AE158C"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127D7913" w14:textId="7A81D913" w:rsidR="007104F8" w:rsidRDefault="007104F8" w:rsidP="007104F8">
      <w:pPr>
        <w:autoSpaceDE w:val="0"/>
        <w:autoSpaceDN w:val="0"/>
        <w:adjustRightInd w:val="0"/>
        <w:spacing w:after="0" w:line="240" w:lineRule="auto"/>
        <w:rPr>
          <w:rFonts w:cs="TimesNewRoman"/>
          <w:sz w:val="24"/>
          <w:szCs w:val="24"/>
        </w:rPr>
      </w:pPr>
      <w:r>
        <w:rPr>
          <w:sz w:val="24"/>
          <w:szCs w:val="24"/>
        </w:rPr>
        <w:t>8) direktiivi 94/62/EÜ artikli 3 punktis 1c määratletud kerged kilekotid;</w:t>
      </w:r>
    </w:p>
    <w:p w14:paraId="729A7FE0" w14:textId="77777777" w:rsidR="007104F8" w:rsidRPr="009F205B" w:rsidRDefault="007104F8" w:rsidP="007104F8">
      <w:pPr>
        <w:autoSpaceDE w:val="0"/>
        <w:autoSpaceDN w:val="0"/>
        <w:adjustRightInd w:val="0"/>
        <w:spacing w:after="0" w:line="240" w:lineRule="auto"/>
        <w:rPr>
          <w:rFonts w:cs="TimesNewRoman"/>
          <w:sz w:val="24"/>
          <w:szCs w:val="24"/>
          <w:lang w:eastAsia="fr-BE"/>
        </w:rPr>
      </w:pPr>
    </w:p>
    <w:p w14:paraId="2C28BA80" w14:textId="6271B05A" w:rsidR="007104F8" w:rsidRDefault="007104F8" w:rsidP="007104F8">
      <w:pPr>
        <w:autoSpaceDE w:val="0"/>
        <w:autoSpaceDN w:val="0"/>
        <w:adjustRightInd w:val="0"/>
        <w:spacing w:after="0" w:line="240" w:lineRule="auto"/>
        <w:rPr>
          <w:rFonts w:cs="TimesNewRoman"/>
          <w:sz w:val="24"/>
          <w:szCs w:val="24"/>
        </w:rPr>
      </w:pPr>
      <w:r>
        <w:rPr>
          <w:sz w:val="24"/>
          <w:szCs w:val="24"/>
        </w:rPr>
        <w:t>9) hügieenisidemed, tampoonid ja tampoonide aplikaatorid.</w:t>
      </w:r>
    </w:p>
    <w:p w14:paraId="3187795F" w14:textId="77777777" w:rsidR="007104F8" w:rsidRPr="009F205B" w:rsidRDefault="007104F8" w:rsidP="007104F8">
      <w:pPr>
        <w:autoSpaceDE w:val="0"/>
        <w:autoSpaceDN w:val="0"/>
        <w:adjustRightInd w:val="0"/>
        <w:spacing w:after="0" w:line="240" w:lineRule="auto"/>
        <w:rPr>
          <w:rFonts w:cs="TimesNewRoman"/>
          <w:sz w:val="24"/>
          <w:szCs w:val="24"/>
          <w:lang w:val="es-ES" w:eastAsia="fr-BE"/>
        </w:rPr>
      </w:pPr>
    </w:p>
    <w:p w14:paraId="3548062F" w14:textId="77777777" w:rsidR="007104F8" w:rsidRPr="009F205B" w:rsidRDefault="007104F8" w:rsidP="007104F8">
      <w:pPr>
        <w:autoSpaceDE w:val="0"/>
        <w:autoSpaceDN w:val="0"/>
        <w:adjustRightInd w:val="0"/>
        <w:spacing w:after="0" w:line="240" w:lineRule="auto"/>
        <w:rPr>
          <w:rFonts w:cs="TimesNewRoman"/>
          <w:sz w:val="24"/>
          <w:szCs w:val="24"/>
          <w:lang w:val="es-ES" w:eastAsia="fr-BE"/>
        </w:rPr>
      </w:pPr>
    </w:p>
    <w:p w14:paraId="2721F64B" w14:textId="77777777" w:rsidR="007104F8" w:rsidRPr="009F205B" w:rsidRDefault="007104F8" w:rsidP="007104F8">
      <w:pPr>
        <w:autoSpaceDE w:val="0"/>
        <w:autoSpaceDN w:val="0"/>
        <w:adjustRightInd w:val="0"/>
        <w:spacing w:after="0" w:line="240" w:lineRule="auto"/>
        <w:rPr>
          <w:rFonts w:cs="TimesNewRoman"/>
          <w:sz w:val="24"/>
          <w:szCs w:val="24"/>
          <w:lang w:val="es-ES" w:eastAsia="fr-BE"/>
        </w:rPr>
      </w:pPr>
    </w:p>
    <w:p w14:paraId="5CF25E15" w14:textId="77777777" w:rsidR="007104F8" w:rsidRPr="009F205B" w:rsidRDefault="007104F8" w:rsidP="007104F8">
      <w:pPr>
        <w:autoSpaceDE w:val="0"/>
        <w:autoSpaceDN w:val="0"/>
        <w:adjustRightInd w:val="0"/>
        <w:spacing w:after="0" w:line="240" w:lineRule="auto"/>
        <w:rPr>
          <w:rFonts w:cs="TimesNewRoman"/>
          <w:sz w:val="24"/>
          <w:szCs w:val="24"/>
          <w:lang w:val="es-ES" w:eastAsia="fr-BE"/>
        </w:rPr>
      </w:pPr>
    </w:p>
    <w:p w14:paraId="5910265E" w14:textId="77777777" w:rsidR="007104F8" w:rsidRPr="009F205B" w:rsidRDefault="007104F8" w:rsidP="007104F8">
      <w:pPr>
        <w:autoSpaceDE w:val="0"/>
        <w:autoSpaceDN w:val="0"/>
        <w:adjustRightInd w:val="0"/>
        <w:spacing w:after="0" w:line="240" w:lineRule="auto"/>
        <w:rPr>
          <w:rFonts w:cs="TimesNewRoman"/>
          <w:sz w:val="24"/>
          <w:szCs w:val="24"/>
          <w:lang w:val="es-ES" w:eastAsia="fr-BE"/>
        </w:rPr>
      </w:pPr>
    </w:p>
    <w:p w14:paraId="5B9CBCB6" w14:textId="77777777" w:rsidR="007104F8" w:rsidRPr="009F205B" w:rsidRDefault="007104F8" w:rsidP="007104F8">
      <w:pPr>
        <w:autoSpaceDE w:val="0"/>
        <w:autoSpaceDN w:val="0"/>
        <w:adjustRightInd w:val="0"/>
        <w:spacing w:after="0" w:line="240" w:lineRule="auto"/>
        <w:rPr>
          <w:rFonts w:cs="TimesNewRoman"/>
          <w:sz w:val="24"/>
          <w:szCs w:val="24"/>
          <w:lang w:val="es-ES" w:eastAsia="fr-BE"/>
        </w:rPr>
      </w:pPr>
    </w:p>
    <w:p w14:paraId="270086C8" w14:textId="77777777" w:rsidR="007104F8" w:rsidRPr="009F205B" w:rsidRDefault="007104F8" w:rsidP="007104F8">
      <w:pPr>
        <w:autoSpaceDE w:val="0"/>
        <w:autoSpaceDN w:val="0"/>
        <w:adjustRightInd w:val="0"/>
        <w:spacing w:after="0" w:line="240" w:lineRule="auto"/>
        <w:rPr>
          <w:rFonts w:cs="TimesNewRoman"/>
          <w:sz w:val="24"/>
          <w:szCs w:val="24"/>
          <w:lang w:val="es-ES" w:eastAsia="fr-BE"/>
        </w:rPr>
      </w:pPr>
    </w:p>
    <w:p w14:paraId="5A3F7960" w14:textId="77777777" w:rsidR="00A613C2" w:rsidRPr="009F205B" w:rsidRDefault="00A613C2" w:rsidP="007104F8">
      <w:pPr>
        <w:spacing w:after="200" w:line="276" w:lineRule="auto"/>
        <w:rPr>
          <w:rFonts w:cs="TimesNewRoman"/>
          <w:sz w:val="24"/>
          <w:szCs w:val="24"/>
          <w:lang w:val="es-ES" w:eastAsia="fr-BE"/>
        </w:rPr>
      </w:pPr>
    </w:p>
    <w:sectPr w:rsidR="00A613C2" w:rsidRPr="009F20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3E874FAD" w:rsidR="007104F8" w:rsidRPr="006227D4" w:rsidRDefault="007104F8" w:rsidP="007104F8">
      <w:pPr>
        <w:pStyle w:val="FootnoteText"/>
      </w:pPr>
      <w:r>
        <w:rPr>
          <w:rStyle w:val="FootnoteReference"/>
        </w:rPr>
        <w:footnoteRef/>
      </w:r>
      <w:r>
        <w:t xml:space="preserve"> Nõukogu 20. juuni 1990. aasta direktiiv 90/385/EMÜ aktiivseid siirdatavaid meditsiiniseadmeid käsitlevate liikmesriikide õigusnormide ühtlustamise kohta (EÜT L 189, 20.7.1990, lk 17)</w:t>
      </w:r>
    </w:p>
  </w:footnote>
  <w:footnote w:id="2">
    <w:p w14:paraId="42EC3717" w14:textId="680877A9" w:rsidR="007104F8" w:rsidRPr="006227D4" w:rsidRDefault="007104F8" w:rsidP="007104F8">
      <w:pPr>
        <w:pStyle w:val="FootnoteText"/>
      </w:pPr>
      <w:r>
        <w:rPr>
          <w:rStyle w:val="FootnoteReference"/>
        </w:rPr>
        <w:footnoteRef/>
      </w:r>
      <w:r>
        <w:t xml:space="preserve"> Nõukogu 14. juuni 1993. aasta direktiiv 93/42/EMÜ meditsiiniseadmete kohta (EÜT L 169, 12.7.1993, lk 1)</w:t>
      </w:r>
    </w:p>
  </w:footnote>
  <w:footnote w:id="3">
    <w:p w14:paraId="7B0A379B" w14:textId="77777777" w:rsidR="007104F8" w:rsidRPr="006227D4" w:rsidRDefault="007104F8" w:rsidP="007104F8">
      <w:pPr>
        <w:pStyle w:val="FootnoteText"/>
      </w:pPr>
      <w:r>
        <w:rPr>
          <w:rStyle w:val="FootnoteReference"/>
        </w:rPr>
        <w:footnoteRef/>
      </w:r>
      <w:r>
        <w:t xml:space="preserve"> Euroopa Parlamendi ja nõukogu määrus (EL) nr 609/2013, 12. juuni 2013, imikute ja väikelaste toidu, meditsiinilisel näidustusel kasutamiseks ette nähtud toidu ning kehakaalu alandamiseks ette nähtud päevase toidu asendajate kohta, millega tunnistatakse kehtetuks nõukogu direktiiv 92/52/EMÜ, komisjoni direktiivid 96/8/EÜ, 1999/21/EÜ, 2006/125/EÜ ja 2006/141/EÜ, Euroopa Parlamendi ja nõukogu direktiiv 2009/39/EÜ ning komisjoni määrused (EÜ) nr 41/2009 ja (EÜ) nr 953/2009 (ELT L 181, 29.6.2013, lk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0D4E9D"/>
    <w:rsid w:val="00206537"/>
    <w:rsid w:val="00475004"/>
    <w:rsid w:val="007104F8"/>
    <w:rsid w:val="009F205B"/>
    <w:rsid w:val="00A613C2"/>
    <w:rsid w:val="00ED3BD5"/>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et-EE"/>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742A-84B2-4FA2-979D-AB14B50E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5</cp:revision>
  <dcterms:created xsi:type="dcterms:W3CDTF">2020-07-29T07:14:00Z</dcterms:created>
  <dcterms:modified xsi:type="dcterms:W3CDTF">2020-08-12T09:09:00Z</dcterms:modified>
</cp:coreProperties>
</file>