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8CCB6" w14:textId="44933DA4" w:rsidR="000C1A12" w:rsidRDefault="000C1A12" w:rsidP="000C1A12">
      <w:pPr>
        <w:spacing w:after="0" w:line="240" w:lineRule="auto"/>
        <w:rPr>
          <w:b/>
          <w:sz w:val="32"/>
          <w:szCs w:val="32"/>
        </w:rPr>
      </w:pPr>
      <w:r>
        <w:rPr>
          <w:rFonts w:ascii="Courier New" w:hAnsi="Courier New"/>
          <w:sz w:val="20"/>
          <w:szCs w:val="20"/>
        </w:rPr>
        <w:t>1. ------IND- 2020 0486 L-- FI- ------ 20200812 --- --- PROJET</w:t>
      </w:r>
    </w:p>
    <w:p w14:paraId="5AB4C723" w14:textId="5E46F097" w:rsidR="007104F8" w:rsidRPr="008E1574" w:rsidRDefault="007104F8" w:rsidP="00206537">
      <w:pPr>
        <w:keepNext/>
        <w:keepLines/>
        <w:jc w:val="center"/>
        <w:rPr>
          <w:b/>
          <w:sz w:val="32"/>
          <w:szCs w:val="32"/>
        </w:rPr>
      </w:pPr>
      <w:r>
        <w:rPr>
          <w:b/>
          <w:sz w:val="32"/>
          <w:szCs w:val="32"/>
        </w:rPr>
        <w:t>Luonnos laiksi tiettyjen muovituotteiden ympäristövaikutuksen vähentämisestä</w:t>
      </w:r>
    </w:p>
    <w:p w14:paraId="64486307" w14:textId="77777777" w:rsidR="007104F8" w:rsidRPr="008E1574" w:rsidRDefault="007104F8" w:rsidP="00206537">
      <w:pPr>
        <w:pStyle w:val="Article"/>
        <w:keepNext/>
        <w:keepLines/>
        <w:numPr>
          <w:ilvl w:val="0"/>
          <w:numId w:val="0"/>
        </w:numPr>
        <w:spacing w:before="240"/>
        <w:rPr>
          <w:rFonts w:asciiTheme="minorHAnsi" w:hAnsiTheme="minorHAnsi"/>
          <w:sz w:val="24"/>
          <w:szCs w:val="24"/>
          <w:lang w:val="fr-LU"/>
        </w:rPr>
      </w:pPr>
    </w:p>
    <w:p w14:paraId="480BF12A" w14:textId="77777777" w:rsidR="007104F8" w:rsidRPr="008E1574" w:rsidRDefault="007104F8" w:rsidP="00206537">
      <w:pPr>
        <w:pStyle w:val="Article"/>
        <w:keepNext/>
        <w:keepLines/>
        <w:numPr>
          <w:ilvl w:val="0"/>
          <w:numId w:val="0"/>
        </w:numPr>
        <w:spacing w:before="240"/>
        <w:rPr>
          <w:rFonts w:asciiTheme="minorHAnsi" w:hAnsiTheme="minorHAnsi"/>
          <w:b w:val="0"/>
          <w:sz w:val="24"/>
          <w:szCs w:val="24"/>
        </w:rPr>
      </w:pPr>
      <w:r>
        <w:rPr>
          <w:rFonts w:asciiTheme="minorHAnsi" w:hAnsiTheme="minorHAnsi"/>
          <w:sz w:val="24"/>
          <w:szCs w:val="24"/>
        </w:rPr>
        <w:t>1 §. Tavoitteet</w:t>
      </w:r>
    </w:p>
    <w:p w14:paraId="0D2FA823" w14:textId="77777777" w:rsidR="007104F8" w:rsidRPr="008E1574" w:rsidRDefault="007104F8" w:rsidP="007104F8">
      <w:pPr>
        <w:pStyle w:val="Article"/>
        <w:numPr>
          <w:ilvl w:val="0"/>
          <w:numId w:val="0"/>
        </w:numPr>
        <w:spacing w:before="240"/>
        <w:rPr>
          <w:rFonts w:asciiTheme="minorHAnsi" w:hAnsiTheme="minorHAnsi"/>
          <w:b w:val="0"/>
          <w:sz w:val="24"/>
          <w:szCs w:val="24"/>
        </w:rPr>
      </w:pPr>
      <w:r>
        <w:rPr>
          <w:rFonts w:asciiTheme="minorHAnsi" w:hAnsiTheme="minorHAnsi"/>
          <w:b w:val="0"/>
          <w:sz w:val="24"/>
          <w:szCs w:val="24"/>
        </w:rPr>
        <w:t>Tämän lain tavoitteena on ehkäistä ja vähentää tiettyjen muovituotteiden vaikutusta ympäristöön, erityisesti vesiympäristöön, ja ihmisten terveyteen sekä edistää siirtymistä kiertotalouteen, jossa käytetään innovatiivisia ja kestäviä liiketoimintamalleja, tuotteita ja materiaaleja, ja siten edistää myös sisämarkkinoiden tehokasta toimintaa.</w:t>
      </w:r>
    </w:p>
    <w:p w14:paraId="7851EBF3"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2 §. Soveltamisala</w:t>
      </w:r>
    </w:p>
    <w:p w14:paraId="79D5D40B"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Tätä lakia sovelletaan kertakäyttöisiin muovituotteisiin, jotka luetellaan liitteessä, oxo-hajoavasta muovista valmistettuihin tuotteisiin ja muovia sisältäviin kalastusvälineisiin.</w:t>
      </w:r>
    </w:p>
    <w:p w14:paraId="1B349320"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Laki on erityislaki suhteessa jätteistä ja luonnonvaroista 21 päivänä maaliskuuta 2012 annettuun lakiin, sellaisena kuin se on muutettuna, (jäljempänä ’21 päivänä maaliskuuta 2012 annettu laki’) ja pakkauksista ja pakkausjätteistä 21 päivänä maaliskuuta 2017 annettuun lakiin, sellaisena kuin se on muutettuna. </w:t>
      </w:r>
    </w:p>
    <w:p w14:paraId="4AFCE01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szCs w:val="24"/>
        </w:rPr>
        <w:t>3 §. Määritelmät</w:t>
      </w:r>
    </w:p>
    <w:p w14:paraId="622E4F76"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Tässä laissa käytetään seuraavia määritelmiä: </w:t>
      </w:r>
    </w:p>
    <w:p w14:paraId="25AB5209" w14:textId="77777777" w:rsidR="007104F8" w:rsidRPr="00187383"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 ”kalastusvälinejäte”: kalastusvälineet, jotka kuuluvat 21 päivänä maaliskuuta 2012 annetun lain 4 §:ssä esitetyn jätteen määritelmän soveltamisalaan, mukaan luettuina kaikki erilliset osat, aineet tai materiaalit, jotka olivat osa kyseistä kalastusvälinettä tai liitetty siihen, kun se hävitettiin, hylätyt ja kadonneet kalastusvälineet mukaan luettuina;</w:t>
      </w:r>
    </w:p>
    <w:p w14:paraId="3876F9E3"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”pakkaus”: pakkauksista ja pakkausjätteistä 21 päivänä maaliskuuta 2017 annetun lain, sellaisena kuin se on muutettuna, 3 §:ssä määritelty pakkaus; </w:t>
      </w:r>
    </w:p>
    <w:p w14:paraId="475D5268"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3° ”kalastusväline”: esine tai laitteen osa, jota käytetään kalastuksessa tai vesiviljelyssä meren elollisten luonnonvarojen pyyntiin tai kasvattamiseen tai joka kelluu merenpinnalla ja jolla pyritään houkuttelemaan ja pyytämään tai kasvattamaan tällaisia meren elollisia luonnonvaroja;</w:t>
      </w:r>
    </w:p>
    <w:p w14:paraId="622F2A8F"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4° ”asettaminen saataville markkinoilla”: tuotteen toimittaminen Luxemburgin markkinoille liiketoiminnan yhteydessä jakelua, kulutusta tai käyttöä varten joko maksua vastaan tai veloituksetta; </w:t>
      </w:r>
    </w:p>
    <w:p w14:paraId="4680946E"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5° ”markkinoille saattaminen”: tuotteen asettaminen ensimmäistä kertaa saataville Luxemburgin markkinoilla;</w:t>
      </w:r>
    </w:p>
    <w:p w14:paraId="4DCB09B1" w14:textId="3766227D"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 xml:space="preserve">6° ”yhdenmukaistettu standardi”: asetuksen (EU) N:o 1025/2012 2 artiklan 1 alakohdan c alakohdassa määritelty yhdenmukaistettu standardi; </w:t>
      </w:r>
    </w:p>
    <w:p w14:paraId="013F9AF4"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7° ”muovi”: materiaali, joka koostuu asetuksen (EY) N:o 1907/2006 3 artiklan 5 alakohdassa määritellystä polymeeristä, johon on saatettu lisätä lisäaineita tai muita aineita ja joka soveltuu lopputuotteiden päärakenneosaksi, mukaan luettuina polymeeripohjaiset kumit ja biopohjaiset tai biohajoavat muovit riippumatta siitä, onko ne saatu biomassasta tai onko niiden tarkoitettu hajoavan biologisesti ajan myötä. </w:t>
      </w:r>
    </w:p>
    <w:p w14:paraId="00283958" w14:textId="1003AC00"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Tämän määritelmän ulkopuolelle jäävät luonnonpolymeerit, joita ei ole kemiallisesti muunnettu;</w:t>
      </w:r>
    </w:p>
    <w:p w14:paraId="222C8903" w14:textId="6F82549A"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8° ”biohajoava muovi”: muovi, joka hajoaa fysikaalisesti tai biologisesti siten, että se hajoaa lopulta hiilidioksidiksi (CO</w:t>
      </w:r>
      <w:r>
        <w:rPr>
          <w:rFonts w:asciiTheme="minorHAnsi" w:hAnsiTheme="minorHAnsi"/>
          <w:b w:val="0"/>
          <w:sz w:val="24"/>
          <w:szCs w:val="24"/>
          <w:vertAlign w:val="subscript"/>
        </w:rPr>
        <w:t>2</w:t>
      </w:r>
      <w:r>
        <w:rPr>
          <w:rFonts w:asciiTheme="minorHAnsi" w:hAnsiTheme="minorHAnsi"/>
          <w:b w:val="0"/>
          <w:sz w:val="24"/>
          <w:szCs w:val="24"/>
        </w:rPr>
        <w:t>), biomassaksi ja vedeksi ja joka on kompostoinnin ja anaerobisen hajoamisen avulla hyödynnettävää pakkausta koskevien eurooppalaisten standardien mukainen;</w:t>
      </w:r>
    </w:p>
    <w:p w14:paraId="2191053B" w14:textId="77EA3864"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9° ”oxo-hajoava muovi”: muovimateriaali, jonka sisältämät lisäaineet hapettumisen kautta aiheuttavat muovimateriaalin pilkkoutumisen mikrorakeiseksi tai sen kemiallisen hajoamisen;</w:t>
      </w:r>
    </w:p>
    <w:p w14:paraId="53825AE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10° ”tupakkatuotteet”: tupakoinnin torjunnasta 11 päivänä elokuuta 2006 annetun lain, sellaisena kuin se on muutettuna, 2 §:n 1 momentin a alamomentissa määritellyt tupakkatuotteet;</w:t>
      </w:r>
    </w:p>
    <w:p w14:paraId="4AE76CF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11° ”kertakäyttöinen muovituote”: tuote, joka on tehty kokonaan tai osittain muovista ja jota ei ole suunniteltu tai saatettu markkinoille kestämään elinkaarensa aikana useita käyttökertoja siten, että se palautettaisiin tuottajalle täytettäväksi tai sitä käytettäisiin uudelleen alkuperäiseen tarkoitukseen. </w:t>
      </w:r>
    </w:p>
    <w:p w14:paraId="2B4D5B3D"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Maaliskuun 21 päivänä 2012 annetun lain, sellaisena kuin se on muutettuna, 4 §:ssä esitettyjä käsitteiden ”jätteet”, ”keräys”, ”erilliskeräys”, ”käsittely”, ”tuotteiden tuottaja” ja ”laajennettua tuottajan vastuuta koskeva järjestelmä” määritelmiä sovelletaan.</w:t>
      </w:r>
    </w:p>
    <w:p w14:paraId="51B1FC84"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4 §. Kulutuksen vähentäminen</w:t>
      </w:r>
    </w:p>
    <w:p w14:paraId="34312720" w14:textId="69968051"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Tuotteiden tuottajien on toteutettava toimenpiteet, joilla on päästävä liitteessä olevassa A osassa lueteltujen kertakäyttöisten muovituotteiden kulutuksessa mitattavissa olevaan määrälliseen vähennykseen vuoteen 2026 mennessä vuoden 2022 tasoon verrattuna. Vähennyksen on oltava kyseessä olevalla ajanjaksolla vähintään 20 prosenttia markkinoille saatettuihin yksiköihin verrattuna. Tammikuun 1 päivästä 2026 alkaen kunakin vuonna on saavutettava vähintään 10 prosentin vähennys edellisenä vuonna markkinoille saatettuihin määriin verrattuna. Tuotteiden tuottajien on annettava kyseisen velvoitteen täyttäminen 21 päivänä maaliskuuta 2012 annetun lain 19 §:n mukaisesti hyväksytyn elimen tehtäväksi. </w:t>
      </w:r>
    </w:p>
    <w:p w14:paraId="5CB6C1E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Ympäristöstä vastaava ministeri (jäljempänä ’ministeri’) valvoo niiden tarvittavien toimenpiteiden koordinointia, joilla vähennetään kunnianhimoisesti ja pysyvästi liitteessä olevassa A osassa lueteltujen kertakäyttöisten muovituotteiden kulutusta unionin jätepolitiikan </w:t>
      </w:r>
      <w:r>
        <w:rPr>
          <w:rFonts w:asciiTheme="minorHAnsi" w:hAnsiTheme="minorHAnsi"/>
          <w:b w:val="0"/>
          <w:sz w:val="24"/>
          <w:szCs w:val="24"/>
        </w:rPr>
        <w:lastRenderedPageBreak/>
        <w:t xml:space="preserve">yleisten tavoitteiden mukaisesti, erityisesti jätteen syntymisen ehkäisemisen osalta, ja joilla saadaan selvästi käännettyä kulutuksen kasvavat suuntaukset. </w:t>
      </w:r>
    </w:p>
    <w:p w14:paraId="6A3A8FF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Ympäristöhallinto seuraa liitteessä olevassa A osassa lueteltuja markkinoille saatettuja kertakäyttöisiä muovituotteita ja toteutettuja vähentämistoimenpiteitä.</w:t>
      </w:r>
    </w:p>
    <w:p w14:paraId="63B2D68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bookmarkStart w:id="0" w:name="_Hlk25240711"/>
      <w:r>
        <w:rPr>
          <w:rFonts w:asciiTheme="minorHAnsi" w:hAnsiTheme="minorHAnsi"/>
          <w:b w:val="0"/>
          <w:sz w:val="24"/>
          <w:szCs w:val="24"/>
        </w:rPr>
        <w:t>Tätä varten hyväksytty elin ilmoittaa 21 päivänä maaliskuuta 2012 annetun lain 35 §:ssä tarkoitetun vuosikertomuksen yhteydessä liitteessä olevassa A osassa esitettyjen sellaisten kertakäyttöisten muovituotteiden määrät, jotka on asetettu saataville markkinoilla edeltävän vuoden aikana.</w:t>
      </w:r>
    </w:p>
    <w:bookmarkEnd w:id="0"/>
    <w:p w14:paraId="5EDC7E96"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szCs w:val="24"/>
        </w:rPr>
        <w:t>5 §. Markkinoille saattamisen rajoittaminen</w:t>
      </w:r>
    </w:p>
    <w:p w14:paraId="4BF12B4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Liitteessä olevassa B osassa lueteltujen kertakäyttöisten muovituotteiden ja oxo-hajoavasta muovista valmistettujen tuotteiden saattaminen markkinoille on kielletty.</w:t>
      </w:r>
    </w:p>
    <w:p w14:paraId="7E15A352"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6 §. Tuotevaatimukset</w:t>
      </w:r>
    </w:p>
    <w:p w14:paraId="1F2775E8"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(1) Liitteessä olevassa C osassa luetellut kertakäyttöiset muovituotteet, joiden korkit ja kannet on valmistettu muovista, voidaan saattaa markkinoille ainoastaan, jos korkit ja kannet pysyvät kiinni juomapakkauksissa tuotteiden suunnitellun käyttövaiheen ajan. </w:t>
      </w:r>
    </w:p>
    <w:p w14:paraId="47E2F5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Metallikorkkien ja -kansien, joissa on muoviset tiivisteet, ei katsota olevan valmistettu muovista.</w:t>
      </w:r>
    </w:p>
    <w:p w14:paraId="68E4025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Liitteessä olevassa F osassa lueteltujen juomapullojen osalta sovelletaan seuraavia vaatimuksia: </w:t>
      </w:r>
    </w:p>
    <w:p w14:paraId="0E3B3C72" w14:textId="64BACC5D" w:rsidR="007104F8" w:rsidRPr="005423E9" w:rsidRDefault="007104F8" w:rsidP="007104F8">
      <w:pPr>
        <w:pStyle w:val="Article"/>
        <w:numPr>
          <w:ilvl w:val="0"/>
          <w:numId w:val="0"/>
        </w:numPr>
        <w:spacing w:before="240"/>
        <w:ind w:left="851"/>
        <w:rPr>
          <w:rFonts w:asciiTheme="minorHAnsi" w:hAnsiTheme="minorHAnsi" w:cs="TimesNewRoman"/>
          <w:b w:val="0"/>
          <w:spacing w:val="-2"/>
          <w:sz w:val="24"/>
          <w:szCs w:val="24"/>
        </w:rPr>
      </w:pPr>
      <w:r w:rsidRPr="005423E9">
        <w:rPr>
          <w:rFonts w:asciiTheme="minorHAnsi" w:hAnsiTheme="minorHAnsi"/>
          <w:b w:val="0"/>
          <w:spacing w:val="-2"/>
          <w:sz w:val="24"/>
          <w:szCs w:val="24"/>
        </w:rPr>
        <w:t xml:space="preserve">1° vuodesta 2025 alkaen liitteessä olevassa F osassa luetellut juomapullot, joiden valmistuksessa pääasiallisena materiaalina on käytetty polyeteenitereftalaattia (jäljempänä ’PET-pullot’), sisältävät kierrätettyä muovia vähintään 25 prosenttia kaikkien </w:t>
      </w:r>
      <w:bookmarkStart w:id="1" w:name="_Hlk25242138"/>
      <w:r w:rsidRPr="005423E9">
        <w:rPr>
          <w:rFonts w:asciiTheme="minorHAnsi" w:hAnsiTheme="minorHAnsi"/>
          <w:b w:val="0"/>
          <w:spacing w:val="-2"/>
          <w:sz w:val="24"/>
          <w:szCs w:val="24"/>
        </w:rPr>
        <w:t>saman tuottajan</w:t>
      </w:r>
      <w:bookmarkEnd w:id="1"/>
      <w:r w:rsidRPr="005423E9">
        <w:rPr>
          <w:rFonts w:asciiTheme="minorHAnsi" w:hAnsiTheme="minorHAnsi"/>
          <w:b w:val="0"/>
          <w:spacing w:val="-2"/>
          <w:sz w:val="24"/>
          <w:szCs w:val="24"/>
        </w:rPr>
        <w:t xml:space="preserve"> markkinoille saattamien PET-pullojen keskiarvona laskettuna; ja</w:t>
      </w:r>
    </w:p>
    <w:p w14:paraId="118A9DA9" w14:textId="77777777"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szCs w:val="24"/>
        </w:rPr>
        <w:t>2° vuodesta 2030 alkaen liitteessä olevassa F osassa luetellut juomapullot sisältävät kierrätettyä muovia vähintään 30 prosenttia kaikkien saman tuottajan markkinoille saattamien tällaisten juomapullojen keskiarvona laskettuna.</w:t>
      </w:r>
    </w:p>
    <w:p w14:paraId="0DCF115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Tätä varten 21 päivänä maaliskuuta 2012 annetun lain 19 §:n mukaisesti hyväksytty elin ilmoittaa saman lain 35 §:ssä tarkoitetun vuosikertomuksen yhteydessä edeltävän vuoden aikana markkinoilla saataville asetettujen PET-pullojen määrät ja kyseisistä pulloista kierrätetyn muovin prosenttiosuuden keskiarvon. Jollei Euroopan unionin täytäntöönpanosäädöstä ole, ympäristöhallinto vahvistaa menetelmät tavoitteiden laskemiseksi ja todentamiseksi.</w:t>
      </w:r>
    </w:p>
    <w:p w14:paraId="5BDA2D18"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lastRenderedPageBreak/>
        <w:t xml:space="preserve">7 §. Merkintävaatimukset </w:t>
      </w:r>
    </w:p>
    <w:p w14:paraId="5C00EBC7" w14:textId="4D3C03B6"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(1) Kunkin liitteessä olevassa D osassa mainitun markkinoille saatetun kertakäyttöisen muovituotteen pakkaukseen tai itse tuotteeseen on liitettävä näkyvästi ja pysyvästi helposti luettavissa oleva merkintä, jossa annetaan kuluttajille seuraavat tiedot:</w:t>
      </w:r>
    </w:p>
    <w:p w14:paraId="2A620703" w14:textId="5AE2E52C"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szCs w:val="24"/>
        </w:rPr>
        <w:t>1° kyseessä olevalle tuotteelle sopivat, jätehierarkian mukaiset jätehuoltovaihtoehdot tai sen osalta vältettävät jätteen loppukäsittelyvaihtoehdot, ja</w:t>
      </w:r>
    </w:p>
    <w:p w14:paraId="0DB3D024" w14:textId="77777777"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szCs w:val="24"/>
        </w:rPr>
        <w:t>2° tuotteen sisältämä muovi ja haitalliset ympäristövaikutukset, joita se aiheuttaa roskaantumisen tai tuotteen muun epäasianmukaisen loppukäsittelyn kautta.</w:t>
      </w:r>
    </w:p>
    <w:p w14:paraId="4644A495"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(2) Tämän pykälän tupakkatuotteita koskevat säännökset täydentävät tupakoinnin torjunnasta 11 päivänä elokuuta 2006 annetussa laissa, sellaisena kuin se on muutettuna, säädettyjä säännöksiä.</w:t>
      </w:r>
    </w:p>
    <w:p w14:paraId="526AC81C"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8 §. Laajennettu tuottajan vastuu</w:t>
      </w:r>
    </w:p>
    <w:p w14:paraId="658BCE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 Kaikkia liitteessä olevassa E osassa lueteltuja kertakäyttöisiä muovituotteita ja muovia sisältäviä kalastusvälineitä varten perustetaan laajennettua tuottajan vastuuta koskevia järjestelmiä 21 päivänä maaliskuuta 2012 annetun lain säännösten mukaisesti.</w:t>
      </w:r>
    </w:p>
    <w:p w14:paraId="3F70DBA1"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Liitteessä olevan E osan I jaksossa lueteltujen kertakäyttöisten muovituotteiden tuottajat huolehtivat kustannuksista, jotka aiheutuvat 21 päivänä maaliskuuta 2012 annetun lain ja pakkauksista ja pakkausjätteistä 21 päivänä maaliskuuta 2017 annetun lain laajennettua tuottajan vastuuta koskevista säännöksistä, sekä seuraavista kustannuksista, mikäli nämä eivät jo sisälly edellä mainittuihin kustannuksiin: </w:t>
      </w:r>
    </w:p>
    <w:p w14:paraId="67A6761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kyseisiä tuotteita koskevien, 10 §:ssä tarkoitettujen valistustoimenpiteiden kustannukset; </w:t>
      </w:r>
    </w:p>
    <w:p w14:paraId="780C6E6C"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2) kustannukset, joita aiheutuu kyseisten tuotteiden keruusta julkisiin keräysjärjestelmiin luovutettuna jätteenä, mukaan luettuina infrastruktuuriin ja sen käyttöön liittyvät kustannukset, ja kyseisten jätteiden kuljetuksesta ja käsittelystä sen jälkeen; ja </w:t>
      </w:r>
    </w:p>
    <w:p w14:paraId="0FF515EE"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3) kustannukset kyseisistä tuotteista aiheutuvan roskaantumisen puhdistamisesta ja näiden roskien kuljetuksesta ja käsittelystä sen jälkeen.</w:t>
      </w:r>
    </w:p>
    <w:p w14:paraId="48570621" w14:textId="33B5364B"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bookmarkStart w:id="2" w:name="_Hlk33179213"/>
      <w:r>
        <w:rPr>
          <w:rFonts w:asciiTheme="minorHAnsi" w:hAnsiTheme="minorHAnsi"/>
          <w:b w:val="0"/>
          <w:sz w:val="24"/>
          <w:szCs w:val="24"/>
        </w:rPr>
        <w:t xml:space="preserve">(3) Liitteessä olevan E osan II ja III jaksossa lueteltujen kertakäyttöisten muovituotteiden tuottajat </w:t>
      </w:r>
      <w:bookmarkEnd w:id="2"/>
      <w:r>
        <w:rPr>
          <w:rFonts w:asciiTheme="minorHAnsi" w:hAnsiTheme="minorHAnsi"/>
          <w:b w:val="0"/>
          <w:sz w:val="24"/>
          <w:szCs w:val="24"/>
        </w:rPr>
        <w:t>huolehtivat ainakin seuraavista kustannuksista</w:t>
      </w:r>
      <w:bookmarkStart w:id="3" w:name="_Hlk33179167"/>
      <w:r>
        <w:rPr>
          <w:rFonts w:asciiTheme="minorHAnsi" w:hAnsiTheme="minorHAnsi"/>
          <w:b w:val="0"/>
          <w:sz w:val="24"/>
          <w:szCs w:val="24"/>
        </w:rPr>
        <w:t>:</w:t>
      </w:r>
    </w:p>
    <w:bookmarkEnd w:id="3"/>
    <w:p w14:paraId="4D93027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kyseisiä tuotteita koskevien, 10 §:ssä tarkoitettujen valistustoimenpiteiden kustannukset; </w:t>
      </w:r>
    </w:p>
    <w:p w14:paraId="1BD19CD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2) kustannukset kyseisistä tuotteista aiheutuvan roskaantumisen puhdistamisesta ja näiden roskien kuljetuksesta ja käsittelystä sen jälkeen; ja </w:t>
      </w:r>
    </w:p>
    <w:p w14:paraId="5379C9C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lastRenderedPageBreak/>
        <w:t xml:space="preserve">3) maaliskuun 21 päivänä 2012 annetun lain 19 §:n mukaisen tiedonkeruun ja raportoinnin kustannukset. </w:t>
      </w:r>
    </w:p>
    <w:p w14:paraId="023DC410" w14:textId="77777777" w:rsidR="007104F8"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Liitteessä olevan E osan III jaksossa lueteltujen kertakäyttöisten muovituotteiden osalta tuotteiden tuottajat huolehtivat lisäksi keräämiskustannuksista, joita aiheutuu kyseisten tuotteiden keruusta julkisiin keräysjärjestelmiin luovutettuna jätteenä, mukaan luettuina infrastruktuuriin ja sen käyttöön liittyvät kustannukset, ja jätteen kuljetuksesta ja käsittelystä sen jälkeen. Kustannuksiin kuuluvat kyseisistä tuotteista syntyvän jätteen erityisen keräysinfrastruktuurin perustaminen, kuten yleisimmin roskaantuville paikoille sijoitettavat asianmukaiset jäteastiat.</w:t>
      </w:r>
    </w:p>
    <w:p w14:paraId="16975037" w14:textId="49F09D7C"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(4) E osan III jaksossa lueteltujen kertakäyttöisten muovituotteiden tuottajien on toteutettava tarvittavat toimenpiteet kyseisten jätteeksi muuttuneiden tuotteiden hylkäämisen, valvomattoman sijoittamisen ja valvomattoman jätehuollon estämiseksi.</w:t>
      </w:r>
    </w:p>
    <w:p w14:paraId="45ECFC83"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Tammikuun 1 päivästä 2024 alkaen kunakin vuonna on saavutettava vähintään 10 prosentin vähennys edellisenä vuonna poisheitettyihin määriin verrattuna. Toimivaltainen hallinto laatii ja julkaisee menetelmät poisheitettyjen määrien määrittämiseksi ja vähennyksen todentamiseksi.</w:t>
      </w:r>
    </w:p>
    <w:p w14:paraId="2FA016B7"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(5) Edellä 2 ja 3 momentissa tarkoitetut katettavat kustannukset eivät saa ylittää kustannuksia, jotka ovat välttämättömiä kyseisissä momenteissa tarkoitettujen palvelujen tarjoamiseksi kustannustehokkaasti, ja ne on vahvistettava asianomaisten toimijoiden kesken avoimella tavalla. Roskaantumisen puhdistamiskustannukset on rajoitettava viranomaisten toteuttamiin tai niiden puolesta toteutettuihin toimiin. Laskentamenetelmät on kehitettävä sellaisiksi, että roskaantumisen puhdistamiskustannukset voidaan määritellä oikeasuhteisesti. Hallinnollisten kustannusten minimoimiseksi voidaan määrittää roskaantumisen puhdistamiskustannuksia koskevia rahoitusosuuksia asianmukaisina monivuotisina ja kiinteinä määrinä. </w:t>
      </w:r>
    </w:p>
    <w:p w14:paraId="2B943E40"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(6) Toiseen Euroopan unionin jäsenvaltioon sijoittautuneet tuotteiden tuottajat, jotka saattavat tuotteita Luxemburgin markkinoille, saavat nimetä Luxemburgin alueelle tai toiseen jäsenvaltioon sijoittautuneen oikeushenkilön tai luonnollisen henkilön valtuutetuksi edustajaksi laajennettua tuottajan vastuuta koskeviin järjestelmiin liittyvien tuottajien velvoitteiden täyttämistä varten. </w:t>
      </w:r>
    </w:p>
    <w:p w14:paraId="7124F9E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(7) Luxemburgin suurherttuakuntaan sijoittautuneiden tuottajien, jotka myyvät liitteessä olevassa E osassa lueteltuja kertakäyttöisiä muovituotteita tai muovia sisältäviä kalastusvälineitä muussa Euroopan unionin jäsenvaltiossa kuin sijoittautumisjäsenvaltiossaan, on nimettävä valtuutettu edustaja kyseiseen muuhun Euroopan unionin jäsenvaltioon. Valtuutettu edustaja on vastuussa tuottajan tämän lain mukaisten velvoitteiden täyttämisestä kyseisen muun Euroopan unionin jäsenvaltion alueella.</w:t>
      </w:r>
    </w:p>
    <w:p w14:paraId="32953A1D"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(8) Muovia sisältäville kalastusvälineille tarkoitettujen laajennettua tuottajan vastuuta koskevien järjestelmien osalta muovia sisältävien kalastusvälineiden tuottajien on huolehdittava muovia sisältävän kalastusvälinejätteen erilliskeräyksen kustannuksista, kun jäte on toimitettu erityiseen keräysjärjestelmään, sekä jätteen kuljetuksen ja käsittelyn kustannuksista sen jälkeen. </w:t>
      </w:r>
    </w:p>
    <w:p w14:paraId="21E340C8"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 xml:space="preserve">Tuottajien on myös huolehdittava muovia sisältäviin kalastusvälineisiin liittyvistä 10 §:ssä tarkoitettujen valistustoimenpiteiden kustannuksista. </w:t>
      </w:r>
    </w:p>
    <w:p w14:paraId="2638EEC2"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9 §. Erilliskeräys</w:t>
      </w:r>
    </w:p>
    <w:p w14:paraId="712C417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Kierrätystarkoituksessa erilliskerätyn, liitteessä olevassa F osassa luetelluista kertakäyttöisistä muovituotteista syntyneen jätteen määrän on vastattava </w:t>
      </w:r>
    </w:p>
    <w:p w14:paraId="49D987BE"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a) viimeistään vuonna 2025 </w:t>
      </w:r>
      <w:bookmarkStart w:id="4" w:name="_Hlk25246527"/>
      <w:r>
        <w:rPr>
          <w:rFonts w:asciiTheme="minorHAnsi" w:hAnsiTheme="minorHAnsi"/>
          <w:b w:val="0"/>
          <w:sz w:val="24"/>
          <w:szCs w:val="24"/>
        </w:rPr>
        <w:t>painona 77:ää prosenttia kyseisistä tuotteista tiettynä vuotena syntyvän jätteen kokonaismäärästä, mukaan luettuna ympäristöön roskana päätynyt jäte</w:t>
      </w:r>
      <w:bookmarkEnd w:id="4"/>
      <w:r>
        <w:rPr>
          <w:rFonts w:asciiTheme="minorHAnsi" w:hAnsiTheme="minorHAnsi"/>
          <w:b w:val="0"/>
          <w:sz w:val="24"/>
          <w:szCs w:val="24"/>
        </w:rPr>
        <w:t xml:space="preserve">; </w:t>
      </w:r>
    </w:p>
    <w:p w14:paraId="39395F5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b) viimeistään vuonna 2029 painona 90:tä prosenttia kyseisistä tuotteista tiettynä vuotena syntyvän jätteen kokonaismäärästä, mukaan luettuna ympäristöön roskana päätynyt jäte.</w:t>
      </w:r>
    </w:p>
    <w:p w14:paraId="690C365E"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10 §. Valistustoimenpiteet</w:t>
      </w:r>
    </w:p>
    <w:p w14:paraId="148EAE36"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Ympäristöhallinnon ja vesivarojen hallinnasta vastaavan hallinnon on kummankin omalta osaltaan huolehdittava, että kuluttajille annetaan tietoja ja heitä kannustetaan vastuulliseen käyttäytymiseen, jotta tämän lain soveltamisalaan kuuluvista tuotteista aiheutuvaa roskaantumista voitaisiin vähentää, sekä huolehdittava, että liitteessä olevassa G osassa lueteltujen kertakäyttöisten muovituotteiden kuluttajat ja muovia sisältäviä kalastusvälineiden käyttäjät saavat tietoja seuraavilta osin: </w:t>
      </w:r>
    </w:p>
    <w:p w14:paraId="40BDFCF9"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saatavilla olevat uudelleenkäytettävät vaihtoehdot, uudelleenkäyttöjärjestelmät ja jätehuoltovaihtoehdot kyseisiä kertakäyttöisiä muovituotteita ja muovia sisältäviä kalastusvälineitä varten sekä parhaat käytännöt 21 päivänä maaliskuuta 2012 annetun lain 10 §:n mukaisesti suoritettavaa ympäristöä suojelevaa jätehuoltoa varten; </w:t>
      </w:r>
    </w:p>
    <w:p w14:paraId="539EAE8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2° roskaantumisen sekä kyseisistä kertakäyttöisistä muovituotteista ja muovia sisältävistä kalastusvälineistä aiheutuvan jätteen muun epäasianmukaisen loppukäsittelyn vaikutukset ympäristöön ja erityisesti meriympäristöön; ja</w:t>
      </w:r>
    </w:p>
    <w:p w14:paraId="099960BC"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3° kyseisten kertakäyttöisten muovituotteiden epäasianmukaisen loppukäsittelyn vaikutukset viemäriverkkoon.</w:t>
      </w:r>
    </w:p>
    <w:p w14:paraId="5C20C5EA"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705595F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szCs w:val="24"/>
        </w:rPr>
        <w:t>11 §. Toimenpiteiden koordinointi</w:t>
      </w:r>
    </w:p>
    <w:p w14:paraId="1E68385F" w14:textId="77777777" w:rsidR="007104F8" w:rsidRPr="008E1574" w:rsidRDefault="007104F8" w:rsidP="00206537">
      <w:pPr>
        <w:keepNext/>
        <w:keepLines/>
        <w:autoSpaceDE w:val="0"/>
        <w:autoSpaceDN w:val="0"/>
        <w:adjustRightInd w:val="0"/>
        <w:spacing w:after="0" w:line="240" w:lineRule="auto"/>
        <w:jc w:val="both"/>
        <w:rPr>
          <w:rFonts w:eastAsia="Calibri" w:cs="TimesNewRoman"/>
          <w:sz w:val="24"/>
          <w:szCs w:val="24"/>
          <w:lang w:val="fr-LU" w:eastAsia="fr-BE"/>
        </w:rPr>
      </w:pPr>
    </w:p>
    <w:p w14:paraId="1F475B2C"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Sanotun rajoittamatta 4 §:n 1 momentin 1 alamomentin soveltamista tämän lain puitteissa toteutetut toimenpiteet muodostavat erottamattoman osan vedestä 19 päivänä joulukuuta 2008 annetun lain, sellaisena kuin se on muutettuna, mukaisesti perustettuja toimenpideohjelmia sekä 21 päivänä maaliskuuta 2012 annetun lain mukaisesti perustettuja jätehuoltosuunnitelmia ja jätteen syntymisen ehkäisemistä koskevia ohjelmia, ja näiden toimenpiteiden on noudatettava johdonmukaisesti kyseisiä ohjelmia ja suunnitelmia.</w:t>
      </w:r>
    </w:p>
    <w:p w14:paraId="0F81657A"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721EBF87"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lastRenderedPageBreak/>
        <w:t xml:space="preserve">Tämän lain 4–9 §:ssä säädettyjen toimenpiteiden on noudatettava elintarvikkeita koskevia säännöksiä, jotta varmistetaan, että elintarvikehygieniaa ja elintarviketurvallisuutta ei vaaranneta. </w:t>
      </w:r>
    </w:p>
    <w:p w14:paraId="20A67F74"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2E743DB6"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Ympäristöhallinto ja terveysosasto kannustavat kumpikin omalta osaltaan kertakäyttöisten muovituotteiden kestävien vaihtoehtojen käyttöä elintarvikkeiden kanssa kosketukseen joutuvien materiaalien osalta.</w:t>
      </w:r>
    </w:p>
    <w:p w14:paraId="3C704E47" w14:textId="77777777" w:rsidR="007104F8" w:rsidRPr="008E1574" w:rsidRDefault="007104F8" w:rsidP="007104F8">
      <w:pPr>
        <w:autoSpaceDE w:val="0"/>
        <w:autoSpaceDN w:val="0"/>
        <w:adjustRightInd w:val="0"/>
        <w:spacing w:after="0" w:line="240" w:lineRule="auto"/>
        <w:jc w:val="both"/>
        <w:rPr>
          <w:rFonts w:eastAsia="Calibri" w:cs="TimesNewRoman"/>
          <w:b/>
          <w:sz w:val="24"/>
          <w:szCs w:val="24"/>
          <w:lang w:val="fr-LU" w:eastAsia="fr-BE"/>
        </w:rPr>
      </w:pPr>
    </w:p>
    <w:p w14:paraId="3B77C77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szCs w:val="24"/>
        </w:rPr>
        <w:t>12 §. Kertakäyttöisiä muovituotteita koskevat eritelmät ja suuntaviivat</w:t>
      </w:r>
    </w:p>
    <w:p w14:paraId="7D2D1479"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5774EC8"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Sen määrittämiseksi, katsotaanko elintarvikepakkaus tässä laissa tarkoitetuksi kertakäyttöiseksi muovituotteeksi, ratkaisevassa asemassa on liitteessä lueteltujen elintarvikepakkauksia koskevien perusteiden lisäksi elintarvikepakkauksen taipumus päätyä roskana ympäristöön pakkauksen tilavuuden tai koon takia, erityisesti yhden annoksen elintarvikepakkauksien osalta.</w:t>
      </w:r>
    </w:p>
    <w:p w14:paraId="0D162CFF"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26C8DA0D"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rPr>
      </w:pPr>
      <w:r>
        <w:rPr>
          <w:b/>
          <w:sz w:val="24"/>
          <w:szCs w:val="24"/>
        </w:rPr>
        <w:t>13 §. Hallinnolliset toimenpiteet</w:t>
      </w:r>
    </w:p>
    <w:p w14:paraId="0261ED08"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01CF0A40" w14:textId="77777777" w:rsidR="007104F8" w:rsidRDefault="007104F8" w:rsidP="00206537">
      <w:pPr>
        <w:keepNext/>
        <w:keepLines/>
        <w:autoSpaceDE w:val="0"/>
        <w:autoSpaceDN w:val="0"/>
        <w:adjustRightInd w:val="0"/>
        <w:spacing w:after="0" w:line="240" w:lineRule="auto"/>
        <w:jc w:val="both"/>
        <w:rPr>
          <w:rFonts w:cs="TimesNewRoman"/>
          <w:sz w:val="24"/>
          <w:szCs w:val="24"/>
        </w:rPr>
      </w:pPr>
      <w:r>
        <w:rPr>
          <w:sz w:val="24"/>
          <w:szCs w:val="24"/>
        </w:rPr>
        <w:t xml:space="preserve">(1) Mikäli 5 §:n, 6 §:n 1 momentin ja 2 momentin 1 ja 2 alamomentin, 7 §:n ja 9 §:n säännöksiä ei noudateta, ministeri voi </w:t>
      </w:r>
    </w:p>
    <w:p w14:paraId="7EC8F185"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szCs w:val="24"/>
        </w:rPr>
        <w:t xml:space="preserve">asettaa tuottajalle tai hyväksytylle elimelle määräajan, jonka kuluessa tuottajan tai elimen on noudatettava kyseisiä säännöksiä ja joka saa olla enintään kaksi vuotta; </w:t>
      </w:r>
    </w:p>
    <w:p w14:paraId="7DE67BF6"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szCs w:val="24"/>
        </w:rPr>
        <w:t>keskeyttää tuottajan toiminnan tai laitoksen käytön kokonaan tai osittain väliaikaisella toimenpiteellä tai sulkea laitoksen kokonaan tai osittain ja kiinnityttää sinettejä.</w:t>
      </w:r>
    </w:p>
    <w:p w14:paraId="0E2E8049" w14:textId="4DB8906F"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(2) Kukin asianomainen voi pyytää 1 momentissa tarkoitettujen toimenpiteiden soveltamista. </w:t>
      </w:r>
    </w:p>
    <w:p w14:paraId="28FC23FF"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(3) Edellä 1 momentissa luetellut toimenpiteet kumotaan, kun tuottaja tai hyväksytty elin noudattaa säännöksiä. </w:t>
      </w:r>
    </w:p>
    <w:p w14:paraId="6BFDBF4E"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00A11318" w14:textId="77777777" w:rsidR="007104F8" w:rsidRPr="008E1574" w:rsidRDefault="007104F8" w:rsidP="00206537">
      <w:pPr>
        <w:pStyle w:val="Article"/>
        <w:keepNext/>
        <w:keepLines/>
        <w:numPr>
          <w:ilvl w:val="0"/>
          <w:numId w:val="0"/>
        </w:numPr>
        <w:spacing w:before="240"/>
        <w:rPr>
          <w:rFonts w:asciiTheme="minorHAnsi" w:hAnsiTheme="minorHAnsi"/>
          <w:sz w:val="24"/>
          <w:szCs w:val="24"/>
        </w:rPr>
      </w:pPr>
      <w:r>
        <w:rPr>
          <w:rFonts w:asciiTheme="minorHAnsi" w:hAnsiTheme="minorHAnsi"/>
          <w:sz w:val="24"/>
          <w:szCs w:val="24"/>
        </w:rPr>
        <w:t>14 §. Erityissäännökset</w:t>
      </w:r>
    </w:p>
    <w:p w14:paraId="3E6627A8" w14:textId="77777777" w:rsidR="007104F8" w:rsidRPr="008E1574" w:rsidRDefault="007104F8" w:rsidP="00206537">
      <w:pPr>
        <w:pStyle w:val="NormalWeb"/>
        <w:keepNext/>
        <w:keepLines/>
        <w:jc w:val="both"/>
        <w:rPr>
          <w:rFonts w:asciiTheme="minorHAnsi" w:eastAsia="Calibri" w:hAnsiTheme="minorHAnsi" w:cs="TimesLTStd-Roman"/>
        </w:rPr>
      </w:pPr>
      <w:r>
        <w:rPr>
          <w:rFonts w:asciiTheme="minorHAnsi" w:hAnsiTheme="minorHAnsi"/>
        </w:rPr>
        <w:t>Seuraavia 21 päivänä maaliskuuta 2012 annetun lain säännöksiä sovelletaan:</w:t>
      </w:r>
    </w:p>
    <w:p w14:paraId="700C2AC0"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1° lain 44, 45 ja 46 §, jotka koskevat rikkomusten tutkintaa ja toteamista, valvontavaltuuksia ja valvontaoikeuksia; ja</w:t>
      </w:r>
    </w:p>
    <w:p w14:paraId="1DD10170" w14:textId="77777777" w:rsidR="007104F8" w:rsidRDefault="007104F8" w:rsidP="007104F8">
      <w:pPr>
        <w:pStyle w:val="NormalWeb"/>
        <w:spacing w:before="240"/>
        <w:jc w:val="both"/>
        <w:rPr>
          <w:rFonts w:asciiTheme="minorHAnsi" w:eastAsia="Calibri" w:hAnsiTheme="minorHAnsi" w:cs="TimesLTStd-Roman"/>
        </w:rPr>
      </w:pPr>
      <w:r>
        <w:rPr>
          <w:rFonts w:asciiTheme="minorHAnsi" w:hAnsiTheme="minorHAnsi"/>
        </w:rPr>
        <w:t>2° lain 50 §:n 2 momentti, joka koskee hyväksyttyjen ympäristöjärjestöjen valitusoikeutta.</w:t>
      </w:r>
    </w:p>
    <w:p w14:paraId="7630D890" w14:textId="77777777" w:rsidR="007104F8" w:rsidRPr="00AA6AE8" w:rsidRDefault="007104F8" w:rsidP="00206537">
      <w:pPr>
        <w:pStyle w:val="NormalWeb"/>
        <w:keepNext/>
        <w:keepLines/>
        <w:jc w:val="both"/>
        <w:rPr>
          <w:rFonts w:asciiTheme="minorHAnsi" w:eastAsia="Calibri" w:hAnsiTheme="minorHAnsi" w:cs="TimesLTStd-Roman"/>
          <w:b/>
        </w:rPr>
      </w:pPr>
      <w:r>
        <w:rPr>
          <w:rFonts w:asciiTheme="minorHAnsi" w:hAnsiTheme="minorHAnsi"/>
          <w:b/>
        </w:rPr>
        <w:t>15 §. Liite</w:t>
      </w:r>
    </w:p>
    <w:p w14:paraId="4AF0F2F7"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Liitettä voidaan muuttaa suurherttuan määräyksellä sen mukauttamiseksi asiaa koskevan Euroopan unionin lainsäädännön kehitykseen.</w:t>
      </w:r>
    </w:p>
    <w:p w14:paraId="18A5C1E1"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lastRenderedPageBreak/>
        <w:t>16 §. Rikosoikeudelliset seuraamukset</w:t>
      </w:r>
    </w:p>
    <w:p w14:paraId="2A0B878B"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175B98D2" w14:textId="77777777" w:rsidR="007104F8" w:rsidRDefault="007104F8" w:rsidP="007104F8">
      <w:pPr>
        <w:autoSpaceDE w:val="0"/>
        <w:autoSpaceDN w:val="0"/>
        <w:adjustRightInd w:val="0"/>
        <w:spacing w:after="0" w:line="240" w:lineRule="auto"/>
        <w:jc w:val="both"/>
        <w:rPr>
          <w:rFonts w:cs="TimesNewRoman"/>
          <w:sz w:val="24"/>
          <w:szCs w:val="24"/>
        </w:rPr>
      </w:pPr>
      <w:r>
        <w:rPr>
          <w:sz w:val="24"/>
          <w:szCs w:val="24"/>
        </w:rPr>
        <w:t>Tämän lain 5 §:n, 6 §:n 1 momentin 1 alamomentin ja 2 momentin 1 ja 2 alamomentin, 7 §:n 1 momentin, 8 §:n 4 momentin ja 9 §:n rikkomisesta määrätään vankeusrangaistus, jonka kesto on kahdeksasta päivästä kolmeen vuoteen, ja 251–750 000 euron suuruinen sakko tai vain toinen näistä rangaistuksista.</w:t>
      </w:r>
    </w:p>
    <w:p w14:paraId="3002620B" w14:textId="77777777" w:rsidR="007104F8" w:rsidRDefault="007104F8" w:rsidP="007104F8">
      <w:pPr>
        <w:autoSpaceDE w:val="0"/>
        <w:autoSpaceDN w:val="0"/>
        <w:adjustRightInd w:val="0"/>
        <w:spacing w:after="0" w:line="240" w:lineRule="auto"/>
        <w:jc w:val="both"/>
        <w:rPr>
          <w:rFonts w:cs="TimesNewRoman"/>
          <w:sz w:val="24"/>
          <w:szCs w:val="24"/>
        </w:rPr>
      </w:pPr>
      <w:r>
        <w:rPr>
          <w:sz w:val="24"/>
          <w:szCs w:val="24"/>
        </w:rPr>
        <w:t xml:space="preserve">Samoja seuraamuksia sovelletaan, mikäli 13 §:n nojalla toteutettujen hallinnollisten toimenpiteiden osalta ilmenee este tai niitä ei noudateta. </w:t>
      </w:r>
    </w:p>
    <w:p w14:paraId="66780AD9" w14:textId="77777777" w:rsidR="007104F8" w:rsidRDefault="007104F8" w:rsidP="007104F8">
      <w:pPr>
        <w:autoSpaceDE w:val="0"/>
        <w:autoSpaceDN w:val="0"/>
        <w:adjustRightInd w:val="0"/>
        <w:spacing w:after="0" w:line="240" w:lineRule="auto"/>
        <w:jc w:val="both"/>
        <w:rPr>
          <w:rFonts w:cs="TimesNewRoman"/>
          <w:sz w:val="24"/>
          <w:szCs w:val="24"/>
          <w:lang w:val="fr-LU" w:eastAsia="fr-BE"/>
        </w:rPr>
      </w:pPr>
    </w:p>
    <w:p w14:paraId="26451248" w14:textId="77777777" w:rsidR="007104F8" w:rsidRPr="009D4A2A"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17 §. Hallinnolliset sakot</w:t>
      </w:r>
    </w:p>
    <w:p w14:paraId="42DB19C4" w14:textId="77777777" w:rsidR="007104F8" w:rsidRPr="00D10D84" w:rsidRDefault="007104F8" w:rsidP="00206537">
      <w:pPr>
        <w:keepNext/>
        <w:keepLines/>
        <w:autoSpaceDE w:val="0"/>
        <w:autoSpaceDN w:val="0"/>
        <w:adjustRightInd w:val="0"/>
        <w:spacing w:after="0" w:line="240" w:lineRule="auto"/>
        <w:jc w:val="both"/>
        <w:rPr>
          <w:rFonts w:ascii="Times New Roman" w:hAnsi="Times New Roman" w:cs="Times New Roman"/>
          <w:b/>
          <w:bCs/>
          <w:sz w:val="28"/>
          <w:szCs w:val="28"/>
          <w:lang w:val="fr-LU" w:eastAsia="fr-BE"/>
        </w:rPr>
      </w:pPr>
    </w:p>
    <w:p w14:paraId="6A784439" w14:textId="77777777" w:rsidR="007104F8" w:rsidRPr="00C25B06" w:rsidRDefault="007104F8" w:rsidP="007104F8">
      <w:pPr>
        <w:autoSpaceDE w:val="0"/>
        <w:autoSpaceDN w:val="0"/>
        <w:adjustRightInd w:val="0"/>
        <w:spacing w:after="0"/>
        <w:rPr>
          <w:rFonts w:cs="TimesNewRoman"/>
          <w:sz w:val="24"/>
          <w:szCs w:val="24"/>
        </w:rPr>
      </w:pPr>
      <w:r>
        <w:rPr>
          <w:sz w:val="24"/>
          <w:szCs w:val="24"/>
        </w:rPr>
        <w:t>Ministeri voi määrätä 250–10 000 euron suuruisen hallinnollisen sakon, mikäli 4 §:n 4 momenttia ja 6 §:n 2 momentin 2 alamomenttia rikotaan.</w:t>
      </w:r>
    </w:p>
    <w:p w14:paraId="22DE3E9D" w14:textId="77777777" w:rsidR="007104F8" w:rsidRPr="00C25B06" w:rsidRDefault="007104F8" w:rsidP="007104F8">
      <w:pPr>
        <w:autoSpaceDE w:val="0"/>
        <w:autoSpaceDN w:val="0"/>
        <w:adjustRightInd w:val="0"/>
        <w:spacing w:after="0"/>
        <w:rPr>
          <w:rFonts w:cs="TimesNewRoman"/>
          <w:sz w:val="24"/>
          <w:szCs w:val="24"/>
          <w:lang w:val="fr-LU" w:eastAsia="fr-BE"/>
        </w:rPr>
      </w:pPr>
    </w:p>
    <w:p w14:paraId="4314C2D5" w14:textId="77777777" w:rsidR="007104F8" w:rsidRPr="00C25B06" w:rsidRDefault="007104F8" w:rsidP="007104F8">
      <w:pPr>
        <w:autoSpaceDE w:val="0"/>
        <w:autoSpaceDN w:val="0"/>
        <w:adjustRightInd w:val="0"/>
        <w:spacing w:after="0"/>
        <w:rPr>
          <w:rFonts w:cs="TimesNewRoman"/>
          <w:sz w:val="24"/>
          <w:szCs w:val="24"/>
        </w:rPr>
      </w:pPr>
      <w:r>
        <w:rPr>
          <w:sz w:val="24"/>
          <w:szCs w:val="24"/>
        </w:rPr>
        <w:t xml:space="preserve">Sakot on maksettava kahden kuukauden kuluessa kirjallisen päätöksen tiedoksiantamisesta. </w:t>
      </w:r>
    </w:p>
    <w:p w14:paraId="0E834F42" w14:textId="77777777" w:rsidR="007104F8" w:rsidRDefault="007104F8" w:rsidP="007104F8">
      <w:pPr>
        <w:autoSpaceDE w:val="0"/>
        <w:autoSpaceDN w:val="0"/>
        <w:adjustRightInd w:val="0"/>
        <w:spacing w:after="0"/>
        <w:rPr>
          <w:rFonts w:cs="TimesNewRoman"/>
          <w:sz w:val="24"/>
          <w:szCs w:val="24"/>
          <w:lang w:val="fr-LU" w:eastAsia="fr-BE"/>
        </w:rPr>
      </w:pPr>
    </w:p>
    <w:p w14:paraId="5E843D57" w14:textId="77777777" w:rsidR="007104F8" w:rsidRDefault="007104F8" w:rsidP="007104F8">
      <w:pPr>
        <w:autoSpaceDE w:val="0"/>
        <w:autoSpaceDN w:val="0"/>
        <w:adjustRightInd w:val="0"/>
        <w:spacing w:after="0" w:line="240" w:lineRule="auto"/>
        <w:jc w:val="both"/>
        <w:rPr>
          <w:rFonts w:ascii="Times New Roman" w:hAnsi="Times New Roman" w:cs="Times New Roman"/>
          <w:b/>
          <w:bCs/>
          <w:sz w:val="28"/>
          <w:szCs w:val="28"/>
        </w:rPr>
      </w:pPr>
      <w:r>
        <w:rPr>
          <w:sz w:val="24"/>
          <w:szCs w:val="24"/>
        </w:rPr>
        <w:t>Rekisteröinnistä, valtion omaisuudesta ja arvonlisäverosta vastaava hallinto perii hallinnolliset sakot. Perintä tapahtuu rekisteröintimaksujen tapaan.</w:t>
      </w:r>
    </w:p>
    <w:p w14:paraId="12320C73" w14:textId="77777777" w:rsidR="007104F8" w:rsidRPr="001D179B" w:rsidRDefault="007104F8" w:rsidP="007104F8">
      <w:pPr>
        <w:autoSpaceDE w:val="0"/>
        <w:autoSpaceDN w:val="0"/>
        <w:adjustRightInd w:val="0"/>
        <w:spacing w:after="0" w:line="240" w:lineRule="auto"/>
        <w:jc w:val="both"/>
        <w:rPr>
          <w:rFonts w:ascii="Times New Roman" w:hAnsi="Times New Roman" w:cs="Times New Roman"/>
          <w:b/>
          <w:bCs/>
          <w:sz w:val="28"/>
          <w:szCs w:val="28"/>
          <w:lang w:val="fr-LU" w:eastAsia="fr-BE"/>
        </w:rPr>
      </w:pPr>
    </w:p>
    <w:p w14:paraId="25144316"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18 §. Muutoksenhaku</w:t>
      </w:r>
    </w:p>
    <w:p w14:paraId="155E7C62" w14:textId="77777777" w:rsidR="007104F8" w:rsidRDefault="007104F8" w:rsidP="00206537">
      <w:pPr>
        <w:keepNext/>
        <w:keepLines/>
        <w:autoSpaceDE w:val="0"/>
        <w:autoSpaceDN w:val="0"/>
        <w:adjustRightInd w:val="0"/>
        <w:spacing w:after="0" w:line="240" w:lineRule="auto"/>
        <w:jc w:val="both"/>
        <w:rPr>
          <w:rFonts w:cs="TimesNewRoman"/>
          <w:sz w:val="24"/>
          <w:szCs w:val="24"/>
          <w:lang w:val="fr-FR" w:eastAsia="fr-BE"/>
        </w:rPr>
      </w:pPr>
    </w:p>
    <w:p w14:paraId="64D689D3"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Tämän lain nojalla tehdyistä päätöksistä voidaan valittaa hallinnolliseen tuomioistuimeen niiden muuttamiseksi. Oikeus muutoksenhakuun menetetään, jos valitusta ei tehdä 40 päivän kuluessa päätöksestä ilmoittamisesta. </w:t>
      </w:r>
    </w:p>
    <w:p w14:paraId="157255C5"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5E51328B"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19 §. Voimaantulo</w:t>
      </w:r>
    </w:p>
    <w:p w14:paraId="6C0CDF60"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4E260C2"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szCs w:val="24"/>
        </w:rPr>
        <w:t>Tämä laki tulee voimaan 3 päivänä heinäkuuta 2021.</w:t>
      </w:r>
    </w:p>
    <w:p w14:paraId="3BA6C81F" w14:textId="77777777" w:rsidR="007104F8" w:rsidRPr="009D4A2A" w:rsidRDefault="007104F8" w:rsidP="007104F8">
      <w:pPr>
        <w:autoSpaceDE w:val="0"/>
        <w:autoSpaceDN w:val="0"/>
        <w:adjustRightInd w:val="0"/>
        <w:spacing w:after="0" w:line="240" w:lineRule="auto"/>
        <w:jc w:val="both"/>
        <w:rPr>
          <w:rFonts w:cs="TimesNewRoman"/>
          <w:sz w:val="24"/>
          <w:szCs w:val="24"/>
          <w:lang w:val="fr-LU" w:eastAsia="fr-BE"/>
        </w:rPr>
      </w:pPr>
    </w:p>
    <w:p w14:paraId="08581858"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szCs w:val="24"/>
        </w:rPr>
        <w:t>Tämän lain 6 §:n 1 momentin säännökset tulevat kuitenkin voimaan vasta 3 päivänä heinäkuuta 2024 ja 8 §:n säännökset tulevat voimaan 31 päivänä joulukuuta 2026, lukuun ottamatta liitteessä olevan E osan III jaksossa lueteltuja kertakäyttöisiä muovituotteita, joiden osalta säännökset tulevat voimaan 5 päivänä tammikuuta 2023.</w:t>
      </w:r>
    </w:p>
    <w:p w14:paraId="36AA9B98"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A1FF5D4"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726972A"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2E81F53C"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AA9C381" w14:textId="77777777" w:rsidR="007104F8" w:rsidRPr="006227D4" w:rsidRDefault="007104F8" w:rsidP="00206537">
      <w:pPr>
        <w:keepNext/>
        <w:keepLines/>
        <w:autoSpaceDE w:val="0"/>
        <w:autoSpaceDN w:val="0"/>
        <w:adjustRightInd w:val="0"/>
        <w:spacing w:after="0" w:line="240" w:lineRule="auto"/>
        <w:jc w:val="center"/>
        <w:rPr>
          <w:rFonts w:cs="TimesNewRoman"/>
          <w:b/>
          <w:sz w:val="24"/>
          <w:szCs w:val="24"/>
        </w:rPr>
      </w:pPr>
      <w:r>
        <w:rPr>
          <w:b/>
          <w:sz w:val="24"/>
          <w:szCs w:val="24"/>
        </w:rPr>
        <w:lastRenderedPageBreak/>
        <w:t>Liite</w:t>
      </w:r>
    </w:p>
    <w:p w14:paraId="6DBE1B5B" w14:textId="77777777" w:rsidR="007104F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312C56B0" w14:textId="77777777" w:rsidR="007104F8" w:rsidRPr="00AA6AE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A OSA</w:t>
      </w:r>
    </w:p>
    <w:p w14:paraId="0D0675A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4BDD629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Kulutuksen vähentämistä koskevan 4 §:n soveltamisalaan kuuluvat kertakäyttöiset muovituotteet</w:t>
      </w:r>
    </w:p>
    <w:p w14:paraId="071BEE2F"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558D44C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27959AD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Juomamukit, niiden korkit ja kannet mukaan luettuina.</w:t>
      </w:r>
    </w:p>
    <w:p w14:paraId="3161AADB"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AE4665C"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2) Elintarvikepakkaukset eli astiat, kuten kannelliset ja kannettomat rasiat, joissa säilytetään elintarvikkeita, jotka</w:t>
      </w:r>
    </w:p>
    <w:p w14:paraId="77377FE1"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on tarkoitettu syötäväksi välittömästi joko paikalla tai mukaan otettuna,</w:t>
      </w:r>
    </w:p>
    <w:p w14:paraId="2731DE3D"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syödään tavallisesti astiasta ja</w:t>
      </w:r>
    </w:p>
    <w:p w14:paraId="3F279B9C"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 xml:space="preserve">c) ovat valmiita syötäväksi ilman lisävalmistamista, kuten kypsentämistä, keittämistä tai lämmittämistä, </w:t>
      </w:r>
    </w:p>
    <w:p w14:paraId="6D897427"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4D39FD1E"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mukaan luettuina elintarvikepakkaukset, joita käytetään pikaruokaa tai muuta välittömästi syötäväksi tarkoitettua ateriaa varten, lukuun ottamatta juomapakkauksia, lautasia ja ruokaa sisältäviä annospakkauksia ja kääreitä.</w:t>
      </w:r>
    </w:p>
    <w:p w14:paraId="44B058F7"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C51D93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B OSA</w:t>
      </w:r>
    </w:p>
    <w:p w14:paraId="2B07ED60"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6A2A4B2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Markkinoille saattamisen rajoituksia koskevan 5 §:n soveltamisalaan kuuluvat kertakäyttöiset muovituotteet</w:t>
      </w:r>
    </w:p>
    <w:p w14:paraId="7391D162"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3C1AA1F9"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Vanupuikot, paitsi jos ne kuuluvat neuvoston direktiivin 90/385/ETY</w:t>
      </w:r>
      <w:r>
        <w:rPr>
          <w:rStyle w:val="FootnoteReference"/>
          <w:rFonts w:cs="TimesNewRoman"/>
          <w:sz w:val="24"/>
          <w:szCs w:val="24"/>
          <w:lang w:val="fr-LU" w:eastAsia="fr-BE"/>
        </w:rPr>
        <w:footnoteReference w:id="1"/>
      </w:r>
      <w:r>
        <w:rPr>
          <w:sz w:val="24"/>
          <w:szCs w:val="24"/>
        </w:rPr>
        <w:t xml:space="preserve"> tai neuvoston direktiivin 93/42/ETY</w:t>
      </w:r>
      <w:r>
        <w:rPr>
          <w:rStyle w:val="FootnoteReference"/>
          <w:rFonts w:cs="TimesNewRoman"/>
          <w:sz w:val="24"/>
          <w:szCs w:val="24"/>
          <w:lang w:val="fr-LU" w:eastAsia="fr-BE"/>
        </w:rPr>
        <w:footnoteReference w:id="2"/>
      </w:r>
      <w:r>
        <w:rPr>
          <w:sz w:val="24"/>
          <w:szCs w:val="24"/>
        </w:rPr>
        <w:t xml:space="preserve"> soveltamisalaan.</w:t>
      </w:r>
    </w:p>
    <w:p w14:paraId="64C4B395"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692A4B12"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Ruokailuvälineet (haarukat, veitset, lusikat, syömäpuikot).</w:t>
      </w:r>
    </w:p>
    <w:p w14:paraId="168ED99E"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13F4158"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Lautaset.</w:t>
      </w:r>
    </w:p>
    <w:p w14:paraId="72BA704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7571830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Pillit, paitsi jos ne kuuluvat direktiivin 90/385/ETY tai direktiivin 93/42/ETY soveltamisalaan.</w:t>
      </w:r>
    </w:p>
    <w:p w14:paraId="1EBC438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777CE30"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Juomien sekoitustikut.</w:t>
      </w:r>
    </w:p>
    <w:p w14:paraId="0A2DE51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1DBACBDF" w14:textId="77777777" w:rsidR="007104F8" w:rsidRDefault="007104F8" w:rsidP="007104F8">
      <w:pPr>
        <w:autoSpaceDE w:val="0"/>
        <w:autoSpaceDN w:val="0"/>
        <w:adjustRightInd w:val="0"/>
        <w:spacing w:after="0" w:line="240" w:lineRule="auto"/>
        <w:rPr>
          <w:rFonts w:cs="TimesNewRoman"/>
          <w:sz w:val="24"/>
          <w:szCs w:val="24"/>
        </w:rPr>
      </w:pPr>
      <w:r>
        <w:rPr>
          <w:sz w:val="24"/>
          <w:szCs w:val="24"/>
        </w:rPr>
        <w:lastRenderedPageBreak/>
        <w:t>6) Ilmapalloihin kiinnitettävät ja niitä tukevat varret, lukuun ottamatta ilmapalloja, jotka on tarkoitettu teolliseen tai muuhun ammattimaiseen käyttöön ja joita ei jaeta kuluttajille, mukaan luettuina kyseisten varsien mekanismit.</w:t>
      </w:r>
    </w:p>
    <w:p w14:paraId="222BF10C"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0ACB1455"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7) Vaahdotetusta polystyreenistä valmistetut elintarvikepakkaukset eli astiat, kuten kannelliset ja kannettomat rasiat, joissa säilytetään elintarvikkeita, jotka</w:t>
      </w:r>
    </w:p>
    <w:p w14:paraId="2BD7B27C"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on tarkoitettu syötäväksi välittömästi joko paikalla tai mukaan otettuna,</w:t>
      </w:r>
    </w:p>
    <w:p w14:paraId="0CE6FBF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syödään tavallisesti astiasta ja</w:t>
      </w:r>
    </w:p>
    <w:p w14:paraId="145D000F"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c) ovat valmiita syötäväksi ilman lisävalmistamista, kuten kypsentämistä, keittämistä tai lämmittämistä,</w:t>
      </w:r>
    </w:p>
    <w:p w14:paraId="4ED8044F"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mukaan luettuina elintarvikepakkaukset, joita käytetään pikaruokaa tai muuta välittömästi syötäväksi tarkoitettua ateriaa varten, lukuun ottamatta juomapakkauksia, lautasia ja ruokaa sisältäviä annospakkauksia ja kääreitä.</w:t>
      </w:r>
    </w:p>
    <w:p w14:paraId="502A21C4"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7B5E3896" w14:textId="77777777" w:rsidR="007104F8" w:rsidRDefault="007104F8" w:rsidP="007104F8">
      <w:pPr>
        <w:autoSpaceDE w:val="0"/>
        <w:autoSpaceDN w:val="0"/>
        <w:adjustRightInd w:val="0"/>
        <w:spacing w:after="0" w:line="240" w:lineRule="auto"/>
        <w:rPr>
          <w:rFonts w:cs="TimesNewRoman"/>
          <w:sz w:val="24"/>
          <w:szCs w:val="24"/>
        </w:rPr>
      </w:pPr>
      <w:r>
        <w:rPr>
          <w:sz w:val="24"/>
          <w:szCs w:val="24"/>
        </w:rPr>
        <w:t>8) Vaahdotetusta polystyreenistä valmistetut juomapakkaukset, niiden korkit ja kannet mukaan luettuina.</w:t>
      </w:r>
    </w:p>
    <w:p w14:paraId="68ADD145"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6F422AC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9) Vaahdotetusta polystyreenistä valmistetut juomamukit, niiden korkit ja kannet mukaan luettuina.</w:t>
      </w:r>
    </w:p>
    <w:p w14:paraId="587088B5"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039755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C OSA</w:t>
      </w:r>
    </w:p>
    <w:p w14:paraId="6758B3BF"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50F49880"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Tuotevaatimuksia koskevan 6 §:n 1 momentin soveltamisalaan kuuluvat kertakäyttöiset muovituotteet</w:t>
      </w:r>
    </w:p>
    <w:p w14:paraId="528B58D7"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46DC10FD"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szCs w:val="24"/>
        </w:rPr>
        <w:t>Tilavuudeltaan enintään kolmen litran juomapakkaukset eli astiat, joita käytetään nesteitä varten, kuten juomapullot ja niiden korkit ja kannet, sekä yhdistelmämateriaalipakkaukset niiden korkit ja kannet mukaan luettuina, paitsi</w:t>
      </w:r>
    </w:p>
    <w:p w14:paraId="03848E6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0F58E79B"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lasiset tai metalliset juomapakkaukset, joissa on muovikorkit tai -kannet,</w:t>
      </w:r>
    </w:p>
    <w:p w14:paraId="60B9F063"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b) juomapakkaukset, jotka on tarkoitettu ja joita käytetään Euroopan parlamentin ja neuvoston asetuksen (EU) N:o 609/2013</w:t>
      </w:r>
      <w:r>
        <w:rPr>
          <w:rStyle w:val="FootnoteReference"/>
          <w:rFonts w:cs="TimesNewRoman"/>
          <w:sz w:val="24"/>
          <w:szCs w:val="24"/>
          <w:lang w:val="fr-LU" w:eastAsia="fr-BE"/>
        </w:rPr>
        <w:footnoteReference w:id="3"/>
      </w:r>
      <w:r>
        <w:rPr>
          <w:sz w:val="24"/>
          <w:szCs w:val="24"/>
        </w:rPr>
        <w:t xml:space="preserve"> 2 artiklan g alakohdassa määriteltyjä erityisiin lääkinnällisiin tarkoituksiin tarkoitettuja nestemäisessä muodossa olevia elintarvikkeita varten.</w:t>
      </w:r>
    </w:p>
    <w:p w14:paraId="5847DFF4"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5867733F"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13BD2F66"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lastRenderedPageBreak/>
        <w:t>D OSA</w:t>
      </w:r>
    </w:p>
    <w:p w14:paraId="5BD02B07"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5C0F969D"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Merkintävaatimuksia koskevan 7 §:n soveltamisalaan kuuluvat kertakäyttöiset muovituotteet</w:t>
      </w:r>
    </w:p>
    <w:p w14:paraId="5D11F487"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14DEC3AD"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Terveyssiteet, tamponit ja tamponien asettimet.</w:t>
      </w:r>
    </w:p>
    <w:p w14:paraId="41057527"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96C2094"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Kosteuspyyhkeet eli henkilökohtaiseen hygieniaan ja kotitalouksien käyttöön tarkoitetut esikosteutetut pyyhkeet.</w:t>
      </w:r>
    </w:p>
    <w:p w14:paraId="142A8537"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E455257" w14:textId="77777777" w:rsidR="007104F8" w:rsidRDefault="007104F8" w:rsidP="007104F8">
      <w:pPr>
        <w:autoSpaceDE w:val="0"/>
        <w:autoSpaceDN w:val="0"/>
        <w:adjustRightInd w:val="0"/>
        <w:spacing w:after="0" w:line="240" w:lineRule="auto"/>
        <w:rPr>
          <w:rFonts w:cs="TimesNewRoman"/>
          <w:sz w:val="24"/>
          <w:szCs w:val="24"/>
        </w:rPr>
      </w:pPr>
      <w:r>
        <w:rPr>
          <w:sz w:val="24"/>
          <w:szCs w:val="24"/>
        </w:rPr>
        <w:t xml:space="preserve">3) Suodattimelliset tupakkatuotteet ja suodattimet, joita pidetään kaupan käytettäväksi yhdessä </w:t>
      </w:r>
    </w:p>
    <w:p w14:paraId="0474B8C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tupakkatuotteiden kanssa.</w:t>
      </w:r>
    </w:p>
    <w:p w14:paraId="0CE0CC90"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7145AE0" w14:textId="77777777" w:rsidR="007104F8" w:rsidRPr="008E1574" w:rsidRDefault="007104F8" w:rsidP="007104F8">
      <w:pPr>
        <w:autoSpaceDE w:val="0"/>
        <w:autoSpaceDN w:val="0"/>
        <w:adjustRightInd w:val="0"/>
        <w:spacing w:after="0" w:line="240" w:lineRule="auto"/>
        <w:rPr>
          <w:rFonts w:cs="TimesNewRoman"/>
          <w:sz w:val="24"/>
          <w:szCs w:val="24"/>
        </w:rPr>
      </w:pPr>
      <w:r>
        <w:rPr>
          <w:sz w:val="24"/>
          <w:szCs w:val="24"/>
        </w:rPr>
        <w:t>4) Juomamukit.</w:t>
      </w:r>
    </w:p>
    <w:p w14:paraId="52EEFD72"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57DCF7D"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E OSA</w:t>
      </w:r>
    </w:p>
    <w:p w14:paraId="368DB66B"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759BEFB3"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I. Laajennettua tuottajan vastuuta koskevan 8 §:n soveltamisalaan kuuluvat kertakäyttöiset muovituotteet</w:t>
      </w:r>
    </w:p>
    <w:p w14:paraId="7A479525"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273194AB"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1) Elintarvikepakkaukset eli astiat, kuten kannelliset ja kannettomat rasiat, joissa säilytetään elintarvikkeita, jotka</w:t>
      </w:r>
    </w:p>
    <w:p w14:paraId="34213113"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on tarkoitettu syötäväksi välittömästi joko paikalla tai mukaan otettuna,</w:t>
      </w:r>
    </w:p>
    <w:p w14:paraId="78646E4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syödään tavallisesti astiasta ja</w:t>
      </w:r>
    </w:p>
    <w:p w14:paraId="3FE7ABD4"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c) ovat valmiita syötäväksi ilman lisävalmistamista, kuten kypsentämistä, keittämistä tai lämmittämistä,</w:t>
      </w:r>
    </w:p>
    <w:p w14:paraId="35B7BE9B"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mukaan luettuina elintarvikepakkaukset, joita käytetään pikaruokaa tai muuta välittömästi syötäväksi tarkoitettua ateriaa varten, lukuun ottamatta juomapakkauksia, lautasia ja ruokaa sisältäviä annospakkauksia ja kääreitä.</w:t>
      </w:r>
    </w:p>
    <w:p w14:paraId="65180AEF"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66686FB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Joustavasta materiaalista valmistetut annospakkaukset ja kääreet, joiden sisältämä ruoka on tarkoitettu nautittavaksi välittömästi annospakkauksesta tai kääreestä ilman lisävalmistusta.</w:t>
      </w:r>
    </w:p>
    <w:p w14:paraId="4F932AE8"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5BE1D52E"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Tilavuudeltaan enintään kolmen litran juomapakkaukset eli astiat, joita käytetään nesteitä varten, kuten juomapullot ja niiden korkit ja kannet, sekä yhdistelmämateriaalipakkaukset korkkeineen ja kansineen, paitsi lasiset tai metalliset juomapakkaukset, joissa on muovikorkit tai -kannet.</w:t>
      </w:r>
    </w:p>
    <w:p w14:paraId="01BC29D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A9D042E"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Juomamukit, niiden korkit ja kannet mukaan luettuina.</w:t>
      </w:r>
    </w:p>
    <w:p w14:paraId="64B6169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88E042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Kevyet muoviset kantokassit, sellaisina kuin ne määritellään direktiivin 94/62/EY 3 artiklan 1 c kohdassa.</w:t>
      </w:r>
    </w:p>
    <w:p w14:paraId="3B4185A9"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BB18128" w14:textId="77777777" w:rsidR="007104F8" w:rsidRDefault="007104F8" w:rsidP="00206537">
      <w:pPr>
        <w:keepNext/>
        <w:keepLines/>
        <w:autoSpaceDE w:val="0"/>
        <w:autoSpaceDN w:val="0"/>
        <w:adjustRightInd w:val="0"/>
        <w:spacing w:after="0" w:line="240" w:lineRule="auto"/>
        <w:rPr>
          <w:rFonts w:cs="TimesNewRoman"/>
          <w:b/>
          <w:sz w:val="24"/>
          <w:szCs w:val="24"/>
        </w:rPr>
      </w:pPr>
      <w:r>
        <w:rPr>
          <w:b/>
          <w:sz w:val="24"/>
          <w:szCs w:val="24"/>
        </w:rPr>
        <w:lastRenderedPageBreak/>
        <w:t>II. Laajennettua tuottajan vastuuta koskevan 8 §:n 3 momentin soveltamisalaan kuuluvat kertakäyttöiset muovituotteet</w:t>
      </w:r>
    </w:p>
    <w:p w14:paraId="43B4B06D" w14:textId="77777777" w:rsidR="007104F8" w:rsidRPr="00E067C6" w:rsidRDefault="007104F8" w:rsidP="00206537">
      <w:pPr>
        <w:keepNext/>
        <w:keepLines/>
        <w:autoSpaceDE w:val="0"/>
        <w:autoSpaceDN w:val="0"/>
        <w:adjustRightInd w:val="0"/>
        <w:spacing w:after="0" w:line="240" w:lineRule="auto"/>
        <w:rPr>
          <w:rFonts w:cs="TimesNewRoman"/>
          <w:b/>
          <w:sz w:val="24"/>
          <w:szCs w:val="24"/>
          <w:lang w:val="fr-LU" w:eastAsia="fr-BE"/>
        </w:rPr>
      </w:pPr>
    </w:p>
    <w:p w14:paraId="05E117B9"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Kosteuspyyhkeet eli henkilökohtaiseen hygieniaan ja kotitalouksien käyttöön tarkoitetut esikosteutetut pyyhkeet.</w:t>
      </w:r>
    </w:p>
    <w:p w14:paraId="2757CAAF" w14:textId="77777777" w:rsidR="007104F8" w:rsidRPr="00E067C6" w:rsidRDefault="007104F8" w:rsidP="007104F8">
      <w:pPr>
        <w:autoSpaceDE w:val="0"/>
        <w:autoSpaceDN w:val="0"/>
        <w:adjustRightInd w:val="0"/>
        <w:spacing w:after="0" w:line="240" w:lineRule="auto"/>
        <w:rPr>
          <w:rFonts w:cs="TimesNewRoman"/>
          <w:sz w:val="24"/>
          <w:szCs w:val="24"/>
          <w:lang w:val="fr-LU" w:eastAsia="fr-BE"/>
        </w:rPr>
      </w:pPr>
    </w:p>
    <w:p w14:paraId="6E075112"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Ilmapallot, lukuun ottamatta ilmapalloja, jotka on tarkoitettu teollisiin tai muihin ammattimaisiin käyttötarkoituksiin ja sovelluksiin ja joita ei jaeta kuluttajille.</w:t>
      </w:r>
    </w:p>
    <w:p w14:paraId="29BE13E8"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C0E6233"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szCs w:val="24"/>
        </w:rPr>
        <w:t>III. Muut laajennettua tuottajan vastuuta koskevan 8 §:n 3 momentin soveltamisalaan kuuluvat kertakäyttöiset muovituotteet</w:t>
      </w:r>
    </w:p>
    <w:p w14:paraId="4EDA4433"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2677342B" w14:textId="77777777" w:rsidR="007104F8" w:rsidRDefault="007104F8" w:rsidP="007104F8">
      <w:pPr>
        <w:autoSpaceDE w:val="0"/>
        <w:autoSpaceDN w:val="0"/>
        <w:adjustRightInd w:val="0"/>
        <w:spacing w:after="0" w:line="240" w:lineRule="auto"/>
        <w:rPr>
          <w:rFonts w:cs="TimesNewRoman"/>
          <w:sz w:val="24"/>
          <w:szCs w:val="24"/>
        </w:rPr>
      </w:pPr>
      <w:r>
        <w:rPr>
          <w:sz w:val="24"/>
          <w:szCs w:val="24"/>
        </w:rPr>
        <w:t>Suodattimelliset tupakkatuotteet ja suodattimet, joita pidetään kaupan käytettäväksi yhdessä tupakkatuotteiden kanssa.</w:t>
      </w:r>
    </w:p>
    <w:p w14:paraId="46190EB7"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4A566C0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F OSA</w:t>
      </w:r>
    </w:p>
    <w:p w14:paraId="707C2C4D"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6BC704B"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szCs w:val="24"/>
        </w:rPr>
        <w:t>Erilliskeräystä koskevan 9 §:n ja tuotevaatimuksia koskevan 6 §:n 2 momentin soveltamisalaan kuuluvat kertakäyttöiset muovituotteet</w:t>
      </w:r>
    </w:p>
    <w:p w14:paraId="662CE3DB"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32E3700"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szCs w:val="24"/>
        </w:rPr>
        <w:t>Tilavuudeltaan enintään kolmen litran juomapullot ja niiden korkit ja kannet, paitsi</w:t>
      </w:r>
    </w:p>
    <w:p w14:paraId="7F00F129"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2309CE4" w14:textId="77777777" w:rsidR="007104F8" w:rsidRPr="00E056C8" w:rsidRDefault="007104F8" w:rsidP="007104F8">
      <w:pPr>
        <w:autoSpaceDE w:val="0"/>
        <w:autoSpaceDN w:val="0"/>
        <w:adjustRightInd w:val="0"/>
        <w:spacing w:after="0" w:line="240" w:lineRule="auto"/>
        <w:rPr>
          <w:rFonts w:cs="TimesNewRoman"/>
          <w:sz w:val="24"/>
          <w:szCs w:val="24"/>
        </w:rPr>
      </w:pPr>
      <w:r>
        <w:rPr>
          <w:sz w:val="24"/>
          <w:szCs w:val="24"/>
        </w:rPr>
        <w:t>a) lasiset tai metalliset juomapullot, joissa on muovikorkit tai -kannet,</w:t>
      </w:r>
    </w:p>
    <w:p w14:paraId="7DFFBF5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b) juomapullot, jotka on tarkoitettu ja joita käytetään asetuksen (EU) N:o 609/2013 2 artiklan g alakohdassa määriteltyjä erityisiin lääkinnällisiin tarkoituksiin tarkoitettuja nestemäisessä muodossa olevia elintarvikkeita varten.</w:t>
      </w:r>
    </w:p>
    <w:p w14:paraId="575CC872"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1D8294DC"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G OSA</w:t>
      </w:r>
    </w:p>
    <w:p w14:paraId="35956E6D" w14:textId="77777777" w:rsidR="007104F8" w:rsidRPr="00E056C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40BA0F68" w14:textId="77777777" w:rsidR="007104F8" w:rsidRPr="004578C8" w:rsidRDefault="007104F8" w:rsidP="00206537">
      <w:pPr>
        <w:keepNext/>
        <w:keepLines/>
        <w:autoSpaceDE w:val="0"/>
        <w:autoSpaceDN w:val="0"/>
        <w:adjustRightInd w:val="0"/>
        <w:spacing w:after="0" w:line="240" w:lineRule="auto"/>
        <w:rPr>
          <w:rFonts w:cs="TimesNewRoman"/>
          <w:b/>
          <w:sz w:val="24"/>
          <w:szCs w:val="24"/>
        </w:rPr>
      </w:pPr>
      <w:r>
        <w:rPr>
          <w:b/>
          <w:sz w:val="24"/>
          <w:szCs w:val="24"/>
        </w:rPr>
        <w:t>Valistustoimia koskevan 10 §:n soveltamisalaan kuuluvat kertakäyttöiset muovituotteet</w:t>
      </w:r>
    </w:p>
    <w:p w14:paraId="3CEDF162"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0F5205F6" w14:textId="77777777" w:rsidR="007104F8" w:rsidRPr="00E056C8" w:rsidRDefault="007104F8" w:rsidP="00206537">
      <w:pPr>
        <w:keepNext/>
        <w:keepLines/>
        <w:autoSpaceDE w:val="0"/>
        <w:autoSpaceDN w:val="0"/>
        <w:adjustRightInd w:val="0"/>
        <w:spacing w:after="0" w:line="240" w:lineRule="auto"/>
        <w:rPr>
          <w:rFonts w:cs="TimesNewRoman"/>
          <w:sz w:val="24"/>
          <w:szCs w:val="24"/>
        </w:rPr>
      </w:pPr>
      <w:r>
        <w:rPr>
          <w:sz w:val="24"/>
          <w:szCs w:val="24"/>
        </w:rPr>
        <w:t>1) Elintarvikepakkaukset eli astiat, kuten kannelliset ja kannettomat rasiat, joissa säilytetään elintarvikkeita, jotka</w:t>
      </w:r>
    </w:p>
    <w:p w14:paraId="58BB5B2C"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a) on tarkoitettu syötäväksi välittömästi joko paikalla tai mukaan otettuna,</w:t>
      </w:r>
    </w:p>
    <w:p w14:paraId="26A598A7"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b) syödään tavallisesti astiasta ja</w:t>
      </w:r>
    </w:p>
    <w:p w14:paraId="39DE0733"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c) ovat valmiita syötäväksi ilman lisävalmistamista, kuten kypsentämistä, keittämistä tai lämmittämistä,</w:t>
      </w:r>
    </w:p>
    <w:p w14:paraId="15C702C7"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mukaan luettuina elintarvikepakkaukset, joita käytetään pikaruokaa tai muuta välittömästi syötäväksi tarkoitettua ateriaa varten, lukuun ottamatta juomapakkauksia, lautasia ja ruokaa sisältäviä annospakkauksia ja kääreitä.</w:t>
      </w:r>
    </w:p>
    <w:p w14:paraId="0EC23834"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4BF2E74D"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Joustavasta materiaalista valmistetut annospakkaukset ja kääreet, joiden sisältämä ruoka on tarkoitettu nautittavaksi välittömästi annospakkauksesta tai kääreestä ilman lisävalmistusta.</w:t>
      </w:r>
    </w:p>
    <w:p w14:paraId="40A04898"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600DBDF7" w14:textId="77777777" w:rsidR="007104F8" w:rsidRDefault="007104F8" w:rsidP="007104F8">
      <w:pPr>
        <w:autoSpaceDE w:val="0"/>
        <w:autoSpaceDN w:val="0"/>
        <w:adjustRightInd w:val="0"/>
        <w:spacing w:after="0" w:line="240" w:lineRule="auto"/>
        <w:rPr>
          <w:rFonts w:cs="TimesNewRoman"/>
          <w:sz w:val="24"/>
          <w:szCs w:val="24"/>
        </w:rPr>
      </w:pPr>
      <w:r>
        <w:rPr>
          <w:sz w:val="24"/>
          <w:szCs w:val="24"/>
        </w:rPr>
        <w:lastRenderedPageBreak/>
        <w:t>3) Tilavuudeltaan enintään kolmen litran juomapakkaukset eli astiat, joita käytetään nesteitä varten, kuten juomapullot ja niiden korkit ja kannet, sekä yhdistelmämateriaalipakkaukset korkkeineen ja kansineen, paitsi lasiset tai metalliset juomapakkaukset, joissa on muovikorkit tai -kannet.</w:t>
      </w:r>
    </w:p>
    <w:p w14:paraId="0A3DA944"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7A9344D4"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Juomamukit, niiden korkit ja kannet mukaan luettuina.</w:t>
      </w:r>
    </w:p>
    <w:p w14:paraId="7EC482E1"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53DDFA5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Suodattimelliset tupakkatuotteet ja suodattimet, joita pidetään kaupan käytettäväksi yhdessä tupakkatuotteiden kanssa.</w:t>
      </w:r>
    </w:p>
    <w:p w14:paraId="05D96DD1"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0156A3B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6) Kosteuspyyhkeet eli henkilökohtaiseen hygieniaan ja kotitalouksien käyttöön tarkoitetut esikosteutetut pyyhkeet.</w:t>
      </w:r>
    </w:p>
    <w:p w14:paraId="73D3BDE8"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1D2954FC" w14:textId="77777777" w:rsidR="007104F8" w:rsidRDefault="007104F8" w:rsidP="007104F8">
      <w:pPr>
        <w:autoSpaceDE w:val="0"/>
        <w:autoSpaceDN w:val="0"/>
        <w:adjustRightInd w:val="0"/>
        <w:spacing w:after="0" w:line="240" w:lineRule="auto"/>
        <w:rPr>
          <w:rFonts w:cs="TimesNewRoman"/>
          <w:sz w:val="24"/>
          <w:szCs w:val="24"/>
        </w:rPr>
      </w:pPr>
      <w:r>
        <w:rPr>
          <w:sz w:val="24"/>
          <w:szCs w:val="24"/>
        </w:rPr>
        <w:t>7) Ilmapallot, lukuun ottamatta ilmapalloja, jotka on tarkoitettu teollisiin tai muihin ammattimaisiin käyttötarkoituksiin ja sovelluksiin ja joita ei jaeta kuluttajille.</w:t>
      </w:r>
    </w:p>
    <w:p w14:paraId="55AE158C"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127D791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8) Kevyet muoviset kantokassit, sellaisina kuin ne määritellään direktiivin 94/62/EY 3 artiklan 1 c kohdassa.</w:t>
      </w:r>
    </w:p>
    <w:p w14:paraId="729A7FE0"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2C28BA80" w14:textId="77777777" w:rsidR="007104F8" w:rsidRDefault="007104F8" w:rsidP="007104F8">
      <w:pPr>
        <w:autoSpaceDE w:val="0"/>
        <w:autoSpaceDN w:val="0"/>
        <w:adjustRightInd w:val="0"/>
        <w:spacing w:after="0" w:line="240" w:lineRule="auto"/>
        <w:rPr>
          <w:rFonts w:cs="TimesNewRoman"/>
          <w:sz w:val="24"/>
          <w:szCs w:val="24"/>
        </w:rPr>
      </w:pPr>
      <w:r>
        <w:rPr>
          <w:sz w:val="24"/>
          <w:szCs w:val="24"/>
        </w:rPr>
        <w:t>9) Terveyssiteet, tamponit ja tamponien asettimet.</w:t>
      </w:r>
    </w:p>
    <w:p w14:paraId="3187795F"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548062F"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2721F64B"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CF25E15"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910265E"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B9CBCB6"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270086C8"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A3F7960" w14:textId="77777777" w:rsidR="00A613C2" w:rsidRPr="007104F8" w:rsidRDefault="00A613C2" w:rsidP="007104F8">
      <w:pPr>
        <w:spacing w:after="200" w:line="276" w:lineRule="auto"/>
        <w:rPr>
          <w:rFonts w:cs="TimesNewRoman"/>
          <w:sz w:val="24"/>
          <w:szCs w:val="24"/>
          <w:lang w:val="fr-LU" w:eastAsia="fr-BE"/>
        </w:rPr>
      </w:pPr>
    </w:p>
    <w:sectPr w:rsidR="00A613C2" w:rsidRPr="007104F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265EE" w14:textId="77777777" w:rsidR="007104F8" w:rsidRDefault="007104F8" w:rsidP="007104F8">
      <w:pPr>
        <w:spacing w:after="0" w:line="240" w:lineRule="auto"/>
      </w:pPr>
      <w:r>
        <w:separator/>
      </w:r>
    </w:p>
  </w:endnote>
  <w:endnote w:type="continuationSeparator" w:id="0">
    <w:p w14:paraId="7D910666" w14:textId="77777777" w:rsidR="007104F8" w:rsidRDefault="007104F8" w:rsidP="0071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04618" w14:textId="77777777" w:rsidR="007104F8" w:rsidRDefault="007104F8" w:rsidP="007104F8">
      <w:pPr>
        <w:spacing w:after="0" w:line="240" w:lineRule="auto"/>
      </w:pPr>
      <w:r>
        <w:separator/>
      </w:r>
    </w:p>
  </w:footnote>
  <w:footnote w:type="continuationSeparator" w:id="0">
    <w:p w14:paraId="592932D1" w14:textId="77777777" w:rsidR="007104F8" w:rsidRDefault="007104F8" w:rsidP="007104F8">
      <w:pPr>
        <w:spacing w:after="0" w:line="240" w:lineRule="auto"/>
      </w:pPr>
      <w:r>
        <w:continuationSeparator/>
      </w:r>
    </w:p>
  </w:footnote>
  <w:footnote w:id="1">
    <w:p w14:paraId="752260E5" w14:textId="77777777" w:rsidR="007104F8" w:rsidRPr="006227D4" w:rsidRDefault="007104F8" w:rsidP="007104F8">
      <w:pPr>
        <w:pStyle w:val="FootnoteText"/>
      </w:pPr>
      <w:r>
        <w:rPr>
          <w:rStyle w:val="FootnoteReference"/>
        </w:rPr>
        <w:footnoteRef/>
      </w:r>
      <w:r>
        <w:t xml:space="preserve"> Neuvoston direktiivi 90/385/ETY, annettu 20 päivänä kesäkuuta 1990, aktiivisia implantoitavia lääkinnällisiä laitteita koskevan jäsenvaltioiden lainsäädännön lähentämisestä (EYVL L 189, 20.7.1990, s. 17).</w:t>
      </w:r>
    </w:p>
  </w:footnote>
  <w:footnote w:id="2">
    <w:p w14:paraId="42EC3717" w14:textId="77777777" w:rsidR="007104F8" w:rsidRPr="006227D4" w:rsidRDefault="007104F8" w:rsidP="007104F8">
      <w:pPr>
        <w:pStyle w:val="FootnoteText"/>
      </w:pPr>
      <w:r>
        <w:rPr>
          <w:rStyle w:val="FootnoteReference"/>
        </w:rPr>
        <w:footnoteRef/>
      </w:r>
      <w:r>
        <w:t xml:space="preserve"> Neuvoston direktiivi 93/42/ETY, annettu 14 päivänä kesäkuuta 1993, lääkinnällisistä laitteista (EYVL L 169 12.7.1993, s. 1).</w:t>
      </w:r>
    </w:p>
  </w:footnote>
  <w:footnote w:id="3">
    <w:p w14:paraId="7B0A379B" w14:textId="77777777" w:rsidR="007104F8" w:rsidRPr="006227D4" w:rsidRDefault="007104F8" w:rsidP="007104F8">
      <w:pPr>
        <w:pStyle w:val="FootnoteText"/>
      </w:pPr>
      <w:r>
        <w:rPr>
          <w:rStyle w:val="FootnoteReference"/>
        </w:rPr>
        <w:footnoteRef/>
      </w:r>
      <w:r>
        <w:t xml:space="preserve"> Euroopan parlamentin ja neuvoston asetus (EU) N:o 609/2013, annettu 12 päivänä kesäkuuta 2013, imeväisille ja pikkulapsille tarkoitetuista ruoista, erityisiin lääkinnällisiin tarkoituksiin tarkoitetuista elintarvikkeista ja painonhallintaan tarkoitetuista ruokavalionkorvikkeista ja neuvoston direktiivin 92/52/ETY, komission direktiivien 96/8/EY, 1999/21/EY, 2006/125/EY ja 2006/141/EY, Euroopan parlamentin ja neuvoston direktiivin 2009/39/EY sekä komission asetusten (EY) N:o 41/2009 ja (EY) N:o 953/2009 kumoamisesta (EUVL L 181, 29.6.2013, s.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970"/>
    <w:multiLevelType w:val="hybridMultilevel"/>
    <w:tmpl w:val="580C4724"/>
    <w:lvl w:ilvl="0" w:tplc="F2FC7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3BF9"/>
    <w:multiLevelType w:val="multilevel"/>
    <w:tmpl w:val="CD70D7A0"/>
    <w:lvl w:ilvl="0">
      <w:start w:val="1"/>
      <w:numFmt w:val="decimal"/>
      <w:pStyle w:val="Chapitre"/>
      <w:suff w:val="nothing"/>
      <w:lvlText w:val="Chapitre %1"/>
      <w:lvlJc w:val="left"/>
      <w:pPr>
        <w:ind w:left="360" w:hanging="360"/>
      </w:pPr>
      <w:rPr>
        <w:rFonts w:ascii="Verdana" w:hAnsi="Verdana" w:hint="default"/>
        <w:b/>
        <w:i w:val="0"/>
        <w:sz w:val="20"/>
      </w:rPr>
    </w:lvl>
    <w:lvl w:ilvl="1">
      <w:start w:val="1"/>
      <w:numFmt w:val="decimal"/>
      <w:pStyle w:val="Section"/>
      <w:suff w:val="nothing"/>
      <w:lvlText w:val="Section %2"/>
      <w:lvlJc w:val="left"/>
      <w:pPr>
        <w:ind w:left="3970" w:firstLine="0"/>
      </w:pPr>
      <w:rPr>
        <w:rFonts w:ascii="Verdana" w:hAnsi="Verdana" w:hint="default"/>
        <w:b/>
        <w:i w:val="0"/>
        <w:sz w:val="20"/>
      </w:rPr>
    </w:lvl>
    <w:lvl w:ilvl="2">
      <w:start w:val="1"/>
      <w:numFmt w:val="decimal"/>
      <w:pStyle w:val="Sous-section"/>
      <w:suff w:val="nothing"/>
      <w:lvlText w:val="Sous-section %3"/>
      <w:lvlJc w:val="left"/>
      <w:pPr>
        <w:ind w:left="0" w:firstLine="0"/>
      </w:pPr>
      <w:rPr>
        <w:rFonts w:ascii="Verdana" w:hAnsi="Verdana" w:hint="default"/>
        <w:b/>
        <w:i w:val="0"/>
        <w:sz w:val="20"/>
      </w:rPr>
    </w:lvl>
    <w:lvl w:ilvl="3">
      <w:start w:val="1"/>
      <w:numFmt w:val="decimal"/>
      <w:lvlRestart w:val="0"/>
      <w:pStyle w:val="Article"/>
      <w:suff w:val="nothing"/>
      <w:lvlText w:val="Art. %4"/>
      <w:lvlJc w:val="left"/>
      <w:pPr>
        <w:ind w:left="494" w:firstLine="357"/>
      </w:pPr>
      <w:rPr>
        <w:rFonts w:ascii="Verdana" w:hAnsi="Verdana" w:hint="default"/>
        <w:b/>
        <w:i w:val="0"/>
        <w:sz w:val="20"/>
      </w:rPr>
    </w:lvl>
    <w:lvl w:ilvl="4">
      <w:start w:val="1"/>
      <w:numFmt w:val="decimal"/>
      <w:pStyle w:val="Liste1"/>
      <w:suff w:val="space"/>
      <w:lvlText w:val="(%5)"/>
      <w:lvlJc w:val="left"/>
      <w:pPr>
        <w:ind w:left="0" w:firstLine="357"/>
      </w:pPr>
      <w:rPr>
        <w:rFonts w:ascii="Verdana" w:hAnsi="Verdana" w:hint="default"/>
        <w:sz w:val="20"/>
      </w:rPr>
    </w:lvl>
    <w:lvl w:ilvl="5">
      <w:start w:val="1"/>
      <w:numFmt w:val="decimal"/>
      <w:pStyle w:val="Liste10"/>
      <w:suff w:val="space"/>
      <w:lvlText w:val="%6."/>
      <w:lvlJc w:val="left"/>
      <w:pPr>
        <w:ind w:left="964" w:hanging="255"/>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Listea"/>
      <w:lvlText w:val="%7)"/>
      <w:lvlJc w:val="left"/>
      <w:pPr>
        <w:ind w:left="1276" w:hanging="255"/>
      </w:pPr>
    </w:lvl>
    <w:lvl w:ilvl="7">
      <w:start w:val="1"/>
      <w:numFmt w:val="decimal"/>
      <w:pStyle w:val="Numerotation1"/>
      <w:lvlText w:val="%8."/>
      <w:lvlJc w:val="left"/>
      <w:pPr>
        <w:ind w:left="726" w:hanging="369"/>
      </w:pPr>
      <w:rPr>
        <w:rFonts w:ascii="Verdana" w:hAnsi="Verdana" w:hint="default"/>
        <w:sz w:val="20"/>
      </w:rPr>
    </w:lvl>
    <w:lvl w:ilvl="8">
      <w:start w:val="1"/>
      <w:numFmt w:val="lowerLetter"/>
      <w:pStyle w:val="Numerotationa"/>
      <w:lvlText w:val="%9)"/>
      <w:lvlJc w:val="left"/>
      <w:pPr>
        <w:tabs>
          <w:tab w:val="num" w:pos="1219"/>
        </w:tabs>
        <w:ind w:left="1219" w:hanging="36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F8"/>
    <w:rsid w:val="000C1A12"/>
    <w:rsid w:val="00206537"/>
    <w:rsid w:val="00475004"/>
    <w:rsid w:val="005423E9"/>
    <w:rsid w:val="007104F8"/>
    <w:rsid w:val="00A613C2"/>
    <w:rsid w:val="00F5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4525"/>
  <w15:chartTrackingRefBased/>
  <w15:docId w15:val="{F30502B0-6742-4C99-AB0F-D3E4D25B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F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7104F8"/>
    <w:rPr>
      <w:rFonts w:ascii="Verdana" w:eastAsia="Calibri" w:hAnsi="Verdana" w:cs="TimesLTStd-Roman"/>
      <w:color w:val="221E1F"/>
      <w:sz w:val="20"/>
      <w:szCs w:val="20"/>
      <w:lang w:val="fi-FI"/>
    </w:rPr>
  </w:style>
  <w:style w:type="paragraph" w:styleId="ListParagraph">
    <w:name w:val="List Paragraph"/>
    <w:basedOn w:val="Normal"/>
    <w:link w:val="ListParagraphChar"/>
    <w:uiPriority w:val="34"/>
    <w:qFormat/>
    <w:rsid w:val="007104F8"/>
    <w:pPr>
      <w:spacing w:before="240" w:after="240" w:line="240" w:lineRule="auto"/>
      <w:ind w:left="720" w:firstLine="357"/>
      <w:contextualSpacing/>
      <w:jc w:val="both"/>
    </w:pPr>
    <w:rPr>
      <w:rFonts w:ascii="Verdana" w:eastAsia="Calibri" w:hAnsi="Verdana" w:cs="TimesLTStd-Roman"/>
      <w:color w:val="221E1F"/>
      <w:sz w:val="20"/>
      <w:szCs w:val="20"/>
    </w:rPr>
  </w:style>
  <w:style w:type="paragraph" w:customStyle="1" w:styleId="Chapitre">
    <w:name w:val="Chapitre"/>
    <w:basedOn w:val="Normal"/>
    <w:qFormat/>
    <w:rsid w:val="007104F8"/>
    <w:pPr>
      <w:numPr>
        <w:numId w:val="1"/>
      </w:numPr>
      <w:spacing w:beforeLines="100" w:after="240" w:line="240" w:lineRule="auto"/>
      <w:ind w:left="720"/>
      <w:jc w:val="center"/>
    </w:pPr>
    <w:rPr>
      <w:rFonts w:ascii="Verdana" w:eastAsia="Calibri" w:hAnsi="Verdana" w:cs="TimesLTStd-Roman"/>
      <w:b/>
      <w:sz w:val="20"/>
      <w:szCs w:val="20"/>
    </w:rPr>
  </w:style>
  <w:style w:type="paragraph" w:customStyle="1" w:styleId="Section">
    <w:name w:val="Section"/>
    <w:basedOn w:val="Normal"/>
    <w:qFormat/>
    <w:rsid w:val="007104F8"/>
    <w:pPr>
      <w:numPr>
        <w:ilvl w:val="1"/>
        <w:numId w:val="1"/>
      </w:numPr>
      <w:spacing w:beforeLines="100" w:after="240" w:line="240" w:lineRule="auto"/>
      <w:jc w:val="center"/>
    </w:pPr>
    <w:rPr>
      <w:rFonts w:ascii="Verdana" w:eastAsia="Calibri" w:hAnsi="Verdana" w:cs="TimesLTStd-Roman"/>
      <w:b/>
      <w:sz w:val="20"/>
      <w:szCs w:val="20"/>
    </w:rPr>
  </w:style>
  <w:style w:type="paragraph" w:customStyle="1" w:styleId="Sous-section">
    <w:name w:val="Sous-section"/>
    <w:basedOn w:val="Normal"/>
    <w:qFormat/>
    <w:rsid w:val="007104F8"/>
    <w:pPr>
      <w:numPr>
        <w:ilvl w:val="2"/>
        <w:numId w:val="1"/>
      </w:numPr>
      <w:spacing w:beforeLines="100" w:after="240" w:line="240" w:lineRule="auto"/>
      <w:jc w:val="center"/>
    </w:pPr>
    <w:rPr>
      <w:rFonts w:ascii="Verdana" w:eastAsia="Calibri" w:hAnsi="Verdana" w:cs="TimesLTStd-Roman"/>
      <w:b/>
      <w:sz w:val="20"/>
      <w:szCs w:val="20"/>
    </w:rPr>
  </w:style>
  <w:style w:type="paragraph" w:customStyle="1" w:styleId="Article">
    <w:name w:val="Article"/>
    <w:basedOn w:val="Normal"/>
    <w:qFormat/>
    <w:rsid w:val="007104F8"/>
    <w:pPr>
      <w:numPr>
        <w:ilvl w:val="3"/>
        <w:numId w:val="1"/>
      </w:numPr>
      <w:spacing w:beforeLines="100" w:after="240" w:line="240" w:lineRule="auto"/>
      <w:jc w:val="both"/>
    </w:pPr>
    <w:rPr>
      <w:rFonts w:ascii="Verdana" w:eastAsia="Calibri" w:hAnsi="Verdana" w:cs="TimesLTStd-Roman"/>
      <w:b/>
      <w:sz w:val="20"/>
      <w:szCs w:val="20"/>
    </w:rPr>
  </w:style>
  <w:style w:type="paragraph" w:customStyle="1" w:styleId="Liste1">
    <w:name w:val="Liste (1)"/>
    <w:basedOn w:val="Normal"/>
    <w:qFormat/>
    <w:rsid w:val="007104F8"/>
    <w:pPr>
      <w:numPr>
        <w:ilvl w:val="4"/>
        <w:numId w:val="1"/>
      </w:numPr>
      <w:spacing w:beforeLines="125" w:after="240" w:line="240" w:lineRule="auto"/>
      <w:jc w:val="both"/>
    </w:pPr>
    <w:rPr>
      <w:rFonts w:ascii="Verdana" w:eastAsia="Calibri" w:hAnsi="Verdana" w:cs="TimesLTStd-Roman"/>
      <w:bCs/>
      <w:color w:val="221E1F"/>
      <w:sz w:val="20"/>
      <w:szCs w:val="20"/>
    </w:rPr>
  </w:style>
  <w:style w:type="paragraph" w:customStyle="1" w:styleId="Liste10">
    <w:name w:val="Liste 1."/>
    <w:basedOn w:val="Normal"/>
    <w:qFormat/>
    <w:rsid w:val="007104F8"/>
    <w:pPr>
      <w:numPr>
        <w:ilvl w:val="5"/>
        <w:numId w:val="1"/>
      </w:numPr>
      <w:spacing w:before="60" w:after="120" w:line="240" w:lineRule="auto"/>
      <w:jc w:val="both"/>
    </w:pPr>
    <w:rPr>
      <w:rFonts w:ascii="Verdana" w:eastAsia="Calibri" w:hAnsi="Verdana" w:cs="TimesLTStd-Roman"/>
      <w:iCs/>
      <w:sz w:val="20"/>
      <w:szCs w:val="20"/>
    </w:rPr>
  </w:style>
  <w:style w:type="paragraph" w:customStyle="1" w:styleId="Listea">
    <w:name w:val="Liste a)"/>
    <w:basedOn w:val="Liste10"/>
    <w:qFormat/>
    <w:rsid w:val="007104F8"/>
    <w:pPr>
      <w:numPr>
        <w:ilvl w:val="6"/>
      </w:numPr>
    </w:pPr>
    <w:rPr>
      <w:lang w:eastAsia="fr-BE"/>
    </w:rPr>
  </w:style>
  <w:style w:type="paragraph" w:customStyle="1" w:styleId="Numerotation1">
    <w:name w:val="Numerotation 1."/>
    <w:basedOn w:val="Liste1"/>
    <w:qFormat/>
    <w:rsid w:val="007104F8"/>
    <w:pPr>
      <w:numPr>
        <w:ilvl w:val="7"/>
      </w:numPr>
      <w:spacing w:beforeLines="0" w:before="120" w:after="120"/>
    </w:pPr>
  </w:style>
  <w:style w:type="paragraph" w:customStyle="1" w:styleId="Numerotationa">
    <w:name w:val="Numerotation a)"/>
    <w:basedOn w:val="Liste10"/>
    <w:qFormat/>
    <w:rsid w:val="007104F8"/>
    <w:pPr>
      <w:numPr>
        <w:ilvl w:val="8"/>
      </w:numPr>
      <w:spacing w:before="240" w:after="240"/>
    </w:pPr>
  </w:style>
  <w:style w:type="paragraph" w:styleId="NormalWeb">
    <w:name w:val="Normal (Web)"/>
    <w:basedOn w:val="Normal"/>
    <w:uiPriority w:val="99"/>
    <w:semiHidden/>
    <w:unhideWhenUsed/>
    <w:rsid w:val="007104F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10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4F8"/>
    <w:rPr>
      <w:sz w:val="20"/>
      <w:szCs w:val="20"/>
    </w:rPr>
  </w:style>
  <w:style w:type="character" w:styleId="FootnoteReference">
    <w:name w:val="footnote reference"/>
    <w:basedOn w:val="DefaultParagraphFont"/>
    <w:uiPriority w:val="99"/>
    <w:semiHidden/>
    <w:unhideWhenUsed/>
    <w:rsid w:val="007104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3951</Words>
  <Characters>22524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26423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Turmes</dc:creator>
  <cp:keywords/>
  <dc:description/>
  <cp:lastModifiedBy>Diana STOICA</cp:lastModifiedBy>
  <cp:revision>3</cp:revision>
  <dcterms:created xsi:type="dcterms:W3CDTF">2020-07-29T07:14:00Z</dcterms:created>
  <dcterms:modified xsi:type="dcterms:W3CDTF">2020-08-13T07:30:00Z</dcterms:modified>
</cp:coreProperties>
</file>