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sz w:val="20"/>
          <w:szCs w:val="20"/>
          <w:rFonts w:ascii="Courier New" w:hAnsi="Courier New" w:cs="Courier New"/>
        </w:rPr>
      </w:pPr>
    </w:p>
    <w:p w:rsidR="00D55707" w:rsidRDefault="00D55707" w:rsidP="00D55707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0600 D PL-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Rozporządzenie kraju związkowego zmieniające rozporządzenie kraju związkowego w sprawie zapobiegania chorobom zakaźnym (HygieneVO)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color w:val="000000"/>
          <w:rFonts w:ascii="Arial" w:hAnsi="Arial"/>
        </w:rPr>
        <w:br/>
        <w:t xml:space="preserve">z dnia</w:t>
      </w:r>
      <w:r>
        <w:rPr>
          <w:color w:val="000000"/>
          <w:rFonts w:ascii="Arial" w:hAnsi="Arial"/>
        </w:rPr>
        <w:t xml:space="preserve"> </w:t>
        <w:br/>
        <w:t xml:space="preserve"> </w:t>
        <w:br/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Na podstawie § 17 ust. 4 ustawy o zapobieganiu zakażeniom z dnia 20 lipca 2000 r. (Federalny Dz.U.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 s. 1045), ostatnio zmienionego artykułem 18a rozporządzenia z dnia 9 sierpnia 2019 r. (Federalny Dz.U.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 s. 1202), w związku z § 1 ust. 1 rozporządzenia w sprawie przeniesienia upoważnień na mocy ustawy o profilaktyce zakażeń z dnia 22 lutego 2001 r. (Dz.U. i Rozp. Szl.-H. s. 35), nazwy resortów ostatnio zastąpione artykułem 21 rozporządzenia z dnia 16 stycznia 2019 r. (Dz.U. i Rozp.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Szl.-H. s. 30) Ministerstwo Spraw Społecznych, Zdrowia, Młodzieży, Rodziny i Seniorów rozporządza, co następuje:</w:t>
      </w:r>
      <w:r>
        <w:rPr>
          <w:color w:val="000000"/>
          <w:rFonts w:ascii="Arial" w:hAnsi="Arial"/>
        </w:rPr>
        <w:t xml:space="preserve"> 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 </w:t>
      </w:r>
      <w:r>
        <w:rPr>
          <w:color w:val="000000"/>
          <w:rFonts w:ascii="Arial" w:hAnsi="Arial"/>
        </w:rPr>
        <w:t xml:space="preserve">1.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§ 3 ust. 1 otrzymuje następujące brzmienie:</w:t>
      </w:r>
      <w:r>
        <w:rPr>
          <w:color w:val="000000"/>
          <w:rFonts w:ascii="Arial" w:hAnsi="Arial"/>
        </w:rPr>
        <w:t xml:space="preserve"> </w:t>
      </w:r>
    </w:p>
    <w:p w:rsidR="000A4C53" w:rsidRDefault="0016494F" w:rsidP="00502122">
      <w:pPr>
        <w:spacing w:before="100" w:beforeAutospacing="1" w:after="100" w:afterAutospacing="1"/>
        <w:ind w:left="567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„(1) We wszystkich pomieszczeniach przeznaczonych do diagnostyki i terapii, w których może dojść do skażenia płynami ustrojowymi i innymi materiałami zawierającymi patogeny, inwentarz musi być zdatny do czyszczenia na mokro i dezynfekcji.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Wszystkie stosowane środki odkażające muszą być właściwe do zapobiegania zakażeniom w placówkach medycznych, a ich skuteczność musi być udowodniona.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Skuteczność w każdym wymaganym zakresie działania musi obejmować co najmniej działanie bakteriobójcze, drożdżobójcze i w ograniczonym zakresie wirusobójcze, stosownie do okoliczności dodatkowo grzybobójcze, gruźliczobójcze, mykobakteriobójcze i skuteczne przeciwko przetrwalnikom bakteryjnym.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Musi być ona udokumentowana co najmniej dwiema niezależnymi od siebie ekspertyzami, wraz z przynależnymi sprawozdaniami z badań.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Skuteczność uważa się za potwierdzoną, jeżeli badania zostały przeprowadzone przez laboratoria badawcze niezależne od producenta, a sprawozdania z badań zostały potwierdzone przez niezależnych ekspertów w uzasadnionej naukowo ocenie.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Laboratoria badawcze muszą posiadać wymagane uprawnienia, które można potwierdzić np. akredytacją zgodną z normą DIN ISO EN 17025:2018-03 z marca 2018 r.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Każda metoda badawcza musi być poddana walidacji np. w drodze międzylaboratoryjnego badania porównawczego, aby móc uwzględnić zmienność statystyczną, uwzględniającą co najmniej dwa wymagane powtórzenia testów.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Badania przeprowadzone zgodnie ze specyfikacjami technicznymi innego państwa członkowskiego Unii Europejskiej lub Turcji, lub innego państwa będącego stroną Porozumienia o Europejskim Obszarze Gospodarczym uznaje się za równoważne, jeżeli te specyfikacje techniczne trwale zapewniają poziom ochrony ustanowiony w zdaniu drugim.”.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2.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§ 5 otrzymuje brzmienie: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bookmarkStart w:id="1" w:name="6"/>
      <w:r>
        <w:rPr>
          <w:color w:val="000000"/>
          <w:rFonts w:ascii="Arial" w:hAnsi="Arial"/>
        </w:rPr>
        <w:t xml:space="preserve">„ </w:t>
      </w:r>
      <w:bookmarkStart w:id="2" w:name="7"/>
      <w:bookmarkEnd w:id="1"/>
      <w:r>
        <w:rPr>
          <w:color w:val="000000"/>
          <w:rFonts w:ascii="Arial" w:hAnsi="Arial"/>
        </w:rPr>
        <w:t xml:space="preserve">§ 5 </w:t>
        <w:br/>
        <w:t xml:space="preserve">Wykroczenia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320C14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(1) Wykroczenie w rozumieniu § 73 ust. 1a pkt 6 ustawy o zapobieganiu zakażeniom popełnia ten, kto umyślnie lub nieumyślnie: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wbrew § 3 nie przeprowadza czyszczenia, dezynfekcji lub sterylizacji według odpowiedniej procedury lub przeprowadza w sposób niewystarczający, lub nie przechowuje urządzeń w sposób zapewniający ochronę przed zanieczyszczeniami,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używa innych środków odkażających i procedur dezynfekcji niż wymienione w § 3,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wbrew § 4 nie usuwa wymienionych w nim urządzeń i innych przedmiotów w odpowiednich pojemnikach,</w:t>
      </w:r>
      <w:r>
        <w:rPr>
          <w:color w:val="000000"/>
          <w:rFonts w:ascii="Arial" w:hAnsi="Arial"/>
        </w:rPr>
        <w:t xml:space="preserve">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narusza obowiązek uzyskania zgody lub udzielenia informacji, o których mowa w § 73 ust. 1a pkt 3 i 4 ustawy o zapobieganiu zakażeniom lub obowiązek przedłożenia dokumentów, w szczególności planów higieny, o których mowa w § 73 ust 1a pkt 5 ustawy o zapobieganiu zakażeniom,</w:t>
      </w:r>
    </w:p>
    <w:p w:rsidR="00E02ECA" w:rsidRPr="00A327F3" w:rsidRDefault="00E02ECA" w:rsidP="00E02ECA">
      <w:pPr>
        <w:autoSpaceDE w:val="0"/>
        <w:autoSpaceDN w:val="0"/>
        <w:adjustRightInd w:val="0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albo umyślnie lub nieumyślnie narusza odpowiednie e podlegające wykonaniu zarządzenie, o którym mowa w § 17 ust. 1 ustawy o zapobieganiu zakażeniom.”.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3.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Niniejsze rozporządzenie wchodzi w życie w dniu następującym po jego ogłoszeniu.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Powyższe rozporządzenie niniejszym uznaje się za sporządzone i zostanie ono ogłoszone.</w:t>
      </w:r>
    </w:p>
    <w:p w:rsidR="00053A17" w:rsidRPr="00E02ECA" w:rsidRDefault="0072626E" w:rsidP="00053A17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Kilonia,</w:t>
      </w:r>
      <w:r>
        <w:rPr>
          <w:color w:val="000000"/>
          <w:rFonts w:ascii="Arial" w:hAnsi="Arial"/>
        </w:rPr>
        <w:t xml:space="preserve">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dr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Minister Spraw Społecznych, Zdrowia, Młodzieży, </w:t>
        <w:br/>
        <w:t xml:space="preserve">Rodziny i Seniorów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Notyfikowano zgodnie z dyrektywą (UE) 2015/1535 Parlamentu Europejskiego i Rady z dnia 9 września 2015 r. ustanawiającą procedurę udzielania informacji w dziedzinie przepisów technicznych oraz zasad dotyczących usług społeczeństwa informacyjnego (Dz.U. L 241,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Stan na:</w:t>
    </w:r>
    <w:r>
      <w:t xml:space="preserve"> </w:t>
    </w:r>
    <w:r>
      <w:t xml:space="preserve">2019-11-07 r.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pl-PL"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