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0791 F-- HR-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bookmarkEnd w:id="0"/>
          <w:p w:rsidR="00121B80" w:rsidRPr="006C397D" w:rsidRDefault="00121B80">
            <w:pPr>
              <w:pStyle w:val="SNREPUBLIQUE"/>
              <w:snapToGrid w:val="0"/>
            </w:pPr>
            <w:r>
              <w:t xml:space="preserve">FRANCUSKA REPUBLIKA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Ministarstvo ekološke tranzicije</w:t>
            </w:r>
            <w:r>
              <w:t xml:space="preserve">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 xml:space="preserve">Stanovanje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Odluka od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odobrenju metode izračuna predviđene člankom R. 111-20-5. Zakonika o graditeljstvu i stanovanju</w:t>
      </w:r>
    </w:p>
    <w:p w:rsidR="00121B80" w:rsidRPr="006C397D" w:rsidRDefault="00121B80">
      <w:pPr>
        <w:pStyle w:val="SNNORCentr"/>
      </w:pPr>
      <w:r>
        <w:t xml:space="preserve">Oznaka NOR:</w:t>
      </w:r>
      <w:r>
        <w:t xml:space="preserve">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i/>
          <w:iCs/>
          <w:sz w:val="24"/>
          <w:szCs w:val="24"/>
          <w:bCs/>
          <w:u w:val="single"/>
          <w:rFonts w:ascii="Times New Roman" w:hAnsi="Times New Roman"/>
        </w:rPr>
        <w:t xml:space="preserve">Zainteresirane strane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naručitelji, izvođači radova, graditelji i promotori, arhitekti, uredi za toplinske i okolišne studije, osobe zadužene za izradu građevinskih troškovnika, tehnički nadzornici, građevinska poduzeća, proizvođači građevinskih materijala i tehničkih sustava zgrade, opskrbljivači energijom u kopnenoj Francuskoj.</w:t>
      </w: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Predmet</w:t>
      </w:r>
      <w:r>
        <w:rPr>
          <w:i/>
          <w:iCs/>
          <w:sz w:val="24"/>
          <w:szCs w:val="24"/>
          <w:rFonts w:ascii="Times New Roman" w:hAnsi="Times New Roman"/>
        </w:rPr>
        <w:t xml:space="preserve">: utvrđivanje metode izračuna energetske i ekološke učinkovitosti konstrukcija stambenih, poslovnih i zgrada osnovnoškolskog ili srednjoškolskog obrazovanja u kopnenoj Francuskoj u skladu s Odlukom od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i/>
          <w:iCs/>
          <w:sz w:val="24"/>
          <w:szCs w:val="24"/>
          <w:rFonts w:ascii="Times New Roman" w:hAnsi="Times New Roman"/>
        </w:rPr>
        <w:t xml:space="preserve"> o zahtjevima energetske i ekološke učinkovitosti konstrukcija stambenih, poslovnih i zgrada osnovnoškolskog ili srednjoškolskog obrazovanja u kopnenoj Francuskoj</w:t>
      </w:r>
    </w:p>
    <w:p w:rsidR="00371CC6" w:rsidRPr="006C397D" w:rsidRDefault="00121B80">
      <w:p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Stupanje na snagu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Ova Odluka počinje se primjenjivati od 1. srpnja 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i/>
          <w:iCs/>
          <w:sz w:val="24"/>
          <w:szCs w:val="24"/>
          <w:rFonts w:ascii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Sažetak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Odlukom se utvrđuje metoda izračuna energetske i ekološke učinkovitosti konstrukcija stambenih, poslovnih i zgrada osnovnoškolskog ili srednjoškolskog obrazovanja u kopnenoj Francuskoj putem triju priloga: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Prilog I.: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Opća pravila za izračun energetske i ekološke učinkovitosti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Prilog II.: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Metoda izračuna „Th-BCE 2020” kojom se podrobno utvrđuju pravila izračuna energetske učinkovitosti, povezana s alatom za izračun predviđenim u članku L.111-9-1-A. Zakonika o graditeljstvu i stanovanju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Prilog III.: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Pravila „Th-Bat 2020” koja omogućuju utvrđivanje podataka koji ulaze u izračun energetske učinkovitosti zgrade za propisani izračun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Upućivanja</w:t>
      </w:r>
      <w:r>
        <w:rPr>
          <w:i/>
          <w:iCs/>
          <w:sz w:val="24"/>
          <w:szCs w:val="24"/>
          <w:rFonts w:ascii="Times New Roman" w:hAnsi="Times New Roman"/>
        </w:rPr>
        <w:t xml:space="preserve"> tekst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izmijenjen</w:t>
      </w:r>
      <w:r>
        <w:rPr>
          <w:i/>
          <w:iCs/>
          <w:sz w:val="24"/>
          <w:szCs w:val="24"/>
          <w:rFonts w:ascii="Times New Roman" w:hAnsi="Times New Roman"/>
        </w:rPr>
        <w:t xml:space="preserve"> ovom Odlukom dostupan je u toj inačici na stranici Legifrance (</w:t>
      </w:r>
      <w:hyperlink r:id="rId7" w:history="1">
        <w:r>
          <w:rPr>
            <w:rStyle w:val="Hyperlink"/>
            <w:i/>
            <w:iCs/>
            <w:sz w:val="24"/>
            <w:szCs w:val="24"/>
            <w:rFonts w:ascii="Times New Roman" w:hAnsi="Times New Roman"/>
          </w:rPr>
          <w:t xml:space="preserve">www.legifrance.gouv.fr</w:t>
        </w:r>
      </w:hyperlink>
      <w:r>
        <w:rPr>
          <w:i/>
          <w:iCs/>
          <w:sz w:val="24"/>
          <w:szCs w:val="24"/>
          <w:rFonts w:ascii="Times New Roman" w:hAnsi="Times New Roman"/>
        </w:rPr>
        <w:t xml:space="preserve"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t xml:space="preserve">Ministrica ekološke tranzicije, ministrica koju je ovlastila ministrica ekološke tranzicije, zadužena za stanovanje,</w:t>
      </w:r>
    </w:p>
    <w:p w:rsidR="000A64C4" w:rsidRPr="006C397D" w:rsidRDefault="00972FD1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Direktivu (EU) 2015/1535 Europskog parlamenta i Vijeća od 9. rujna 2015. o utvrđivanju postupka pružanja informacija u području tehničkih propisa i pravila o uslugama informacijskog društva (kodificirani tekst) te posebno obavijest br. </w:t>
      </w:r>
      <w:r>
        <w:rPr>
          <w:sz w:val="24"/>
          <w:szCs w:val="24"/>
          <w:highlight w:val="yellow"/>
          <w:rFonts w:ascii="Times New Roman" w:hAnsi="Times New Roman"/>
        </w:rPr>
        <w:t xml:space="preserve">godina/XXX/F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Direktivu 2010/31/EZ Europskog parlamenta i Vijeća od 19. svibnja 2010. o energetskoj učinkovitosti zgrada, izmijenjenu Direktivom 2018/844 Europskog parlamenta i Vijeća od 30. svibnja 2018., osobito njezine članke 3., 4. i 6.,</w:t>
      </w:r>
    </w:p>
    <w:p w:rsidR="00837B47" w:rsidRPr="006C397D" w:rsidRDefault="00837B47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Zakonik o gradnji i stanovanju, posebice njegov članak R.111-20-5,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Odluku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o zahtjevima energetske i ekološke učinkovitosti konstrukcija stambenih, poslovnih i zgrada osnovnoškolskog ili srednjoškolskog obrazovanja u kopnenoj Francuskoj,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primjedbe iznesene tijekom javnog savjetovanja provedenog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do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 u skladu s člankom L. 120-1. Zakonika o zaštiti okoliša,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mišljenje </w:t>
      </w:r>
      <w:r>
        <w:rPr>
          <w:sz w:val="24"/>
          <w:szCs w:val="24"/>
          <w:highlight w:val="yellow"/>
          <w:rFonts w:ascii="Times New Roman" w:hAnsi="Times New Roman"/>
        </w:rPr>
        <w:t xml:space="preserve">Nacionalnog vijeća za ocjenjivanje normi</w:t>
      </w:r>
      <w:r>
        <w:rPr>
          <w:sz w:val="24"/>
          <w:szCs w:val="24"/>
          <w:rFonts w:ascii="Times New Roman" w:hAnsi="Times New Roman"/>
        </w:rPr>
        <w:t xml:space="preserve">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mišljenje </w:t>
      </w:r>
      <w:r>
        <w:rPr>
          <w:sz w:val="24"/>
          <w:szCs w:val="24"/>
          <w:highlight w:val="yellow"/>
          <w:rFonts w:ascii="Times New Roman" w:hAnsi="Times New Roman"/>
        </w:rPr>
        <w:t xml:space="preserve">Vrhovnog vijeća za energetiku</w:t>
      </w:r>
      <w:r>
        <w:rPr>
          <w:sz w:val="24"/>
          <w:szCs w:val="24"/>
          <w:rFonts w:ascii="Times New Roman" w:hAnsi="Times New Roman"/>
        </w:rPr>
        <w:t xml:space="preserve">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mišljenje Vrhovnog vijeća za građevinarstvo i energetsku učinkovitost od dana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Skupštini Gvajane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Skupštini Martiniquea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Departmanskom vijeću Guadeloupea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Departmanskom vijeću La Réuniona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Regionalnom vijeću Guadeloupea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Regionalnom vijeću La Réuniona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121B80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uzimajući u obzir obavijest upućenu Departmanskom vijeću Mayottea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szCs w:val="24"/>
          <w:rFonts w:ascii="Times New Roman" w:hAnsi="Times New Roman"/>
        </w:rPr>
        <w:t xml:space="preserve">donose sljedeću odluku: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Članak </w:t>
      </w:r>
      <w:r>
        <w:rPr>
          <w:b/>
          <w:rFonts w:ascii="Times New Roman" w:hAnsi="Times New Roman"/>
        </w:rPr>
        <w:t xml:space="preserve">1.</w:t>
      </w:r>
    </w:p>
    <w:p w:rsidR="00121B80" w:rsidRPr="006C397D" w:rsidRDefault="00371CC6">
      <w:pPr>
        <w:widowControl w:val="0"/>
        <w:spacing w:after="0" w:line="240" w:lineRule="auto"/>
        <w:rPr>
          <w:bCs/>
          <w:sz w:val="24"/>
          <w:szCs w:val="24"/>
          <w:rFonts w:ascii="Times New Roman" w:hAnsi="Times New Roman" w:cs="Times New Roman"/>
        </w:rPr>
      </w:pPr>
      <w:r>
        <w:rPr>
          <w:bCs/>
          <w:sz w:val="24"/>
          <w:szCs w:val="24"/>
          <w:rFonts w:ascii="Times New Roman" w:hAnsi="Times New Roman"/>
        </w:rPr>
        <w:t xml:space="preserve">Odobrena je metoda izračuna koja se nalazi u prilogu ovoj Odluci, predviđena člankom R.111-20-5. Zakonika o graditeljstvu i stanovanju.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Članak 2.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color w:val="000000"/>
          <w:sz w:val="24"/>
          <w:szCs w:val="24"/>
          <w:rFonts w:ascii="Times New Roman" w:hAnsi="Times New Roman"/>
        </w:rPr>
        <w:t xml:space="preserve">Ravnatelj Uprave za stanovanje, prostorno uređenje i planiranje i glavni ravnatelj Uprave za energetiku i klimu zaduženi su, svaki u svojem području, za provedbu ove Odluke koja će biti objavljena u Službenom listu Ministarstva ekološke i solidarne tranzicije.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Ministrica ekološke tranzicije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Za </w:t>
      </w:r>
      <w:r>
        <w:rPr>
          <w:color w:val="000000"/>
        </w:rPr>
        <w:t xml:space="preserve">ministricu</w:t>
      </w:r>
      <w:r>
        <w:t xml:space="preserve"> i na temelju ovlaštenja:</w:t>
      </w:r>
    </w:p>
    <w:p w:rsidR="00371CC6" w:rsidRPr="006C397D" w:rsidRDefault="00121B80">
      <w:pPr>
        <w:pStyle w:val="SNSignatureDroite"/>
        <w:jc w:val="left"/>
      </w:pPr>
      <w:r>
        <w:t xml:space="preserve">Ravnatelj Uprave za stanovanje, prostorno uređenje i planiranje,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 xml:space="preserve">Ministrica ekološke tranzicije,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Za ministricu i na temelju ovlaštenja: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Glavni ravnatelj </w:t>
      </w:r>
      <w:r>
        <w:rPr>
          <w:color w:val="000000"/>
        </w:rPr>
        <w:t xml:space="preserve">Uprave za energetiku i klimu</w:t>
      </w:r>
      <w:r>
        <w:t xml:space="preserve">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Ministar kojeg je ovlastila ministrica ekološke tranzicije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nadležan za stanovanje</w:t>
      </w:r>
    </w:p>
    <w:p w:rsidR="00121B80" w:rsidRPr="006C397D" w:rsidRDefault="00121B80">
      <w:pPr>
        <w:pStyle w:val="SNSignatureDroite"/>
        <w:jc w:val="left"/>
      </w:pPr>
      <w:r>
        <w:t xml:space="preserve">Za ministricu i na temelju ovlaštenja:</w:t>
      </w:r>
    </w:p>
    <w:p w:rsidR="00121B80" w:rsidRPr="006C397D" w:rsidRDefault="00121B80">
      <w:pPr>
        <w:pStyle w:val="SNSignatureDroite"/>
        <w:jc w:val="left"/>
      </w:pPr>
      <w:r>
        <w:t xml:space="preserve">Ravnatelj Uprave za stanovanje, prostorno uređenje i planiranje,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BE0C78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4875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Liu, Lei</cp:lastModifiedBy>
  <cp:revision>5</cp:revision>
  <cp:lastPrinted>1899-12-31T23:00:00Z</cp:lastPrinted>
  <dcterms:created xsi:type="dcterms:W3CDTF">2020-12-11T13:33:00Z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