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E35" w:rsidRPr="00A92569" w:rsidRDefault="00971E35" w:rsidP="00971E35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0791 F-- HU-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bookmarkEnd w:id="0"/>
          <w:p w:rsidR="00121B80" w:rsidRPr="006C397D" w:rsidRDefault="00121B80">
            <w:pPr>
              <w:pStyle w:val="SNREPUBLIQUE"/>
              <w:snapToGrid w:val="0"/>
            </w:pPr>
            <w:r>
              <w:t xml:space="preserve">FRANCIA KÖZTÁRSASÁG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</w:pPr>
            <w:r>
              <w:t xml:space="preserve">Az ökológiai átállásért felelős minisztérium</w:t>
            </w:r>
            <w:r>
              <w:t xml:space="preserve">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>
            <w:pPr>
              <w:pStyle w:val="SNTimbre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spacing w:before="0" w:after="160"/>
            </w:pPr>
            <w:r>
              <w:t xml:space="preserve">Lakhatás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>
      <w:pPr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...-i rendelet</w:t>
      </w:r>
    </w:p>
    <w:p w:rsidR="00121B80" w:rsidRPr="006C397D" w:rsidRDefault="00371CC6" w:rsidP="00D125B4">
      <w:pPr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az építési és lakásügyi törvénykönyv R. 111-20-5. cikkében meghatározott számítási módszer jóváhagyásáról</w:t>
      </w:r>
    </w:p>
    <w:p w:rsidR="00121B80" w:rsidRPr="006C397D" w:rsidRDefault="00121B80">
      <w:pPr>
        <w:pStyle w:val="SNNORCentr"/>
      </w:pPr>
      <w:r>
        <w:t xml:space="preserve">NOR:</w:t>
      </w:r>
      <w:r>
        <w:t xml:space="preserve"> </w:t>
      </w:r>
    </w:p>
    <w:p w:rsidR="00121B80" w:rsidRPr="006C397D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371CC6">
      <w:pPr>
        <w:jc w:val="both"/>
      </w:pPr>
      <w:r>
        <w:rPr>
          <w:i/>
          <w:iCs/>
          <w:sz w:val="24"/>
          <w:szCs w:val="24"/>
          <w:bCs/>
          <w:u w:val="single"/>
          <w:rFonts w:ascii="Times New Roman" w:hAnsi="Times New Roman"/>
        </w:rPr>
        <w:t xml:space="preserve">Az érintettek köre</w:t>
      </w:r>
      <w:r>
        <w:rPr>
          <w:i/>
          <w:iCs/>
          <w:sz w:val="24"/>
          <w:szCs w:val="24"/>
          <w:bCs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bCs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Franciaország anyaországi területén működő megrendelők, kivitelezők, építési vállalkozók és beruházók, építészek, hő- és környezettechnikai tervező irodák, műszaki ellenőrök, építőipari vállalkozások, építőanyagipari és épületgépészeti vállalkozások, energiaszolgáltatók.</w:t>
      </w:r>
    </w:p>
    <w:p w:rsidR="00121B80" w:rsidRPr="006C397D" w:rsidRDefault="00121B80">
      <w:pPr>
        <w:jc w:val="both"/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Tárgy</w:t>
      </w:r>
      <w:r>
        <w:rPr>
          <w:i/>
          <w:iCs/>
          <w:sz w:val="24"/>
          <w:szCs w:val="24"/>
          <w:rFonts w:ascii="Times New Roman" w:hAnsi="Times New Roman"/>
        </w:rPr>
        <w:t xml:space="preserve">: a lakó-, iroda-, illetve általános vagy középiskolai épületek építésekor az energiahatékonyság és a környezetvédelem tekintetében Franciaország anyaországi területén alkalmazandó követelményekről szóló </w:t>
      </w:r>
      <w:r>
        <w:rPr>
          <w:i/>
          <w:iCs/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i/>
          <w:iCs/>
          <w:sz w:val="24"/>
          <w:szCs w:val="24"/>
          <w:rFonts w:ascii="Times New Roman" w:hAnsi="Times New Roman"/>
        </w:rPr>
        <w:t xml:space="preserve">-i rendelet értelmében a Franciaország anyaországi területén építendő lakó-, iroda-, illetve általános vagy középiskolai épületek esetében az energiahatékonyság és a környezeti teljesítmény számítási módszerének rögzítése.</w:t>
      </w:r>
    </w:p>
    <w:p w:rsidR="00371CC6" w:rsidRPr="006C397D" w:rsidRDefault="00121B80">
      <w:p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Hatálybalépés</w:t>
      </w:r>
      <w:r>
        <w:rPr>
          <w:i/>
          <w:iCs/>
          <w:sz w:val="24"/>
          <w:szCs w:val="24"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E rendelet 2021. július 1-jétől alkalmazandó.</w:t>
      </w:r>
    </w:p>
    <w:p w:rsidR="00371CC6" w:rsidRPr="006C397D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6C397D">
      <w:pPr>
        <w:keepNext/>
        <w:spacing w:after="0" w:line="240" w:lineRule="auto"/>
        <w:jc w:val="both"/>
        <w:rPr>
          <w:i/>
          <w:iCs/>
          <w:sz w:val="24"/>
          <w:szCs w:val="24"/>
          <w:rFonts w:ascii="Times New Roman" w:hAnsi="Times New Roman" w:cs="Times New Roman"/>
        </w:rPr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Megjegyzés</w:t>
      </w:r>
      <w:r>
        <w:rPr>
          <w:i/>
          <w:iCs/>
          <w:sz w:val="24"/>
          <w:szCs w:val="24"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A rendelet három mellékletben rögzíti a Franciaország anyaországi területén építendő lakó-, iroda-, illetve általános vagy középiskolai épületek energiahatékonyságának és környezeti teljesítményének számítási módszerét: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I. melléklet: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Az energiahatékonyság és a környezeti teljesítmény kiszámítására vonatkozó általános szabályok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II. melléklet: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„Th-BCE 2020” számítási módszer, amely az építési és lakásügyi törvénykönyv L. 111-9-1-A. cikkében meghatározott számítási eszközhöz kapcsolódóan az energiahatékonyság kiszámítására vonatkozó szabályokat határozza meg részletesen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III. melléklet: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„Th-Bat 2020” szabályok, amelyek lehetővé teszik az épület energiahatékonyságának számításaihoz szükséges inputadatok meghatározását a jogszabályban előírt számítás elvégzéséhez</w:t>
      </w:r>
    </w:p>
    <w:p w:rsidR="00121B80" w:rsidRPr="006C397D" w:rsidRDefault="00121B80" w:rsidP="00371CC6">
      <w:pPr>
        <w:spacing w:after="0" w:line="240" w:lineRule="auto"/>
        <w:jc w:val="both"/>
      </w:pPr>
    </w:p>
    <w:p w:rsidR="00121B80" w:rsidRPr="006C397D" w:rsidRDefault="00121B80">
      <w:pPr>
        <w:jc w:val="both"/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Hivatkozások:</w:t>
      </w:r>
      <w:r>
        <w:rPr>
          <w:i/>
          <w:iCs/>
          <w:sz w:val="24"/>
          <w:szCs w:val="24"/>
          <w:rFonts w:ascii="Times New Roman" w:hAnsi="Times New Roman"/>
        </w:rPr>
        <w:t xml:space="preserve"> az e rendelettel </w:t>
      </w:r>
      <w:r>
        <w:rPr>
          <w:i/>
          <w:iCs/>
          <w:sz w:val="24"/>
          <w:szCs w:val="24"/>
          <w:highlight w:val="yellow"/>
          <w:rFonts w:ascii="Times New Roman" w:hAnsi="Times New Roman"/>
        </w:rPr>
        <w:t xml:space="preserve">módosított</w:t>
      </w:r>
      <w:r>
        <w:rPr>
          <w:i/>
          <w:iCs/>
          <w:sz w:val="24"/>
          <w:szCs w:val="24"/>
          <w:rFonts w:ascii="Times New Roman" w:hAnsi="Times New Roman"/>
        </w:rPr>
        <w:t xml:space="preserve"> jogszabály – a módosítás szerinti változatában – megtekinthető a Légifrance weboldalon (</w:t>
      </w:r>
      <w:hyperlink r:id="rId7" w:history="1">
        <w:r>
          <w:rPr>
            <w:rStyle w:val="Hyperlink"/>
            <w:i/>
            <w:iCs/>
            <w:sz w:val="24"/>
            <w:szCs w:val="24"/>
            <w:rFonts w:ascii="Times New Roman" w:hAnsi="Times New Roman"/>
          </w:rPr>
          <w:t xml:space="preserve">www.legifrance.gouv.fr</w:t>
        </w:r>
      </w:hyperlink>
      <w:r>
        <w:rPr>
          <w:i/>
          <w:iCs/>
          <w:sz w:val="24"/>
          <w:szCs w:val="24"/>
          <w:rFonts w:ascii="Times New Roman" w:hAnsi="Times New Roman"/>
        </w:rPr>
        <w:t xml:space="preserve">).</w:t>
      </w:r>
    </w:p>
    <w:p w:rsidR="00121B80" w:rsidRPr="006C397D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t xml:space="preserve">Az ökológiai átállásért felelős miniszter és az ökológiai átállásért felelős miniszter mellé rendelt lakásügyi miniszter,</w:t>
      </w:r>
    </w:p>
    <w:p w:rsidR="000A64C4" w:rsidRPr="006C397D" w:rsidRDefault="00972FD1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a műszaki szabályokkal és az információs társadalom szolgáltatásaira vonatkozó szabályokkal kapcsolatos információszolgáltatási eljárás megállapításáról szóló, 2015. szeptember 9-i (EU) 2015/1535 európai parlamenti és tanácsi irányelvre (egységes szerkezetbe foglalt szöveg), és különösen a(z) </w:t>
      </w:r>
      <w:r>
        <w:rPr>
          <w:sz w:val="24"/>
          <w:szCs w:val="24"/>
          <w:highlight w:val="yellow"/>
          <w:rFonts w:ascii="Times New Roman" w:hAnsi="Times New Roman"/>
        </w:rPr>
        <w:t xml:space="preserve">év/XXX/F</w:t>
      </w:r>
      <w:r>
        <w:rPr>
          <w:sz w:val="24"/>
          <w:szCs w:val="24"/>
          <w:rFonts w:ascii="Times New Roman" w:hAnsi="Times New Roman"/>
        </w:rPr>
        <w:t xml:space="preserve"> sz. értesítésre,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az épületek energiahatékonyságáról szóló, a 2018. május 30-i (EU) 2018/844 európai parlamenti és tanácsi irányelvvel módosított, 2010. május 19-i 2010/31/EU európai parlamenti és tanácsi irányelvre, különösen annak 3., 4. és 6. cikkére,</w:t>
      </w:r>
    </w:p>
    <w:p w:rsidR="00837B47" w:rsidRPr="006C397D" w:rsidRDefault="00837B47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az építési és lakásügyi törvénykönyvre, különösen annak R. 111-20-5. cikkére,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a lakó-, iroda-, illetve általános vagy középiskolai épületek építésekor az energiahatékonyság és a környezetvédelem tekintetében Franciaország anyaországi területén alkalmazandó követelményekről szóló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rendeletre,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a környezetvédelmi törvénykönyv L. 120-1. cikke alapján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 és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 között megtartott nyilvános konzultáció során megfogalmazott észrevételekre,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a </w:t>
      </w:r>
      <w:r>
        <w:rPr>
          <w:sz w:val="24"/>
          <w:szCs w:val="24"/>
          <w:highlight w:val="yellow"/>
          <w:rFonts w:ascii="Times New Roman" w:hAnsi="Times New Roman"/>
        </w:rPr>
        <w:t xml:space="preserve">nemzeti szabványértékelő bizottság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véleményére,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a </w:t>
      </w:r>
      <w:r>
        <w:rPr>
          <w:sz w:val="24"/>
          <w:szCs w:val="24"/>
          <w:highlight w:val="yellow"/>
          <w:rFonts w:ascii="Times New Roman" w:hAnsi="Times New Roman"/>
        </w:rPr>
        <w:t xml:space="preserve">legfelsőbb energiaügyi tanács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véleményére,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a legfelsőbb építésügyi és energiahatékonysági tanács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véleményére,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Guyane döntéshozó testületének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felkérő levelére,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Martinique döntéshozó testületének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felkérő levelére,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Guadeloupe megyei tanácsának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felkérő levelére,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La Réunion megyei tanácsának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felkérő levelére,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Guadeloupe regionális tanácsának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felkérő levelére,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La Réunion regionális tanácsának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felkérő levelére,</w:t>
      </w:r>
    </w:p>
    <w:p w:rsidR="00121B80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tekintettel Mayotte megyei tanácsának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-i felkérő levelére,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sz w:val="24"/>
          <w:szCs w:val="24"/>
          <w:rFonts w:ascii="Times New Roman" w:hAnsi="Times New Roman"/>
        </w:rPr>
        <w:t xml:space="preserve">a következőket rendeli el:</w:t>
      </w:r>
    </w:p>
    <w:p w:rsidR="00121B80" w:rsidRPr="006C397D" w:rsidRDefault="00121B80" w:rsidP="006C397D">
      <w:pPr>
        <w:keepNext/>
        <w:widowControl w:val="0"/>
        <w:spacing w:after="0" w:line="240" w:lineRule="auto"/>
      </w:pPr>
      <w:r>
        <w:rPr>
          <w:sz w:val="24"/>
          <w:szCs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>
        <w:rPr>
          <w:sz w:val="24"/>
          <w:szCs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 cikk</w:t>
      </w:r>
    </w:p>
    <w:p w:rsidR="00121B80" w:rsidRPr="006C397D" w:rsidRDefault="00371CC6">
      <w:pPr>
        <w:widowControl w:val="0"/>
        <w:spacing w:after="0" w:line="240" w:lineRule="auto"/>
        <w:rPr>
          <w:bCs/>
          <w:sz w:val="24"/>
          <w:szCs w:val="24"/>
          <w:rFonts w:ascii="Times New Roman" w:hAnsi="Times New Roman" w:cs="Times New Roman"/>
        </w:rPr>
      </w:pPr>
      <w:r>
        <w:rPr>
          <w:bCs/>
          <w:sz w:val="24"/>
          <w:szCs w:val="24"/>
          <w:rFonts w:ascii="Times New Roman" w:hAnsi="Times New Roman"/>
        </w:rPr>
        <w:t xml:space="preserve">Az építési és lakásügyi törvénykönyv R.111-20-5. cikkében előírt, e rendelet mellékletében szereplő számítási módszer jóváhagyásra került.</w:t>
      </w:r>
    </w:p>
    <w:p w:rsidR="001776C9" w:rsidRPr="006C397D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2. cikk</w:t>
      </w: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6C397D">
      <w:pPr>
        <w:widowControl w:val="0"/>
        <w:spacing w:after="0" w:line="240" w:lineRule="auto"/>
        <w:jc w:val="both"/>
      </w:pPr>
      <w:r>
        <w:rPr>
          <w:color w:val="000000"/>
          <w:sz w:val="24"/>
          <w:szCs w:val="24"/>
          <w:rFonts w:ascii="Times New Roman" w:hAnsi="Times New Roman"/>
        </w:rPr>
        <w:t xml:space="preserve">Ezt a rendeletet az ökológiai átállásért és szolidaritásért felelős minisztérium Hivatalos Lapjában teszik közzé, végrehajtásáért – saját hatáskörén belül − a lakásügyekért, város- és vidékfejlesztésért felelős igazgató, valamint az energiaügyi és éghajlati kérdésekért felelős főigazgató felel.</w:t>
      </w:r>
    </w:p>
    <w:p w:rsidR="00121B80" w:rsidRPr="006C397D" w:rsidRDefault="00121B80">
      <w:pPr>
        <w:widowControl w:val="0"/>
        <w:spacing w:after="0" w:line="240" w:lineRule="auto"/>
        <w:jc w:val="both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Droite"/>
        <w:jc w:val="left"/>
      </w:pPr>
      <w:r>
        <w:t xml:space="preserve">Az ökológiai átállásért felelős miniszter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A miniszter nevében és megbízásából:</w:t>
      </w:r>
    </w:p>
    <w:p w:rsidR="00371CC6" w:rsidRPr="006C397D" w:rsidRDefault="00121B80">
      <w:pPr>
        <w:pStyle w:val="SNSignatureDroite"/>
        <w:jc w:val="left"/>
      </w:pPr>
      <w:r>
        <w:t xml:space="preserve">A lakásügyekért, város- és vidékfejlesztésért felelős igazgató,</w:t>
      </w: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  <w:jc w:val="right"/>
      </w:pPr>
      <w:r>
        <w:t xml:space="preserve">Az ökológiai átállásért felelős miniszter,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A miniszter nevében és megbízásából: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Az energiaügyi és éghajlati kérdésekért felelős főigazgató,</w:t>
      </w: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Droite"/>
        <w:jc w:val="left"/>
      </w:pPr>
      <w:r>
        <w:t xml:space="preserve">Az ökológiai átállásért felelős miniszter mellé rendelt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lakásügyi miniszter</w:t>
      </w:r>
    </w:p>
    <w:p w:rsidR="00121B80" w:rsidRPr="006C397D" w:rsidRDefault="00121B80">
      <w:pPr>
        <w:pStyle w:val="SNSignatureDroite"/>
        <w:jc w:val="left"/>
      </w:pPr>
      <w:r>
        <w:t xml:space="preserve">A miniszter nevében és megbízásából:</w:t>
      </w:r>
    </w:p>
    <w:p w:rsidR="00121B80" w:rsidRPr="006C397D" w:rsidRDefault="00121B80">
      <w:pPr>
        <w:pStyle w:val="SNSignatureDroite"/>
        <w:jc w:val="left"/>
      </w:pPr>
      <w:r>
        <w:t xml:space="preserve">A lakásügyekért, város- és vidékfejlesztésért felelős igazgató,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A1" w:rsidRDefault="00D269A1" w:rsidP="0079276F">
      <w:pPr>
        <w:spacing w:after="0" w:line="240" w:lineRule="auto"/>
      </w:pPr>
      <w:r>
        <w:separator/>
      </w:r>
    </w:p>
  </w:endnote>
  <w:end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A1" w:rsidRDefault="00D269A1" w:rsidP="0079276F">
      <w:pPr>
        <w:spacing w:after="0" w:line="240" w:lineRule="auto"/>
      </w:pPr>
      <w:r>
        <w:separator/>
      </w:r>
    </w:p>
  </w:footnote>
  <w:foot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dirty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305DB"/>
    <w:rsid w:val="00371CC6"/>
    <w:rsid w:val="0049409A"/>
    <w:rsid w:val="006C397D"/>
    <w:rsid w:val="0078501D"/>
    <w:rsid w:val="0079276F"/>
    <w:rsid w:val="00837B47"/>
    <w:rsid w:val="00890FE9"/>
    <w:rsid w:val="008F5F95"/>
    <w:rsid w:val="00971E35"/>
    <w:rsid w:val="00972FD1"/>
    <w:rsid w:val="00A73D1D"/>
    <w:rsid w:val="00A92569"/>
    <w:rsid w:val="00AA1C12"/>
    <w:rsid w:val="00D125B4"/>
    <w:rsid w:val="00D269A1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BE0C78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4875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Liu, Lei</cp:lastModifiedBy>
  <cp:revision>5</cp:revision>
  <cp:lastPrinted>1899-12-31T23:00:00Z</cp:lastPrinted>
  <dcterms:created xsi:type="dcterms:W3CDTF">2020-12-11T13:33:00Z</dcterms:created>
  <dcterms:modified xsi:type="dcterms:W3CDTF">2020-12-14T13:00:00Z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