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D7B" w14:textId="77777777" w:rsidR="001E2566" w:rsidRPr="001E2566" w:rsidRDefault="001E2566" w:rsidP="001E256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Nariadenie zo 4. augusta 2021 o požiadavkách na energetickú hospodárnosť a environmentálne vlastnosti budov v kontinentálnom Francúzsku, ktorým sa schvaľuje metóda výpočtu uvedená v článku R. 172-6 stavebného a bytového zákona</w:t>
      </w:r>
    </w:p>
    <w:p w14:paraId="6B6A81B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Hlava I: VŠEOBECNÉ USTANOVENIA (články 1 až 7)</w:t>
      </w:r>
    </w:p>
    <w:p w14:paraId="6FFF2A3F"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Hlava II: ŠPECIFIKÁCIE POŽIADAVIEK NA ENERGETICKÚ HOSPODÁRNOSŤ A ENVIROMENTÁLNE VLASTNOSTI (články 8 až 18)</w:t>
      </w:r>
    </w:p>
    <w:p w14:paraId="2B04B68A"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Hlava III: TEPELNÉ CHARAKTERISTIKY A POŽIADAVKY NA PROSTRIEDKY (JEDNOTLIVÉ KOMPONENTY) (články 19 až 40)</w:t>
      </w:r>
    </w:p>
    <w:p w14:paraId="6EDB8527"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Hlava IV: NÁVRH ZJEDNODUŠENÝCH METÓD UPLATŇOVANIA V SAMOSTATNÝCH DOMOCH (články 41 až 42)</w:t>
      </w:r>
    </w:p>
    <w:p w14:paraId="76900BC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Hlava V: OSOBITNÉ PRÍPADY (články 43 až 44)</w:t>
      </w:r>
    </w:p>
    <w:p w14:paraId="0F208645"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Hlava VI: RÔZNE USTANOVENIA (články 45 až 52)</w:t>
      </w:r>
    </w:p>
    <w:p w14:paraId="6DCBC8B9" w14:textId="77777777" w:rsidR="001E2566" w:rsidRPr="001E2566" w:rsidRDefault="001E2566" w:rsidP="001E256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Príloha</w:t>
      </w:r>
    </w:p>
    <w:p w14:paraId="3DE0623C" w14:textId="21B5ADAB"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Dotknutá verejnosť: zadávatelia, zhotovitelia, stavitelia a investori, architekti, projekčné kancelárie v oblasti vykurovania a životného prostredia, ekonómovia budov, technickí kontrolóri, stavebné spoločnosti, výrobcovia stavebných materiálov a technických systémov budov, dodávatelia energie v kontinentálnom Francúzsku, softvéroví editori. </w:t>
      </w:r>
      <w:r>
        <w:rPr>
          <w:rFonts w:ascii="Times New Roman" w:hAnsi="Times New Roman"/>
          <w:sz w:val="24"/>
        </w:rPr>
        <w:br/>
        <w:t xml:space="preserve">Predmet: stanovenie požiadaviek na energetickú hospodárnosť a environmentálne vlastnosti nových budov a rozšírenia budov v kontinentálnom Francúzsku; podrobnosti o stanovení ich energetickej hospodárnosti a environmentálnych vlastností; stanovenie metódy výpočtu energetickej hospodárnosti a environmentálnych vlastností. </w:t>
      </w:r>
      <w:r>
        <w:rPr>
          <w:rFonts w:ascii="Times New Roman" w:hAnsi="Times New Roman"/>
          <w:sz w:val="24"/>
        </w:rPr>
        <w:br/>
        <w:t xml:space="preserve">Nadobudnutie účinnosti: tieto požiadavky, ako aj metóda výpočtu sa uplatňujú od 1. januára 2022 na výstavbu budov alebo častí budov na obytné účely a od 1. júla 2022 na výstavbu budov alebo častí budov na kancelárske účely alebo na vzdelávacie priestory základných a stredných škôl. Uplatňujú sa aj na dočasné stavby a rozšírenia v závislosti od ich rozlohy, ktoré sa budú používať na rovnaké účely od 1. januára 2023. Tieto požiadavky sa vzťahujú aj na stavby, ktoré nevyžadujú stavebné povolenie alebo predchádzajúce ohlásenie. </w:t>
      </w:r>
      <w:r>
        <w:rPr>
          <w:rFonts w:ascii="Times New Roman" w:hAnsi="Times New Roman"/>
          <w:sz w:val="24"/>
        </w:rPr>
        <w:br/>
        <w:t xml:space="preserve">Oznámenie: v tomto nariadení sa stanovujú požiadavky na zdroje (alebo jednotlivé komponenty), ktoré musia spĺňať vyššie uvedené budovy nachádzajúce sa v kontinentálnom Francúzsku. Špecifikuje sa v ňom, ako stanoviť nasledujúcich päť (alebo celkovo všetkých) požiadaviek na výsledok: (1) optimalizácia energetického návrhu budovy nezávisle od implementovaných energetických systémov; (2) obmedzenie spotreby primárnej energie, (3) obmedzenie vplyvu na zmenu klímy spojeného s touto spotrebou; (4) obmedzenie vplyvu komponentov budov na zmenu klímy; (5) obmedzenie situácií nepohodlia v budove počas leta. Napokon: v nariadení sa stanovuje metóda výpočtu energetickej hospodárnosti a environmentálnych vlastností stavieb obytných budov, kancelárskych budov alebo budov základného alebo stredoškolského vzdelávania v kontinentálnom Francúzsku prostredníctvom troch príloh: </w:t>
      </w:r>
      <w:r>
        <w:rPr>
          <w:rFonts w:ascii="Times New Roman" w:hAnsi="Times New Roman"/>
          <w:sz w:val="24"/>
        </w:rPr>
        <w:br/>
      </w:r>
      <w:r w:rsidR="00B577D5">
        <w:rPr>
          <w:rFonts w:ascii="Times New Roman" w:hAnsi="Times New Roman"/>
          <w:sz w:val="24"/>
        </w:rPr>
        <w:t xml:space="preserve">- PRÍLOHA </w:t>
      </w:r>
      <w:r>
        <w:rPr>
          <w:rFonts w:ascii="Times New Roman" w:hAnsi="Times New Roman"/>
          <w:sz w:val="24"/>
        </w:rPr>
        <w:t xml:space="preserve">II: Všeobecné pravidlá výpočtu energetickej hospodárnosti a environmentálnych vlastností; </w:t>
      </w:r>
      <w:r>
        <w:rPr>
          <w:rFonts w:ascii="Times New Roman" w:hAnsi="Times New Roman"/>
          <w:sz w:val="24"/>
        </w:rPr>
        <w:br/>
      </w:r>
      <w:r w:rsidR="00B577D5">
        <w:rPr>
          <w:rFonts w:ascii="Times New Roman" w:hAnsi="Times New Roman"/>
          <w:sz w:val="24"/>
        </w:rPr>
        <w:t xml:space="preserve">- PRÍLOHA </w:t>
      </w:r>
      <w:r>
        <w:rPr>
          <w:rFonts w:ascii="Times New Roman" w:hAnsi="Times New Roman"/>
          <w:sz w:val="24"/>
        </w:rPr>
        <w:t xml:space="preserve">III: Metóda výpočtu „Th-ECB 2020“, v ktorej sa podrobne uvádzajú pravidlá výpočtu energetickej hospodárnosti; </w:t>
      </w:r>
      <w:r>
        <w:rPr>
          <w:rFonts w:ascii="Times New Roman" w:hAnsi="Times New Roman"/>
          <w:sz w:val="24"/>
        </w:rPr>
        <w:br/>
      </w:r>
      <w:r w:rsidR="00B577D5">
        <w:rPr>
          <w:rFonts w:ascii="Times New Roman" w:hAnsi="Times New Roman"/>
          <w:sz w:val="24"/>
        </w:rPr>
        <w:t xml:space="preserve">- PRÍLOHA </w:t>
      </w:r>
      <w:r>
        <w:rPr>
          <w:rFonts w:ascii="Times New Roman" w:hAnsi="Times New Roman"/>
          <w:sz w:val="24"/>
        </w:rPr>
        <w:t xml:space="preserve">IV: Pravidlá „Th-Bat 2020“ umožňujúce stanoviť vstupné údaje pre výpočty </w:t>
      </w:r>
      <w:r>
        <w:rPr>
          <w:rFonts w:ascii="Times New Roman" w:hAnsi="Times New Roman"/>
          <w:sz w:val="24"/>
        </w:rPr>
        <w:lastRenderedPageBreak/>
        <w:t xml:space="preserve">energetickej hospodárnosti. </w:t>
      </w:r>
      <w:r>
        <w:rPr>
          <w:rFonts w:ascii="Times New Roman" w:hAnsi="Times New Roman"/>
          <w:sz w:val="24"/>
        </w:rPr>
        <w:br/>
        <w:t xml:space="preserve">Odkazy: text zmenený týmto nariadením je v znení, ktoré vyplýva z tejto zmeny, dostupný na webovom sídle Légifrance (www.legifrance.gouv.fr). </w:t>
      </w:r>
    </w:p>
    <w:p w14:paraId="642569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Ministerka pre ekologickú transformáciu a ministerka pri ministerke pre ekologickú transformáciu, zodpovedná za bývanie,</w:t>
      </w:r>
      <w:r>
        <w:rPr>
          <w:rFonts w:ascii="Times New Roman" w:hAnsi="Times New Roman"/>
          <w:sz w:val="24"/>
        </w:rPr>
        <w:br/>
        <w:t>so zreteľom na smernicu Európskeho parlamentu a Rady 2010/31/EÚ z 19. mája 2010 o energetickej hospodárnosti budov v znení smernice Európskeho parlamentu a Rady 2018/844 z 30. mája 2018, najmä na jej článok 3;</w:t>
      </w:r>
      <w:r>
        <w:rPr>
          <w:rFonts w:ascii="Times New Roman" w:hAnsi="Times New Roman"/>
          <w:sz w:val="24"/>
        </w:rPr>
        <w:br/>
        <w:t>so zreteľom na smernicu Európskeho parlamentu a Rady (EÚ) 2015/1535 z 9. septembra 2015, ktorou sa stanovuje postup pri poskytovaní informácií v oblasti technických predpisov a pravidiel vzťahujúcich sa na služby informačnej spoločnosti (kodifikované znenie);</w:t>
      </w:r>
      <w:r>
        <w:rPr>
          <w:rFonts w:ascii="Times New Roman" w:hAnsi="Times New Roman"/>
          <w:sz w:val="24"/>
        </w:rPr>
        <w:br/>
        <w:t>so zreteľom na stavebný a bytový zákon, najmä na jeho články L. 181-1, R. 172-1 až R. 172-9 a R. 126-16;</w:t>
      </w:r>
      <w:r>
        <w:rPr>
          <w:rFonts w:ascii="Times New Roman" w:hAnsi="Times New Roman"/>
          <w:sz w:val="24"/>
        </w:rPr>
        <w:br/>
        <w:t>so zreteľom na zákonník o energetike, najmä na jeho články R. 241-26 a R. 241-30;</w:t>
      </w:r>
      <w:r>
        <w:rPr>
          <w:rFonts w:ascii="Times New Roman" w:hAnsi="Times New Roman"/>
          <w:sz w:val="24"/>
        </w:rPr>
        <w:br/>
        <w:t>so zreteľom na zákonník o územnom plánovaní, najmä na jeho články L. 151-19, R*. 421-2 a R*. 421-5;</w:t>
      </w:r>
      <w:r>
        <w:rPr>
          <w:rFonts w:ascii="Times New Roman" w:hAnsi="Times New Roman"/>
          <w:sz w:val="24"/>
        </w:rPr>
        <w:br/>
        <w:t>so zreteľom na nariadenie z 3. mája 2007 o tepelných vlastnostiach a energetickej hospodárnosti existujúcich budov, v ktorom sú uvedené všetky dotknuté práce a ktorým sa stanovujú súvisiace požiadavky, zmenené nariadením z 22. marca 2017;</w:t>
      </w:r>
      <w:r>
        <w:rPr>
          <w:rFonts w:ascii="Times New Roman" w:hAnsi="Times New Roman"/>
          <w:sz w:val="24"/>
        </w:rPr>
        <w:br/>
        <w:t>so zreteľom na nariadenie z 13. júna 2008 o energetickej hospodárnosti existujúcich budov s rozlohou presahujúcou 1 000 m², keď prechádzajú významnou obnovou;</w:t>
      </w:r>
      <w:r>
        <w:rPr>
          <w:rFonts w:ascii="Times New Roman" w:hAnsi="Times New Roman"/>
          <w:sz w:val="24"/>
        </w:rPr>
        <w:br/>
        <w:t>so zreteľom na nariadenie z 26. októbra 2010 o tepelných vlastnostiach a požiadavkách na energetickú hospodárnosť nových budov a nových častí budov;</w:t>
      </w:r>
      <w:r>
        <w:rPr>
          <w:rFonts w:ascii="Times New Roman" w:hAnsi="Times New Roman"/>
          <w:sz w:val="24"/>
        </w:rPr>
        <w:br/>
        <w:t>so zreteľom na nariadenie z 28. decembra 2012 o tepelných vlastnostiach a požiadavkách na energetickú hospodárnosť nových budov a nových častí budov okrem tých, na ktoré sa vzťahuje článok 2 vyhlášky z 26. októbra 2010 o tepelných vlastnostiach a energetickej hospodárnosti budov;</w:t>
      </w:r>
      <w:r>
        <w:rPr>
          <w:rFonts w:ascii="Times New Roman" w:hAnsi="Times New Roman"/>
          <w:sz w:val="24"/>
        </w:rPr>
        <w:br/>
        <w:t>so zreteľom na stanovisko Najvyššej rady pre energetiku z 25. marca 2021;</w:t>
      </w:r>
      <w:r>
        <w:rPr>
          <w:rFonts w:ascii="Times New Roman" w:hAnsi="Times New Roman"/>
          <w:sz w:val="24"/>
        </w:rPr>
        <w:br/>
        <w:t>so zreteľom na stanovisko Najvyššej rady pre stavebníctvo a energetickú účinnosť z 13. apríla 2021;</w:t>
      </w:r>
      <w:r>
        <w:rPr>
          <w:rFonts w:ascii="Times New Roman" w:hAnsi="Times New Roman"/>
          <w:sz w:val="24"/>
        </w:rPr>
        <w:br/>
        <w:t>so zreteľom na stanoviská Národnej rady pre hodnotenie noriem z 1. apríla a 6. mája 2021;</w:t>
      </w:r>
      <w:r>
        <w:rPr>
          <w:rFonts w:ascii="Times New Roman" w:hAnsi="Times New Roman"/>
          <w:sz w:val="24"/>
        </w:rPr>
        <w:br/>
        <w:t>so zreteľom na oznámenia č. 2020/791/F a č. 2020/792/F zaslané Európskej komisii 14. decembra 2020 a na odpoveď Komisie z 15. júna 2021;</w:t>
      </w:r>
      <w:r>
        <w:rPr>
          <w:rFonts w:ascii="Times New Roman" w:hAnsi="Times New Roman"/>
          <w:sz w:val="24"/>
        </w:rPr>
        <w:br/>
        <w:t>so zreteľom na pripomienky vyjadrené počas verejnej konzultácie, ktorá prebiehala od 23. marca 2021 do 13. apríla 2021 pri uplatňovaní článku L. 123-19-1 zákonníka o životnom prostredí,</w:t>
      </w:r>
      <w:r>
        <w:rPr>
          <w:rFonts w:ascii="Times New Roman" w:hAnsi="Times New Roman"/>
          <w:sz w:val="24"/>
        </w:rPr>
        <w:br/>
        <w:t>nariaďujú:</w:t>
      </w:r>
    </w:p>
    <w:p w14:paraId="0A4ED9D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Hlava I: VŠEOBECNÉ USTANOVENIA (články 1 až 7)</w:t>
      </w:r>
    </w:p>
    <w:p w14:paraId="0E0870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Kapitola I: ROZSAH PÔSOBNOSTI (články 1 až 2)</w:t>
      </w:r>
    </w:p>
    <w:p w14:paraId="74D6F5E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1</w:t>
      </w:r>
    </w:p>
    <w:p w14:paraId="75A3CDE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Ustanovenia tohto nariadenia sa vzťahujú na výstavbu budov a častí budov na obytné účely, kancelárske účely alebo na vzdelávacie priestory základných a </w:t>
      </w:r>
      <w:r>
        <w:rPr>
          <w:rFonts w:ascii="Times New Roman" w:hAnsi="Times New Roman"/>
          <w:sz w:val="24"/>
        </w:rPr>
        <w:lastRenderedPageBreak/>
        <w:t>stredných škôl podľa článku R. 172-1 stavebného a bytového zákona, ako aj na výstavbu parkovísk spojených s týmito stavbami.</w:t>
      </w:r>
      <w:r>
        <w:rPr>
          <w:rFonts w:ascii="Times New Roman" w:hAnsi="Times New Roman"/>
          <w:sz w:val="24"/>
        </w:rPr>
        <w:br/>
        <w:t>Nevzťahujú sa na budovy nachádzajúce sa na Guadeloupe, v Guyane, na Martiniku, ostrove Réunion a Mayotte.</w:t>
      </w:r>
    </w:p>
    <w:p w14:paraId="281FA31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2</w:t>
      </w:r>
    </w:p>
    <w:p w14:paraId="60C0606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Časť budovy môže byť prispôsobená hlavnému využitiu budovy s uplatnením súvisiacich požiadaviek, ak sú splnené tieto kumulatívne podmienky:</w:t>
      </w:r>
    </w:p>
    <w:p w14:paraId="4F4022D8" w14:textId="4548128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20E30">
        <w:rPr>
          <w:rFonts w:ascii="Times New Roman" w:hAnsi="Times New Roman"/>
          <w:sz w:val="24"/>
        </w:rPr>
        <w:t>-</w:t>
      </w:r>
      <w:r>
        <w:rPr>
          <w:rFonts w:ascii="Times New Roman" w:hAnsi="Times New Roman"/>
          <w:sz w:val="24"/>
        </w:rPr>
        <w:t xml:space="preserve"> referenčná plocha príslušnej časti budovy je menšia ako 150 m² a menej ako 10 % referenčnej plochy hlavného využitia budovy;</w:t>
      </w:r>
      <w:r>
        <w:rPr>
          <w:rFonts w:ascii="Times New Roman" w:hAnsi="Times New Roman"/>
          <w:sz w:val="24"/>
        </w:rPr>
        <w:br/>
      </w:r>
      <w:r w:rsidR="00620E30">
        <w:rPr>
          <w:rFonts w:ascii="Times New Roman" w:hAnsi="Times New Roman"/>
          <w:sz w:val="24"/>
        </w:rPr>
        <w:t>-</w:t>
      </w:r>
      <w:r>
        <w:rPr>
          <w:rFonts w:ascii="Times New Roman" w:hAnsi="Times New Roman"/>
          <w:sz w:val="24"/>
        </w:rPr>
        <w:t xml:space="preserve"> časť budovy zodpovedajúca hlavnému využitiu podlieha tomuto nariadeniu alebo vyššie uvedenému nariadeniu z 26. októbra 2010 alebo vyššie uvedenému nariadeniu z 28. decembra 2012.</w:t>
      </w:r>
    </w:p>
    <w:p w14:paraId="6A858BD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Časť budovy, ktorá sa používa ako samostatný dom, nie je možné prispôsobiť inému použitiu.</w:t>
      </w:r>
      <w:r>
        <w:rPr>
          <w:rFonts w:ascii="Times New Roman" w:hAnsi="Times New Roman"/>
          <w:sz w:val="24"/>
        </w:rPr>
        <w:br/>
        <w:t>Referenčná plocha budovy označená ako Sref je vymedzená v kapitole I hlavy X prílohy k článku R. 172-4 stavebného a bytového zákona. Pokiaľ nie je uvedené inak, táto plocha sa používa v celom tomto nariadení.</w:t>
      </w:r>
    </w:p>
    <w:p w14:paraId="20537D7F"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Kapitola II: DOČASNÉ POSTUPY UPLATŇOVANIA (článok 3)</w:t>
      </w:r>
    </w:p>
    <w:p w14:paraId="3E022D4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3</w:t>
      </w:r>
    </w:p>
    <w:p w14:paraId="7490DDB4" w14:textId="56DEF9E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036C09">
        <w:rPr>
          <w:rFonts w:ascii="Times New Roman" w:hAnsi="Times New Roman"/>
          <w:sz w:val="24"/>
        </w:rPr>
        <w:t>-</w:t>
      </w:r>
      <w:r>
        <w:rPr>
          <w:rFonts w:ascii="Times New Roman" w:hAnsi="Times New Roman"/>
          <w:sz w:val="24"/>
        </w:rPr>
        <w:t xml:space="preserve"> V súlade s ods. II článku R. 172-1 stavebného a bytového zákona sa ustanovenia tohto nariadenia uplatňujú až od 1. januára 2023 na ľahké rekreačné obydlia v zmysle článku R.* 421-2 zákonníka o územnom plánovaní a na dočasné stavby v zmysle článku R.* 421-5 toho istého zákonníka.</w:t>
      </w:r>
      <w:r>
        <w:rPr>
          <w:rFonts w:ascii="Times New Roman" w:hAnsi="Times New Roman"/>
          <w:sz w:val="24"/>
        </w:rPr>
        <w:br/>
        <w:t xml:space="preserve">II. </w:t>
      </w:r>
      <w:r w:rsidR="00036C09">
        <w:rPr>
          <w:rFonts w:ascii="Times New Roman" w:hAnsi="Times New Roman"/>
          <w:sz w:val="24"/>
        </w:rPr>
        <w:t>-</w:t>
      </w:r>
      <w:r>
        <w:rPr>
          <w:rFonts w:ascii="Times New Roman" w:hAnsi="Times New Roman"/>
          <w:sz w:val="24"/>
        </w:rPr>
        <w:t xml:space="preserve"> V súlade s článkom R. 172-3 stavebného a bytového zákona sa ustanovenia tohto nariadenia uplatňujú až od 1. januára 2023 na:</w:t>
      </w:r>
    </w:p>
    <w:p w14:paraId="74963075" w14:textId="07C33E3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036C09">
        <w:rPr>
          <w:rFonts w:ascii="Times New Roman" w:hAnsi="Times New Roman"/>
          <w:sz w:val="24"/>
        </w:rPr>
        <w:t>-</w:t>
      </w:r>
      <w:r>
        <w:rPr>
          <w:rFonts w:ascii="Times New Roman" w:hAnsi="Times New Roman"/>
          <w:sz w:val="24"/>
        </w:rPr>
        <w:t xml:space="preserve"> budovy a prístavby budov s referenčnou plochou menšou ako 50 m²;</w:t>
      </w:r>
      <w:r>
        <w:rPr>
          <w:rFonts w:ascii="Times New Roman" w:hAnsi="Times New Roman"/>
          <w:sz w:val="24"/>
        </w:rPr>
        <w:br/>
      </w:r>
      <w:r w:rsidR="00036C09">
        <w:rPr>
          <w:rFonts w:ascii="Times New Roman" w:hAnsi="Times New Roman"/>
          <w:sz w:val="24"/>
        </w:rPr>
        <w:t>-</w:t>
      </w:r>
      <w:r>
        <w:rPr>
          <w:rFonts w:ascii="Times New Roman" w:hAnsi="Times New Roman"/>
          <w:sz w:val="24"/>
        </w:rPr>
        <w:t xml:space="preserve"> rozšírenia samostatných alebo spojených domov s referenčnou plochou striktne od 50 m² do 100 m²;</w:t>
      </w:r>
      <w:r>
        <w:rPr>
          <w:rFonts w:ascii="Times New Roman" w:hAnsi="Times New Roman"/>
          <w:sz w:val="24"/>
        </w:rPr>
        <w:br/>
      </w:r>
      <w:r w:rsidR="00036C09">
        <w:rPr>
          <w:rFonts w:ascii="Times New Roman" w:hAnsi="Times New Roman"/>
          <w:sz w:val="24"/>
        </w:rPr>
        <w:t>-</w:t>
      </w:r>
      <w:r>
        <w:rPr>
          <w:rFonts w:ascii="Times New Roman" w:hAnsi="Times New Roman"/>
          <w:sz w:val="24"/>
        </w:rPr>
        <w:t xml:space="preserve"> rozšírenia na iné účely ako samostatné domy s referenčnou plochou menšou ako 150 m² a menej ako 30 % referenčnej plochy existujúcich priestorov.</w:t>
      </w:r>
    </w:p>
    <w:p w14:paraId="40CDF24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Na tieto budovy sa do 31. decembra 2022 uplatňujú len ustanovenia vyššie uvedeného nariadenia z 26. októbra 2010.</w:t>
      </w:r>
    </w:p>
    <w:p w14:paraId="37D3D4A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Kapitola III: VYMEDZENIE POJMOV (článok 4)</w:t>
      </w:r>
    </w:p>
    <w:p w14:paraId="5490C143"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Článok 4</w:t>
      </w:r>
    </w:p>
    <w:p w14:paraId="5052F796" w14:textId="3C3F2534"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Pojmy potrebné na pochopenie tohto nariadenia sú vymedzené v prílohe I. Indikátory Bbio, Cep, Cep, nr, Icénergie, Icconstruction, DH, Icbâtiment, StockC, Icconstruction a Icded, ako aj maximálne hodnoty Bbio_max, Cep_max, Cep, nr_max, Icénergie_max, Icconstruction_max a DH_max, uvedené v tomto nariadení sú vymedzené v časti I až IX kapitoly I prílohy k článku R. 172-4 stavebného a bytového zákona.</w:t>
      </w:r>
    </w:p>
    <w:p w14:paraId="19F123F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Kapitola IV: POŽIADAVKY NA ENERGETICKÚ HOSPODÁRNOSŤ A ENVIROMENTÁLNE VLASTNOSTI A MINIMÁLNE TECHNICKÉ CHARAKTERISTIKY (články 5 až 7)</w:t>
      </w:r>
    </w:p>
    <w:p w14:paraId="52FC7DF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5</w:t>
      </w:r>
    </w:p>
    <w:p w14:paraId="3B7A178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Budovy alebo časti budov, na ktoré sa vzťahuje toto nariadenie, musia spĺňať požiadavky stanovené v článku R. 172-4 stavebného a bytového zákona a určené v súlade s postupmi uvedenými v prílohe k uvedenému článku a v článku 8 tohto nariadenia.</w:t>
      </w:r>
    </w:p>
    <w:p w14:paraId="55E6180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6</w:t>
      </w:r>
    </w:p>
    <w:p w14:paraId="773460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Minimálne technické charakteristiky určitých komponentov alebo súborov komponentov budov, na ktoré sa vzťahuje toto nariadenie, musia spĺňať požiadavky stanovené v hlave III tohto nariadenia.</w:t>
      </w:r>
    </w:p>
    <w:p w14:paraId="2F6971F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7</w:t>
      </w:r>
    </w:p>
    <w:p w14:paraId="7B46021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Budovy, ktorých vlastností sú v súlade so zjednodušenými metódami uplatňovania schválenými za podmienok uvedených v hlave IV tohto nariadenia, sa považujú za budovy, ktoré spĺňajú požiadavky tohto nariadenia.</w:t>
      </w:r>
    </w:p>
    <w:p w14:paraId="47CB4C1A"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Hlava II: ŠPECIFIKÁCIE POŽIADAVIEK NA ENERGETICKÚ HOSPODÁRNOSŤ A ENVIROMENTÁLNE VLASTNOSTI (články 8 až 18)</w:t>
      </w:r>
    </w:p>
    <w:p w14:paraId="5D33652C"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Kapitola V: POSUDZOVANIE SÚLADU S POŽIADAVKAMI (články 8 až 17)</w:t>
      </w:r>
    </w:p>
    <w:p w14:paraId="17BD402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8</w:t>
      </w:r>
    </w:p>
    <w:p w14:paraId="5251B7C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Metóda výpočtu pripojená k prílohám II až IV tohto nariadenia a stanovená v článku R. 172-6 stavebného a bytového zákona je schválená.</w:t>
      </w:r>
      <w:r>
        <w:rPr>
          <w:rFonts w:ascii="Times New Roman" w:hAnsi="Times New Roman"/>
          <w:sz w:val="24"/>
        </w:rPr>
        <w:br/>
        <w:t xml:space="preserve">V súlade s odsekom I tohto istého článku táto metóda výpočtu určuje energetickú hospodárnosť a environmentálne vlastnosti budovy s osobitným odkazom na ukazovatele opísané v ods. I až IX kapitoly I prílohy k článku R. 172-4 toho istého </w:t>
      </w:r>
      <w:r>
        <w:rPr>
          <w:rFonts w:ascii="Times New Roman" w:hAnsi="Times New Roman"/>
          <w:sz w:val="24"/>
        </w:rPr>
        <w:lastRenderedPageBreak/>
        <w:t>zákona na základe charakteristík budovy a jej komponentov.</w:t>
      </w:r>
      <w:r>
        <w:rPr>
          <w:rFonts w:ascii="Times New Roman" w:hAnsi="Times New Roman"/>
          <w:sz w:val="24"/>
        </w:rPr>
        <w:br/>
        <w:t>Predovšetkým:</w:t>
      </w:r>
    </w:p>
    <w:p w14:paraId="240366CB" w14:textId="65A494E9" w:rsidR="001E2566" w:rsidRPr="00B10978" w:rsidRDefault="001E2566" w:rsidP="00B10978">
      <w:pPr>
        <w:spacing w:before="100" w:beforeAutospacing="1" w:after="100" w:afterAutospacing="1" w:line="240" w:lineRule="auto"/>
        <w:ind w:left="1050"/>
        <w:rPr>
          <w:rFonts w:ascii="Times New Roman" w:hAnsi="Times New Roman"/>
          <w:sz w:val="24"/>
        </w:rPr>
      </w:pPr>
      <w:r>
        <w:rPr>
          <w:rFonts w:ascii="Times New Roman" w:hAnsi="Times New Roman"/>
          <w:sz w:val="24"/>
        </w:rPr>
        <w:br/>
      </w:r>
      <w:r w:rsidR="00B10978">
        <w:rPr>
          <w:rFonts w:ascii="Times New Roman" w:hAnsi="Times New Roman"/>
          <w:sz w:val="24"/>
        </w:rPr>
        <w:t>-</w:t>
      </w:r>
      <w:r>
        <w:rPr>
          <w:rFonts w:ascii="Times New Roman" w:hAnsi="Times New Roman"/>
          <w:sz w:val="24"/>
        </w:rPr>
        <w:t xml:space="preserve"> tieto ukazovatele sa vypočítajú s dôrazom na konvenčné klimatické údaje a údaje o intenzite používania;</w:t>
      </w:r>
      <w:r>
        <w:rPr>
          <w:rFonts w:ascii="Times New Roman" w:hAnsi="Times New Roman"/>
          <w:sz w:val="24"/>
        </w:rPr>
        <w:br/>
      </w:r>
      <w:r w:rsidR="00B10978">
        <w:rPr>
          <w:rFonts w:ascii="Times New Roman" w:hAnsi="Times New Roman"/>
          <w:sz w:val="24"/>
        </w:rPr>
        <w:t>-</w:t>
      </w:r>
      <w:r>
        <w:rPr>
          <w:rFonts w:ascii="Times New Roman" w:hAnsi="Times New Roman"/>
          <w:sz w:val="24"/>
        </w:rPr>
        <w:t xml:space="preserve"> ukazovatele Bbio, Cep, nr a Cep sa vypočítajú za jeden rok;</w:t>
      </w:r>
      <w:r>
        <w:rPr>
          <w:rFonts w:ascii="Times New Roman" w:hAnsi="Times New Roman"/>
          <w:sz w:val="24"/>
        </w:rPr>
        <w:br/>
      </w:r>
      <w:r w:rsidR="00B10978">
        <w:rPr>
          <w:rFonts w:ascii="Times New Roman" w:hAnsi="Times New Roman"/>
          <w:sz w:val="24"/>
        </w:rPr>
        <w:t>-</w:t>
      </w:r>
      <w:r>
        <w:rPr>
          <w:rFonts w:ascii="Times New Roman" w:hAnsi="Times New Roman"/>
          <w:sz w:val="24"/>
        </w:rPr>
        <w:t xml:space="preserve"> ukazovatele vplyvu na zmenu klímy Icenergy, Icconstruction a Icbuilding sa vypočítajú pomocou koeficientov uvedených v článku 11, pričom sa podľa dohovoru berie do úvahy, že budova má životnosť 50 rokov;</w:t>
      </w:r>
      <w:r>
        <w:rPr>
          <w:rFonts w:ascii="Times New Roman" w:hAnsi="Times New Roman"/>
          <w:sz w:val="24"/>
        </w:rPr>
        <w:br/>
      </w:r>
      <w:r w:rsidR="00B10978">
        <w:rPr>
          <w:rFonts w:ascii="Times New Roman" w:hAnsi="Times New Roman"/>
          <w:sz w:val="24"/>
        </w:rPr>
        <w:t>-</w:t>
      </w:r>
      <w:r>
        <w:rPr>
          <w:rFonts w:ascii="Times New Roman" w:hAnsi="Times New Roman"/>
          <w:sz w:val="24"/>
        </w:rPr>
        <w:t xml:space="preserve"> výpočet ukazovateľa Cep, nr zohľadňuje koeficienty definované v ods. I článku 9;</w:t>
      </w:r>
      <w:r>
        <w:rPr>
          <w:rFonts w:ascii="Times New Roman" w:hAnsi="Times New Roman"/>
          <w:sz w:val="24"/>
        </w:rPr>
        <w:br/>
      </w:r>
      <w:r w:rsidR="00B10978">
        <w:rPr>
          <w:rFonts w:ascii="Times New Roman" w:hAnsi="Times New Roman"/>
          <w:sz w:val="24"/>
        </w:rPr>
        <w:t>-</w:t>
      </w:r>
      <w:r>
        <w:rPr>
          <w:rFonts w:ascii="Times New Roman" w:hAnsi="Times New Roman"/>
          <w:sz w:val="24"/>
        </w:rPr>
        <w:t xml:space="preserve"> výpočet ukazovateľa Cep zohľadňuje koeficienty definované v ods. II článku 9;</w:t>
      </w:r>
      <w:r>
        <w:rPr>
          <w:rFonts w:ascii="Times New Roman" w:hAnsi="Times New Roman"/>
          <w:sz w:val="24"/>
        </w:rPr>
        <w:br/>
      </w:r>
      <w:r w:rsidR="00B10978">
        <w:rPr>
          <w:rFonts w:ascii="Times New Roman" w:hAnsi="Times New Roman"/>
          <w:sz w:val="24"/>
        </w:rPr>
        <w:t>-</w:t>
      </w:r>
      <w:r>
        <w:rPr>
          <w:rFonts w:ascii="Times New Roman" w:hAnsi="Times New Roman"/>
          <w:sz w:val="24"/>
        </w:rPr>
        <w:t xml:space="preserve"> výpočet ukazovateľa Icenergie zohľadňuje koeficienty definované v článku 10.</w:t>
      </w:r>
    </w:p>
    <w:p w14:paraId="318B4101"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9</w:t>
      </w:r>
    </w:p>
    <w:p w14:paraId="4649933D" w14:textId="522CD64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B10978">
        <w:rPr>
          <w:rFonts w:ascii="Times New Roman" w:hAnsi="Times New Roman"/>
          <w:sz w:val="24"/>
        </w:rPr>
        <w:t>-</w:t>
      </w:r>
      <w:r>
        <w:rPr>
          <w:rFonts w:ascii="Times New Roman" w:hAnsi="Times New Roman"/>
          <w:sz w:val="24"/>
        </w:rPr>
        <w:t xml:space="preserve"> Pri určovaní ukazovateľa Cep, nr opísaného v tomto nariadení sa použijú koeficienty transformácie energie vstupujúcej do budovy ako neobnoviteľnej primárnej energie, ktoré sa podľa dohovoru považujú za rovné:</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22"/>
        <w:gridCol w:w="5234"/>
      </w:tblGrid>
      <w:tr w:rsidR="001E2566" w:rsidRPr="001E2566" w14:paraId="03A442A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56C4"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Druh energie prenesenej do budovy</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5B3E"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Koeficienty transformácie energie vstupujúcej do budovy ako neobnoviteľnej primárnej energie</w:t>
            </w:r>
          </w:p>
        </w:tc>
      </w:tr>
      <w:tr w:rsidR="001E2566" w:rsidRPr="001E2566" w14:paraId="02F9CD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DAE1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Drevo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BEB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071D2D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5847E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Elektrická energia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B1F0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6B34C0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B25BA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Sieť diaľkového vykurovania (teplo)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2A5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 Pomer energie z obnoviteľných zdrojov alebo rekuperácie zo siete (teplo)</w:t>
            </w:r>
          </w:p>
        </w:tc>
      </w:tr>
      <w:tr w:rsidR="001E2566" w:rsidRPr="001E2566" w14:paraId="11E3C0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C2D68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Sieť diaľkového vykurovania (chladenie)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C5FC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879306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59A24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Metánový (zemný) plyn zo sietí</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B29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5423AE2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3B7E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Energia z obnoviteľných zdrojov zachytená na budove alebo pozemku</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531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5D18966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DC2AF6"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Iné energie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0CB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134DC3EF" w14:textId="1D91BCE0"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Pomer energie z obnoviteľných zdrojov alebo rekuperácie z mestských vykurovacích sietí je definovaný nariadením pre každú existujúcu infraštruktúru.</w:t>
      </w:r>
      <w:r>
        <w:rPr>
          <w:rFonts w:ascii="Times New Roman" w:hAnsi="Times New Roman"/>
          <w:sz w:val="24"/>
        </w:rPr>
        <w:br/>
        <w:t xml:space="preserve">II. </w:t>
      </w:r>
      <w:r w:rsidR="00B10978">
        <w:rPr>
          <w:rFonts w:ascii="Times New Roman" w:hAnsi="Times New Roman"/>
          <w:sz w:val="24"/>
        </w:rPr>
        <w:t>-</w:t>
      </w:r>
      <w:r>
        <w:rPr>
          <w:rFonts w:ascii="Times New Roman" w:hAnsi="Times New Roman"/>
          <w:sz w:val="24"/>
        </w:rPr>
        <w:t xml:space="preserve"> Pri určovaní ukazovateľa Cep sa použijú koeficienty transformácie energie </w:t>
      </w:r>
      <w:r>
        <w:rPr>
          <w:rFonts w:ascii="Times New Roman" w:hAnsi="Times New Roman"/>
          <w:sz w:val="24"/>
        </w:rPr>
        <w:lastRenderedPageBreak/>
        <w:t>vstupujúcej do budovy ako primárnej energie, ktoré sa podľa dohovoru považujú za rovné:</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7"/>
        <w:gridCol w:w="4899"/>
      </w:tblGrid>
      <w:tr w:rsidR="001E2566" w:rsidRPr="001E2566" w14:paraId="7F10621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62603F"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Druh energie prenesenej do budovy</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221C"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Koeficienty transformácie energie vstupujúcej do budovy ako primárnej energie</w:t>
            </w:r>
          </w:p>
        </w:tc>
      </w:tr>
      <w:tr w:rsidR="001E2566" w:rsidRPr="001E2566" w14:paraId="2E3006D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90D97D"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Drevo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45A1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475E90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83E0E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Elektrická energia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62C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2.3</w:t>
            </w:r>
          </w:p>
        </w:tc>
      </w:tr>
      <w:tr w:rsidR="001E2566" w:rsidRPr="001E2566" w14:paraId="519FACF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797EF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Diaľková sieť (vykurovanie)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7D5B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1E8A9457"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BB82DA"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Diaľková sieť (chladenie)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E07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3C376AD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698B0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Metánový (zemný) plyn zo sietí</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231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r w:rsidR="001E2566" w:rsidRPr="001E2566" w14:paraId="25C777C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09D421"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Energia z obnoviteľných zdrojov zachytená na budove alebo pozemku</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BC7A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w:t>
            </w:r>
          </w:p>
        </w:tc>
      </w:tr>
      <w:tr w:rsidR="001E2566" w:rsidRPr="001E2566" w14:paraId="3EAB93A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4B28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Iné energie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4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w:t>
            </w:r>
          </w:p>
        </w:tc>
      </w:tr>
    </w:tbl>
    <w:p w14:paraId="574B6F5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Podľa dohovoru energia vyrobená budovou namiesto siete, ako aj možné množstvo energie prenesenej do budovy na výrobu tejto energie, nemajú vplyv na ukazovatele budovy Cep, nr, Cep a Icenergy.</w:t>
      </w:r>
    </w:p>
    <w:p w14:paraId="03FB2D0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10</w:t>
      </w:r>
    </w:p>
    <w:p w14:paraId="55FA556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Pri určovaní ukazovateľa Icenergy sa použijú koeficienty transformácie energie vstupujúcej do budovy ako množstiev vypustených skleníkových plynov, ktoré sa podľa dohovoru považujú za rovné:</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8"/>
        <w:gridCol w:w="4998"/>
      </w:tblGrid>
      <w:tr w:rsidR="001E2566" w:rsidRPr="001E2566" w14:paraId="67699F6C"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AA5828"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Druh energie na kWh koncovej energie s dolnou výhrevnosťou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4E247" w14:textId="77777777" w:rsidR="001E2566" w:rsidRPr="001E2566" w:rsidRDefault="001E2566" w:rsidP="001E256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br/>
              <w:t>kg ekvivalentu CO2 na kilowatthodinu koncovej energie s dolnou výhrevnosťou</w:t>
            </w:r>
          </w:p>
        </w:tc>
      </w:tr>
      <w:tr w:rsidR="001E2566" w:rsidRPr="001E2566" w14:paraId="433A56D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5E612" w14:textId="6BF690BF"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Drevo, biomasa </w:t>
            </w:r>
            <w:r w:rsidR="00B10978">
              <w:rPr>
                <w:rFonts w:ascii="Times New Roman" w:hAnsi="Times New Roman"/>
                <w:sz w:val="24"/>
              </w:rPr>
              <w:t>-</w:t>
            </w:r>
            <w:r>
              <w:rPr>
                <w:rFonts w:ascii="Times New Roman" w:hAnsi="Times New Roman"/>
                <w:sz w:val="24"/>
              </w:rPr>
              <w:t xml:space="preserve"> drevené triesky</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839B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0,024</w:t>
            </w:r>
          </w:p>
        </w:tc>
      </w:tr>
      <w:tr w:rsidR="001E2566" w:rsidRPr="001E2566" w14:paraId="6FEE872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22C655" w14:textId="5F39F9D9"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Drevo, biomasa </w:t>
            </w:r>
            <w:r w:rsidR="00B10978">
              <w:rPr>
                <w:rFonts w:ascii="Times New Roman" w:hAnsi="Times New Roman"/>
                <w:sz w:val="24"/>
              </w:rPr>
              <w:t>-</w:t>
            </w:r>
            <w:r>
              <w:rPr>
                <w:rFonts w:ascii="Times New Roman" w:hAnsi="Times New Roman"/>
                <w:sz w:val="24"/>
              </w:rPr>
              <w:t xml:space="preserve"> granuly (pelety) alebo brikety</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F7C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3F76A03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C2DBB3" w14:textId="12369965"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 xml:space="preserve">Drevo, biomasa </w:t>
            </w:r>
            <w:r w:rsidR="00B10978">
              <w:rPr>
                <w:rFonts w:ascii="Times New Roman" w:hAnsi="Times New Roman"/>
                <w:sz w:val="24"/>
              </w:rPr>
              <w:t>-</w:t>
            </w:r>
            <w:r>
              <w:rPr>
                <w:rFonts w:ascii="Times New Roman" w:hAnsi="Times New Roman"/>
                <w:sz w:val="24"/>
              </w:rPr>
              <w:t xml:space="preserve"> polená</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32C4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0,03</w:t>
            </w:r>
          </w:p>
        </w:tc>
      </w:tr>
      <w:tr w:rsidR="001E2566" w:rsidRPr="001E2566" w14:paraId="1D8F843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ED6AE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Elektrina na vykurovanie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BACC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0,079</w:t>
            </w:r>
          </w:p>
        </w:tc>
      </w:tr>
      <w:tr w:rsidR="001E2566" w:rsidRPr="001E2566" w14:paraId="0521189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CF0C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br/>
              <w:t>Elektrina na chladenie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220CD"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2BD2419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A0517"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Elektrina na TÚV</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23D3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0,065</w:t>
            </w:r>
          </w:p>
        </w:tc>
      </w:tr>
      <w:tr w:rsidR="001E2566" w:rsidRPr="001E2566" w14:paraId="1FB47D15"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C02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Elektrina na terciárne osvetlenie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42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6BB14274"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2F4D7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Elektrina na osvetlenie obytných budov</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CC3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0,069</w:t>
            </w:r>
          </w:p>
        </w:tc>
      </w:tr>
      <w:tr w:rsidR="001E2566" w:rsidRPr="001E2566" w14:paraId="25B9B5C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4F3CF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Elektrina na iné použitie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203D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0,064</w:t>
            </w:r>
          </w:p>
        </w:tc>
      </w:tr>
      <w:tr w:rsidR="001E2566" w:rsidRPr="001E2566" w14:paraId="4D1590A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7F845C"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Metánový (zemný) plyn zo sietí</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59A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0,227</w:t>
            </w:r>
          </w:p>
        </w:tc>
      </w:tr>
      <w:tr w:rsidR="001E2566" w:rsidRPr="001E2566" w14:paraId="4269FA7A"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5C0C1F"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Butánový plyn</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9E1D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31935C49"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B007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Propánový plyn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D05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0,272</w:t>
            </w:r>
          </w:p>
        </w:tc>
      </w:tr>
      <w:tr w:rsidR="001E2566" w:rsidRPr="001E2566" w14:paraId="46FE021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8297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Iné fosílne palivá</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BCF5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0,324</w:t>
            </w:r>
          </w:p>
        </w:tc>
      </w:tr>
    </w:tbl>
    <w:p w14:paraId="19A2084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Emisný faktor pre mestské vykurovacie alebo chladiace siete je definovaný nariadením pre každú existujúcu infraštruktúru.</w:t>
      </w:r>
    </w:p>
    <w:p w14:paraId="7823D41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11</w:t>
      </w:r>
    </w:p>
    <w:p w14:paraId="118D84A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Váhové koeficienty používané na výpočet ukazovateľov vplyvu na zmenu klímy Icenergy, Icconstruction a Icbuilding v závislosti od roku emisie a typu emitovaného plynu sa podľa dohovoru považujú za rovné:</w:t>
      </w:r>
    </w:p>
    <w:p w14:paraId="7D27AB66"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75E75DF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Celý text s obrázkami si môžete pozrieť vo výpise z overeného elektronického úradného vestníka, ktorý je dostupný v dolnej časti stránky.</w:t>
      </w:r>
    </w:p>
    <w:p w14:paraId="480DAF84"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12</w:t>
      </w:r>
    </w:p>
    <w:p w14:paraId="5013377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Softvér, ktorý vykonáva celý výpočet alebo časť výpočtu ukazovateľov uvedených v ods. I až IX kapitoly I prílohy k článku R. 172-4 stavebného a bytového zákona na overenie súladu s vyššie uvedeným článkom a týmto nariadením, musí dodržiavať metódu výpočtu uvedenú v článku 8.</w:t>
      </w:r>
      <w:r>
        <w:rPr>
          <w:rFonts w:ascii="Times New Roman" w:hAnsi="Times New Roman"/>
          <w:sz w:val="24"/>
        </w:rPr>
        <w:br/>
        <w:t>Na tento účel sa musí opierať o nástroj na výpočet ukazovateľov Bbio, Cep, nr, Cep a DH, ktorý je k dispozícii na požiadanie v súlade s článkom L. 121-2 stavebného a bytového zákona. Aktualizácie tohto nástroja sa integrujú do príslušného softvéru do jedného mesiaca od ich vydania.</w:t>
      </w:r>
      <w:r>
        <w:rPr>
          <w:rFonts w:ascii="Times New Roman" w:hAnsi="Times New Roman"/>
          <w:sz w:val="24"/>
        </w:rPr>
        <w:br/>
      </w:r>
      <w:r>
        <w:rPr>
          <w:rFonts w:ascii="Times New Roman" w:hAnsi="Times New Roman"/>
          <w:sz w:val="24"/>
        </w:rPr>
        <w:lastRenderedPageBreak/>
        <w:t>Každé regulačné použitie tohto softvéru musí najprv schváliť minister energetiky a minister zodpovedný za výstavbu, najmä s cieľom overiť, či získané výsledky zodpovedajú metóde výpočtu a či vstupné rozhranie minimalizuje riziko vstupných chýb osoby zodpovednej za modelovanie.</w:t>
      </w:r>
      <w:r>
        <w:rPr>
          <w:rFonts w:ascii="Times New Roman" w:hAnsi="Times New Roman"/>
          <w:sz w:val="24"/>
        </w:rPr>
        <w:br/>
        <w:t>Ako prechodné opatrenie sa softvér, ktorý vykonal samokontrolu, môže používať na regulačné účely na simulácie vykonávané do 30. júna 2022.</w:t>
      </w:r>
      <w:r>
        <w:rPr>
          <w:rFonts w:ascii="Times New Roman" w:hAnsi="Times New Roman"/>
          <w:sz w:val="24"/>
        </w:rPr>
        <w:br/>
        <w:t>V prílohe V sú opísané postupy vykonávania samokontroly a schvaľovací postup pre takýto softvér.</w:t>
      </w:r>
      <w:r>
        <w:rPr>
          <w:rFonts w:ascii="Times New Roman" w:hAnsi="Times New Roman"/>
          <w:sz w:val="24"/>
        </w:rPr>
        <w:br/>
        <w:t>Schválenie sa obnovuje po pravidelnom preskúmaní za týchto podmienok:</w:t>
      </w:r>
    </w:p>
    <w:p w14:paraId="0C449CC4" w14:textId="75E699B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F23568">
        <w:rPr>
          <w:rFonts w:ascii="Times New Roman" w:hAnsi="Times New Roman"/>
          <w:sz w:val="24"/>
        </w:rPr>
        <w:t>-</w:t>
      </w:r>
      <w:r>
        <w:rPr>
          <w:rFonts w:ascii="Times New Roman" w:hAnsi="Times New Roman"/>
          <w:sz w:val="24"/>
        </w:rPr>
        <w:t xml:space="preserve"> obdobie platnosti prvej kontroly je dva roky;</w:t>
      </w:r>
      <w:r>
        <w:rPr>
          <w:rFonts w:ascii="Times New Roman" w:hAnsi="Times New Roman"/>
          <w:sz w:val="24"/>
        </w:rPr>
        <w:br/>
      </w:r>
      <w:r w:rsidR="00F23568">
        <w:rPr>
          <w:rFonts w:ascii="Times New Roman" w:hAnsi="Times New Roman"/>
          <w:sz w:val="24"/>
        </w:rPr>
        <w:t>-</w:t>
      </w:r>
      <w:r>
        <w:rPr>
          <w:rFonts w:ascii="Times New Roman" w:hAnsi="Times New Roman"/>
          <w:sz w:val="24"/>
        </w:rPr>
        <w:t xml:space="preserve"> obdobie platnosti schválenia sa predĺži o päť rokov po preskúmaní, pri ktorom sa nezistili žiadne významné odchýlky od metódy výpočtu platnej v čase predloženia dokumentácie z preskúmania;</w:t>
      </w:r>
      <w:r>
        <w:rPr>
          <w:rFonts w:ascii="Times New Roman" w:hAnsi="Times New Roman"/>
          <w:sz w:val="24"/>
        </w:rPr>
        <w:br/>
      </w:r>
      <w:r w:rsidR="00F23568">
        <w:rPr>
          <w:rFonts w:ascii="Times New Roman" w:hAnsi="Times New Roman"/>
          <w:sz w:val="24"/>
        </w:rPr>
        <w:t>-</w:t>
      </w:r>
      <w:r>
        <w:rPr>
          <w:rFonts w:ascii="Times New Roman" w:hAnsi="Times New Roman"/>
          <w:sz w:val="24"/>
        </w:rPr>
        <w:t xml:space="preserve"> obdobie platnosti schválenia sa predĺži o 2 až 5 rokov po preskúmaní, ktoré viedlo k oprave významných odchýlok od metódy výpočtu platnej v čase predloženia dokumentácie z preskúmania.</w:t>
      </w:r>
    </w:p>
    <w:p w14:paraId="3F3EC3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Schválenie môže byť kedykoľvek odňaté, najmä po zistení významnej odchýlky od metódy výpočtu platnej v čase pozorovania alebo po zistení najmenej troch chýb týkajúcich sa integrácie určitých systémov prítomných v metóde výpočtu platnej v čase uvedeného zistenia.</w:t>
      </w:r>
    </w:p>
    <w:p w14:paraId="65D822DD"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13</w:t>
      </w:r>
    </w:p>
    <w:p w14:paraId="2FBE5E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Hodnoty použité ako vstupné údaje na výpočet uvedené v článku 8 a opisujúce geometrické charakteristiky budovy musia zodpovedať stavebným plánom, ak budova nebola dokončená, alebo skutočne použitým množstvám po dokončení prác.</w:t>
      </w:r>
      <w:r>
        <w:rPr>
          <w:rFonts w:ascii="Times New Roman" w:hAnsi="Times New Roman"/>
          <w:sz w:val="24"/>
        </w:rPr>
        <w:br/>
        <w:t>Dĺžka, plocha alebo orientácia budovy a jej komponentov sú súčasťou údajov opisujúcich geometrické charakteristiky budovy.</w:t>
      </w:r>
    </w:p>
    <w:p w14:paraId="354451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14</w:t>
      </w:r>
    </w:p>
    <w:p w14:paraId="18FA25A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Hodnoty použité ako vstupné údaje na výpočet uvedené v článku 8 a opisujúce množstvá stavebných výrobkov alebo zariadení použitých v budove musia zodpovedať odhadovaným množstvám potrebným na výstavbu budovy, ak nebola dokončená, alebo skutočne použitým množstvám po dokončení prác.</w:t>
      </w:r>
    </w:p>
    <w:p w14:paraId="4F82784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15</w:t>
      </w:r>
    </w:p>
    <w:p w14:paraId="5B4D90D0" w14:textId="3E3F7CA8"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8D7991">
        <w:rPr>
          <w:rFonts w:ascii="Times New Roman" w:hAnsi="Times New Roman"/>
          <w:sz w:val="24"/>
        </w:rPr>
        <w:t>-</w:t>
      </w:r>
      <w:r>
        <w:rPr>
          <w:rFonts w:ascii="Times New Roman" w:hAnsi="Times New Roman"/>
          <w:sz w:val="24"/>
        </w:rPr>
        <w:t xml:space="preserve"> Hodnoty použité ako vstupné údaje na výpočet uvedené v článku 8 a opisujúce tepelné charakteristiky komponentov budovy musia zodpovedať charakteristikám komponentov plánovaných na výstavbu budovy, ak nebola dokončená, alebo </w:t>
      </w:r>
      <w:r>
        <w:rPr>
          <w:rFonts w:ascii="Times New Roman" w:hAnsi="Times New Roman"/>
          <w:sz w:val="24"/>
        </w:rPr>
        <w:lastRenderedPageBreak/>
        <w:t>charakteristikám skutočne použitých komponentov po dokončení prác.</w:t>
      </w:r>
      <w:r>
        <w:rPr>
          <w:rFonts w:ascii="Times New Roman" w:hAnsi="Times New Roman"/>
          <w:sz w:val="24"/>
        </w:rPr>
        <w:br/>
        <w:t>Tieto tepelné charakteristiky sa pre každý komponent získavajú takto:</w:t>
      </w:r>
    </w:p>
    <w:p w14:paraId="49B964E9" w14:textId="624E876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8D7991">
        <w:rPr>
          <w:rFonts w:ascii="Times New Roman" w:hAnsi="Times New Roman"/>
          <w:sz w:val="24"/>
        </w:rPr>
        <w:t>-</w:t>
      </w:r>
      <w:r>
        <w:rPr>
          <w:rFonts w:ascii="Times New Roman" w:hAnsi="Times New Roman"/>
          <w:sz w:val="24"/>
        </w:rPr>
        <w:t xml:space="preserve"> ak sa na komponent vzťahujú harmonizované technické špecifikácie nariadenia č. 305/2011 z 9. marca 2011, harmonizované normy alebo európske hodnotiace dokumenty, pričom v takom prípade budú výrobky označené označením CE, a ak je v týchto špecifikáciách stanovená hodnota tepelnej charakteristiky, táto hodnota sa použije v súlade s postupmi stanovenými v článku 8;</w:t>
      </w:r>
      <w:r>
        <w:rPr>
          <w:rFonts w:ascii="Times New Roman" w:hAnsi="Times New Roman"/>
          <w:sz w:val="24"/>
        </w:rPr>
        <w:br/>
      </w:r>
      <w:r w:rsidR="008D7991">
        <w:rPr>
          <w:rFonts w:ascii="Times New Roman" w:hAnsi="Times New Roman"/>
          <w:sz w:val="24"/>
        </w:rPr>
        <w:t>-</w:t>
      </w:r>
      <w:r>
        <w:rPr>
          <w:rFonts w:ascii="Times New Roman" w:hAnsi="Times New Roman"/>
          <w:sz w:val="24"/>
        </w:rPr>
        <w:t xml:space="preserve"> v inom prípade, ak sa tepelná charakteristika získava odkazom na francúzske normy alebo technické stanoviská alebo rovnocenné vnútroštátne normy prijaté členským štátom Európskej únie alebo zmluvnou stranou Dohody o EHP, alebo Tureckom, a ak sú vydané nezávislým orgánom tretej strany notifikovaným podľa naradenia č. 305/2011, ktorý je uznaný členským štátom Európskej únie alebo štátom, ktorý je zmluvnou stranou Dohody o Európskom hospodárskom priestore, táto hodnota sa použije v súlade s postupmi stanovenými v článku 8. Výhoda tohto ustanovenia sa uplatňuje len počas obdobia predchádzajúceho uplatňovaniu harmonizovanej európskej normy alebo európskeho technického schválenia. Bez ohľadu na pravidlá zaokrúhľovania stanovené v týchto rôznych normách alebo technických stanoviskách nemôže byť hodnota použitá ako vstupný údaj priaznivejšia ako hodnota získaná z vykonaného merania, ak je to vhodné.</w:t>
      </w:r>
    </w:p>
    <w:p w14:paraId="6861275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Ak nie je možné získať charakteristickú hodnotu podľa vyššie uvedených postupov, použije sa štandardná hodnota definovaná metódou výpočtu uvedenou v článku 8, s výnimkou štandardnej úžitkovej hodnoty tepelnej vodivosti pre bioizoláciu, ako sa vymedzuje v prílohe XII k tomuto nariadeniu.</w:t>
      </w:r>
      <w:r>
        <w:rPr>
          <w:rFonts w:ascii="Times New Roman" w:hAnsi="Times New Roman"/>
          <w:sz w:val="24"/>
        </w:rPr>
        <w:br/>
        <w:t>II. V budovách určených na obytné účely sa v prípade, že po dodaní budovy sa ešte majú vykonať určité práce na inštalácii energetického systému, musia sa použiť štandardné údaje v súlade s metódou uvedenou v článku 8.</w:t>
      </w:r>
    </w:p>
    <w:p w14:paraId="722E451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16</w:t>
      </w:r>
    </w:p>
    <w:p w14:paraId="295CAA88" w14:textId="77777777" w:rsidR="004D1092" w:rsidRDefault="001E2566" w:rsidP="004D1092">
      <w:pPr>
        <w:spacing w:after="0" w:line="240" w:lineRule="auto"/>
        <w:ind w:left="1049"/>
        <w:rPr>
          <w:rFonts w:ascii="Times New Roman" w:hAnsi="Times New Roman"/>
          <w:sz w:val="24"/>
        </w:rPr>
      </w:pPr>
      <w:r>
        <w:rPr>
          <w:rFonts w:ascii="Times New Roman" w:hAnsi="Times New Roman"/>
          <w:sz w:val="24"/>
        </w:rPr>
        <w:br/>
        <w:t xml:space="preserve">I. </w:t>
      </w:r>
      <w:r w:rsidR="003B0A11">
        <w:rPr>
          <w:rFonts w:ascii="Times New Roman" w:hAnsi="Times New Roman"/>
          <w:sz w:val="24"/>
        </w:rPr>
        <w:t>-</w:t>
      </w:r>
      <w:r>
        <w:rPr>
          <w:rFonts w:ascii="Times New Roman" w:hAnsi="Times New Roman"/>
          <w:sz w:val="24"/>
        </w:rPr>
        <w:t xml:space="preserve"> Hodnoty použité ako vstupné údaje na výpočet ukazovateľov Icconstruction a Icbuilding musia zodpovedať charakteristikám komponentov plánovaných na výstavbu, ak budova nebola dokončená, alebo charakteristikám skutočne použitých komponentov po dokončení prác. Odchylne od tohto ustanovenia je možné použiť vstupný údaj zodpovedajúci komponentu s lepšími charakteristikami, ako má plánovaný alebo použitý komponent, za predpokladu, že sú súčasťou toho istého sortimentu od toho istého výrobcu.</w:t>
      </w:r>
      <w:r>
        <w:rPr>
          <w:rFonts w:ascii="Times New Roman" w:hAnsi="Times New Roman"/>
          <w:sz w:val="24"/>
        </w:rPr>
        <w:br/>
        <w:t>Tieto hodnoty sa pre každý komponent získavajú na základe environmentálnych vyhlásení, ktoré výrobcovia poskytujú v súlade s pravidlami stanovenými vyhláškou, alebo ak takéto údaje nie sú k dispozícii, prostredníctvom štandardných environmentálnych údajov, ktoré poskytuje minister zodpovedný za výstavbu.</w:t>
      </w:r>
      <w:r>
        <w:rPr>
          <w:rFonts w:ascii="Times New Roman" w:hAnsi="Times New Roman"/>
          <w:sz w:val="24"/>
        </w:rPr>
        <w:br/>
        <w:t xml:space="preserve">Ak pre komponent budovy nie sú k dispozícii žiadne informácie, ktoré by spĺňali charakteristiky uvedené v predchádzajúcom odseku, komponent je opísaný vo výpočte a sú s ním spojené environmentálne informácie definované ako „prázdne“; žiadosť o vytvorenie štandardných environmentálnych údajov zodpovedajúcich komponentu sa okrem toho predkladá prostredníctvom webového sídla uvedeného </w:t>
      </w:r>
      <w:r>
        <w:rPr>
          <w:rFonts w:ascii="Times New Roman" w:hAnsi="Times New Roman"/>
          <w:sz w:val="24"/>
        </w:rPr>
        <w:lastRenderedPageBreak/>
        <w:t>na webovom sídle ministerstva zodpovedného za výstavbu.</w:t>
      </w:r>
      <w:r>
        <w:rPr>
          <w:rFonts w:ascii="Times New Roman" w:hAnsi="Times New Roman"/>
          <w:sz w:val="24"/>
        </w:rPr>
        <w:br/>
        <w:t xml:space="preserve">II. </w:t>
      </w:r>
      <w:r w:rsidR="003B0A11">
        <w:rPr>
          <w:rFonts w:ascii="Times New Roman" w:hAnsi="Times New Roman"/>
          <w:sz w:val="24"/>
        </w:rPr>
        <w:t>-</w:t>
      </w:r>
      <w:r>
        <w:rPr>
          <w:rFonts w:ascii="Times New Roman" w:hAnsi="Times New Roman"/>
          <w:sz w:val="24"/>
        </w:rPr>
        <w:t xml:space="preserve"> V prípade, že po dodaní budovy ešte treba vykonať určité práce, použijú sa na opis tejto práce štandardné údaje v súlade s metódou uvedenou v článku 8.</w:t>
      </w:r>
      <w:r>
        <w:rPr>
          <w:rFonts w:ascii="Times New Roman" w:hAnsi="Times New Roman"/>
          <w:sz w:val="24"/>
        </w:rPr>
        <w:br/>
        <w:t xml:space="preserve">III. </w:t>
      </w:r>
      <w:r w:rsidR="003B0A11">
        <w:rPr>
          <w:rFonts w:ascii="Times New Roman" w:hAnsi="Times New Roman"/>
          <w:sz w:val="24"/>
        </w:rPr>
        <w:t>-</w:t>
      </w:r>
      <w:r>
        <w:rPr>
          <w:rFonts w:ascii="Times New Roman" w:hAnsi="Times New Roman"/>
          <w:sz w:val="24"/>
        </w:rPr>
        <w:t xml:space="preserve"> V prípade určitých súborov komponentov budov a v závislosti od použitia budovy je možné, nahradením požiadaviek uvedených v ods. I a II tohto článku, opísať ich vplyv na zmenu klímy prostredníctvom stanovených hodnôt. Príslušné súbory komponentov a zodpovedajúce hodnoty sú uvedené v prílohe XI. </w:t>
      </w:r>
    </w:p>
    <w:p w14:paraId="741E3895" w14:textId="1ACA129E" w:rsidR="001E2566" w:rsidRPr="001E2566" w:rsidRDefault="001E2566" w:rsidP="006D398E">
      <w:pPr>
        <w:pStyle w:val="BodyTextIndent"/>
        <w:rPr>
          <w:rFonts w:eastAsia="Times New Roman" w:cs="Times New Roman"/>
          <w:szCs w:val="24"/>
        </w:rPr>
      </w:pPr>
      <w:r>
        <w:t xml:space="preserve">IV. </w:t>
      </w:r>
      <w:r w:rsidR="004D1092">
        <w:t>-</w:t>
      </w:r>
      <w:r>
        <w:t xml:space="preserve"> Údaje, ktoré sa môžu použiť v súlade s ods. I tohto článku, sú údaje dostupné v deň dokončenia výpočtu ukazovateľov Icconstruction, Icded a Icbuilding. Ak sa však údaje použili pri predchádzajúcom výpočte týchto ukazovateľov a potom sa aktualizovali alebo vymazali, stále ich možno použiť za podmienok stanovených v ods. I tohto článku.</w:t>
      </w:r>
    </w:p>
    <w:p w14:paraId="466D9E3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17</w:t>
      </w:r>
    </w:p>
    <w:p w14:paraId="765CA2F0" w14:textId="3BB58FF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6D398E">
        <w:rPr>
          <w:rFonts w:ascii="Times New Roman" w:hAnsi="Times New Roman"/>
          <w:sz w:val="24"/>
        </w:rPr>
        <w:t>-</w:t>
      </w:r>
      <w:r>
        <w:rPr>
          <w:rFonts w:ascii="Times New Roman" w:hAnsi="Times New Roman"/>
          <w:sz w:val="24"/>
        </w:rPr>
        <w:t xml:space="preserve"> Hodnota priepustnosti vzduchu budovy sa získa:</w:t>
      </w:r>
    </w:p>
    <w:p w14:paraId="5AE3B909" w14:textId="4BE912A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D398E">
        <w:rPr>
          <w:rFonts w:ascii="Times New Roman" w:hAnsi="Times New Roman"/>
          <w:sz w:val="24"/>
        </w:rPr>
        <w:t>-</w:t>
      </w:r>
      <w:r>
        <w:rPr>
          <w:rFonts w:ascii="Times New Roman" w:hAnsi="Times New Roman"/>
          <w:sz w:val="24"/>
        </w:rPr>
        <w:t xml:space="preserve"> v prípade budov určených na obytné účely buď meraním, alebo prijatím kvalitatívneho prístupu pre vzduchotesnosť budovy v súlade s postupmi vymedzenými v prílohe VII k tomuto nariadeniu;</w:t>
      </w:r>
      <w:r>
        <w:rPr>
          <w:rFonts w:ascii="Times New Roman" w:hAnsi="Times New Roman"/>
          <w:sz w:val="24"/>
        </w:rPr>
        <w:br/>
      </w:r>
      <w:r w:rsidR="006D398E">
        <w:rPr>
          <w:rFonts w:ascii="Times New Roman" w:hAnsi="Times New Roman"/>
          <w:sz w:val="24"/>
        </w:rPr>
        <w:t>-</w:t>
      </w:r>
      <w:r>
        <w:rPr>
          <w:rFonts w:ascii="Times New Roman" w:hAnsi="Times New Roman"/>
          <w:sz w:val="24"/>
        </w:rPr>
        <w:t xml:space="preserve"> v prípade iných typov budov možno hodnotu priepustnosti vzduchu budovy odôvodniť meraním v súlade s metódami vymedzenými v prílohe VII k tomuto nariadeniu. V prípade absencie merania podľa týchto metód sa použije štandardná hodnota vymedzená metódou výpočtu uvedenou v článku 8;</w:t>
      </w:r>
    </w:p>
    <w:p w14:paraId="6D3E852E" w14:textId="1517753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 prípade merania priepustnosti odberom vzoriek sa získané namerané hodnoty vynásobia koeficientom 1,2.</w:t>
      </w:r>
      <w:r>
        <w:rPr>
          <w:rFonts w:ascii="Times New Roman" w:hAnsi="Times New Roman"/>
          <w:sz w:val="24"/>
        </w:rPr>
        <w:br/>
        <w:t>V prípade, že po dodaní ešte treba vykonať určité práce, ktoré by mohli ovplyvniť priepustnosť obydlí, a ak neexistuje rezerva, ktorá by zabránila vzniku únikov počas týchto prác, získané hodnoty priepustnosti sa zvýšia o 0,3 m³/(h.m²).</w:t>
      </w:r>
      <w:r>
        <w:rPr>
          <w:rFonts w:ascii="Times New Roman" w:hAnsi="Times New Roman"/>
          <w:sz w:val="24"/>
        </w:rPr>
        <w:br/>
        <w:t>Tieto dve zvýšenia sú kumulatívne v tomto poradí.</w:t>
      </w:r>
      <w:r>
        <w:rPr>
          <w:rFonts w:ascii="Times New Roman" w:hAnsi="Times New Roman"/>
          <w:sz w:val="24"/>
        </w:rPr>
        <w:br/>
        <w:t xml:space="preserve">II. </w:t>
      </w:r>
      <w:r w:rsidR="006D398E">
        <w:rPr>
          <w:rFonts w:ascii="Times New Roman" w:hAnsi="Times New Roman"/>
          <w:sz w:val="24"/>
        </w:rPr>
        <w:t>-</w:t>
      </w:r>
      <w:r>
        <w:rPr>
          <w:rFonts w:ascii="Times New Roman" w:hAnsi="Times New Roman"/>
          <w:sz w:val="24"/>
        </w:rPr>
        <w:t xml:space="preserve"> V prípade všetkých budov sa hodnota priepustnosti pre vzduchové siete dosiahne buď meraním, alebo prijatím kvalitatívneho prístupu pre vzduchotesnosť vzduchových sietí v súlade s postupmi vymedzenými v prílohe VII k tomuto nariadeniu. V prípade absencie merania a kvalitatívneho prístupu podľa týchto metód sa použije štandardná hodnota vymedzená metódou výpočtu uvedenou v článku 8.</w:t>
      </w:r>
      <w:r>
        <w:rPr>
          <w:rFonts w:ascii="Times New Roman" w:hAnsi="Times New Roman"/>
          <w:sz w:val="24"/>
        </w:rPr>
        <w:br/>
        <w:t>Ak je priepustnosť vzduchu budovy alebo priepustnosť vzduchových sietí odôvodnená meraním, osoba vykonávajúca meranie musí byť osobou uznanou za spôsobilú ministrom zodpovedným za výstavbu, nezávislá od žiadateľa a organizácií zapojených do realizácie alebo projektového riadenia dotknutých budov.</w:t>
      </w:r>
    </w:p>
    <w:p w14:paraId="128819AB"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Kapitola VI: ODÔVODNENIE UPLATŇOVANIA POŽIADAVIEK (článok 18)</w:t>
      </w:r>
    </w:p>
    <w:p w14:paraId="0A4D749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18</w:t>
      </w:r>
    </w:p>
    <w:p w14:paraId="587E729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Vlastník budovy vypracuje štandardizovaný digitálny súhrn energetickej a environmentálnej štúdie pomocou softvéru, ktorý spĺňa požiadavky článku 12, najneskôr po dokončení prác.</w:t>
      </w:r>
      <w:r>
        <w:rPr>
          <w:rFonts w:ascii="Times New Roman" w:hAnsi="Times New Roman"/>
          <w:sz w:val="24"/>
        </w:rPr>
        <w:br/>
        <w:t>Obsah a formát štandardizovaného súhrnu energetickej a environmentálnej štúdie, ktorý sa má vypracovať, sú opísané v prílohe VI.</w:t>
      </w:r>
      <w:r>
        <w:rPr>
          <w:rFonts w:ascii="Times New Roman" w:hAnsi="Times New Roman"/>
          <w:sz w:val="24"/>
        </w:rPr>
        <w:br/>
        <w:t>V prípade, na ktorý sa vzťahuje hlava IV tohto nariadenia, že požiadavky tohto nariadenia sa uplatňujú podľa schváleného zjednodušeného postupu alebo spôsobu uplatňovania, v zjednodušenom postupe alebo spôsobe uplatňovania sa uvedie obsah a formát štandardizovaného súhrnu energetickej a environmentálnej štúdie, ktorý sa má vypracovať.</w:t>
      </w:r>
      <w:r>
        <w:rPr>
          <w:rFonts w:ascii="Times New Roman" w:hAnsi="Times New Roman"/>
          <w:sz w:val="24"/>
        </w:rPr>
        <w:br/>
        <w:t>Tieto údaje uchováva a zasiela vlastník budovy v súlade s článkom R. 172-8 stavebného a bytového zákona.</w:t>
      </w:r>
    </w:p>
    <w:p w14:paraId="05FDD083"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Hlava III: TEPELNÉ CHARAKTERISTIKY A POŽIADAVKY NA PROSTRIEDKY (JEDNOTLIVÉ KOMPONENTY) (články 19 až 40)</w:t>
      </w:r>
    </w:p>
    <w:p w14:paraId="7534EF07"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Kapitola VII: OVEROVANIE VLASTNOSTÍ PO VYKONANÍ PRÁC (články 19 až 20)</w:t>
      </w:r>
    </w:p>
    <w:p w14:paraId="0AC2DDA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19</w:t>
      </w:r>
    </w:p>
    <w:p w14:paraId="70BDF7C1"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 prípade samostatných alebo spojených domov a kolektívnych obytných budov musí byť priepustnosť vzduchu plášťa budovy pod 4 Pa, Q4Pa-surf, určená v súlade s článkom 17, menšia alebo rovná:</w:t>
      </w:r>
      <w:r>
        <w:rPr>
          <w:rFonts w:ascii="Times New Roman" w:hAnsi="Times New Roman"/>
          <w:sz w:val="24"/>
        </w:rPr>
        <w:br/>
        <w:t>0,60 m³/(h.m²) stien odolných proti stratám, s výnimkou nízkych podlaží, v samostatných alebo spojených domoch.</w:t>
      </w:r>
      <w:r>
        <w:rPr>
          <w:rFonts w:ascii="Times New Roman" w:hAnsi="Times New Roman"/>
          <w:sz w:val="24"/>
        </w:rPr>
        <w:br/>
        <w:t>1,00 m³/(h.m²) stien odolných proti stratám, s výnimkou nízkych podlaží, v kolektívnej obytnej budove.</w:t>
      </w:r>
    </w:p>
    <w:p w14:paraId="42D687C5"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20</w:t>
      </w:r>
    </w:p>
    <w:p w14:paraId="3B2376B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 budovách a častiach budov na obytné účely, aby sa zabezpečilo ich správne fungovanie, musí každý vetrací systém v budove skontrolovať a zmerať jeho vlastnosti osoba uznaná za spôsobilú ministrom zodpovedným za výstavbu v súlade s ustanoveniami uvedenými v prílohe VIII. Musí to byť v súlade s overovacím protokolom vetracieho systému uvedeným v tej istej prílohe.</w:t>
      </w:r>
    </w:p>
    <w:p w14:paraId="5A8D54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Kapitola VIII: TEPELNÁ IZOLÁCIA (články 21 až 22)</w:t>
      </w:r>
    </w:p>
    <w:p w14:paraId="7AE5B69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21</w:t>
      </w:r>
    </w:p>
    <w:p w14:paraId="599AF0E2"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Priečky, ktoré oddeľujú časti budov s nepretržitou obsadenosťou od častí budov s nesúvislou obsadenosťou, musia mať koeficient prenosu tepla U vymedzený v metóde výpočtu uvedenej v článku 8, ktorý nesmie prekročiť priemernú hodnotu 0,36 W/(m².K). Plocha, o ktorej sa tu uvažuje, je povrchová plocha vyššie uvedených priečok.</w:t>
      </w:r>
    </w:p>
    <w:p w14:paraId="2817FE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Článok 22</w:t>
      </w:r>
    </w:p>
    <w:p w14:paraId="3B7CB3F1" w14:textId="0535A269"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Aby sa predišlo akémukoľvek riziku fyzikálnej alebo mikrobiologickej degradácie materiálov, ako je sadanie izolácie alebo tvorba plesní, každá budova alebo časť budovy musia byť navrhnuté a postavené tak, aby sa za normálnych podmienok obsadenosti zabránilo akejkoľvek situácii, ktorá môže viesť k vzniku kondenzácie na povrchu alebo vo vnútri stien, a to buď v jednom výskyte, alebo distribuovaným spôsobom, pokiaľ takáto kondenzácia nie je len dočasná.</w:t>
      </w:r>
      <w:r>
        <w:rPr>
          <w:rFonts w:ascii="Times New Roman" w:hAnsi="Times New Roman"/>
          <w:sz w:val="24"/>
        </w:rPr>
        <w:br/>
        <w:t>Na tento účel musí spĺňať jednu z požiadaviek ods. I alebo II tohto článku:</w:t>
      </w:r>
      <w:r>
        <w:rPr>
          <w:rFonts w:ascii="Times New Roman" w:hAnsi="Times New Roman"/>
          <w:sz w:val="24"/>
        </w:rPr>
        <w:br/>
        <w:t xml:space="preserve">I. </w:t>
      </w:r>
      <w:r w:rsidR="006D398E">
        <w:rPr>
          <w:rFonts w:ascii="Times New Roman" w:hAnsi="Times New Roman"/>
          <w:sz w:val="24"/>
        </w:rPr>
        <w:t>-</w:t>
      </w:r>
      <w:r>
        <w:rPr>
          <w:rFonts w:ascii="Times New Roman" w:hAnsi="Times New Roman"/>
          <w:sz w:val="24"/>
        </w:rPr>
        <w:t xml:space="preserve"> V zimných podmienkach má povrchovú teplotu na vnútornej strane a na vnútornej strane izolácie vo všetkých bodoch týchto povrchov vyššiu ako 15 °C.</w:t>
      </w:r>
      <w:r>
        <w:rPr>
          <w:rFonts w:ascii="Times New Roman" w:hAnsi="Times New Roman"/>
          <w:sz w:val="24"/>
        </w:rPr>
        <w:br/>
        <w:t xml:space="preserve">II. </w:t>
      </w:r>
      <w:r w:rsidR="006D398E">
        <w:rPr>
          <w:rFonts w:ascii="Times New Roman" w:hAnsi="Times New Roman"/>
          <w:sz w:val="24"/>
        </w:rPr>
        <w:t>-</w:t>
      </w:r>
      <w:r>
        <w:rPr>
          <w:rFonts w:ascii="Times New Roman" w:hAnsi="Times New Roman"/>
          <w:sz w:val="24"/>
        </w:rPr>
        <w:t xml:space="preserve"> Súčasne spĺňa tieto požiadavky:</w:t>
      </w:r>
    </w:p>
    <w:p w14:paraId="3A1005BC" w14:textId="3A9ACB1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D398E">
        <w:rPr>
          <w:rFonts w:ascii="Times New Roman" w:hAnsi="Times New Roman"/>
          <w:sz w:val="24"/>
        </w:rPr>
        <w:t>-</w:t>
      </w:r>
      <w:r>
        <w:rPr>
          <w:rFonts w:ascii="Times New Roman" w:hAnsi="Times New Roman"/>
          <w:sz w:val="24"/>
        </w:rPr>
        <w:t xml:space="preserve"> celkový priemerný lineárny pomer prenosu tepla, Ratio ψ, tepelných mostov budovy by nemal presiahnuť 0,33 W/(m²Sref. K).</w:t>
      </w:r>
    </w:p>
    <w:p w14:paraId="13B8C75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Tento pomer predstavuje tepelné straty všetkých tepelných mostov budov vo vzťahu k referenčnej ploche budovy. Určí sa v súlade s metódou výpočtu uvedenou v článku 8.</w:t>
      </w:r>
    </w:p>
    <w:p w14:paraId="32C3A6AD" w14:textId="0D793291"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6D398E">
        <w:rPr>
          <w:rFonts w:ascii="Times New Roman" w:hAnsi="Times New Roman"/>
          <w:sz w:val="24"/>
        </w:rPr>
        <w:t>-</w:t>
      </w:r>
      <w:r>
        <w:rPr>
          <w:rFonts w:ascii="Times New Roman" w:hAnsi="Times New Roman"/>
          <w:sz w:val="24"/>
        </w:rPr>
        <w:t xml:space="preserve"> priemerný lineárny koeficient prenosu tepla spojov medzi medzipodlažiami a vonkajšími stenami alebo stenami smerujúcimi do nevykurovanej miestnosti, Ψ 9, nesmie presiahnuť 0,6 W/(lineárny m. K).</w:t>
      </w:r>
    </w:p>
    <w:p w14:paraId="16DE076D"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Kapitola IX: PRÍSTUP K PRIRODZENÉMU SVETLU (článok 23)</w:t>
      </w:r>
    </w:p>
    <w:p w14:paraId="5ECFAC8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23</w:t>
      </w:r>
    </w:p>
    <w:p w14:paraId="6019846A" w14:textId="7FC5682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 cieľom zabezpečiť dostatočné prirodzené svetlo a výhľad von musia obytné budovy spĺňať jednu z požiadaviek stanovených v ods. I alebo II tohto článku.</w:t>
      </w:r>
      <w:r>
        <w:rPr>
          <w:rFonts w:ascii="Times New Roman" w:hAnsi="Times New Roman"/>
          <w:sz w:val="24"/>
        </w:rPr>
        <w:br/>
        <w:t xml:space="preserve">I. </w:t>
      </w:r>
      <w:r w:rsidR="00834ABF">
        <w:rPr>
          <w:rFonts w:ascii="Times New Roman" w:hAnsi="Times New Roman"/>
          <w:sz w:val="24"/>
        </w:rPr>
        <w:t>-</w:t>
      </w:r>
      <w:r>
        <w:rPr>
          <w:rFonts w:ascii="Times New Roman" w:hAnsi="Times New Roman"/>
          <w:sz w:val="24"/>
        </w:rPr>
        <w:t xml:space="preserve"> Každé obydlie by malo mať všetky tieto vlastnosti:</w:t>
      </w:r>
    </w:p>
    <w:p w14:paraId="4DF9AF26" w14:textId="35283A3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834ABF">
        <w:rPr>
          <w:rFonts w:ascii="Times New Roman" w:hAnsi="Times New Roman"/>
          <w:sz w:val="24"/>
        </w:rPr>
        <w:t>-</w:t>
      </w:r>
      <w:r>
        <w:rPr>
          <w:rFonts w:ascii="Times New Roman" w:hAnsi="Times New Roman"/>
          <w:sz w:val="24"/>
        </w:rPr>
        <w:t xml:space="preserve"> úroveň osvetlenia najmenej 300 lx v 50% obytných priestorov, s výnimkou priestorov s dočasným obsadením, počas viac ako polovice hodín denného svetla v roku;</w:t>
      </w:r>
      <w:r>
        <w:rPr>
          <w:rFonts w:ascii="Times New Roman" w:hAnsi="Times New Roman"/>
          <w:sz w:val="24"/>
        </w:rPr>
        <w:br/>
      </w:r>
      <w:r w:rsidR="00834ABF">
        <w:rPr>
          <w:rFonts w:ascii="Times New Roman" w:hAnsi="Times New Roman"/>
          <w:sz w:val="24"/>
        </w:rPr>
        <w:t>-</w:t>
      </w:r>
      <w:r>
        <w:rPr>
          <w:rFonts w:ascii="Times New Roman" w:hAnsi="Times New Roman"/>
          <w:sz w:val="24"/>
        </w:rPr>
        <w:t xml:space="preserve"> úroveň osvetlenia najmenej 100 lx v 95 % obytných priestorov, s výnimkou priestorov s dočasným obsadením, počas viac ako polovice hodín denného svetla v roku;</w:t>
      </w:r>
      <w:r>
        <w:rPr>
          <w:rFonts w:ascii="Times New Roman" w:hAnsi="Times New Roman"/>
          <w:sz w:val="24"/>
        </w:rPr>
        <w:br/>
      </w:r>
      <w:r w:rsidR="00834ABF">
        <w:rPr>
          <w:rFonts w:ascii="Times New Roman" w:hAnsi="Times New Roman"/>
          <w:sz w:val="24"/>
        </w:rPr>
        <w:t>-</w:t>
      </w:r>
      <w:r>
        <w:rPr>
          <w:rFonts w:ascii="Times New Roman" w:hAnsi="Times New Roman"/>
          <w:sz w:val="24"/>
        </w:rPr>
        <w:t xml:space="preserve"> aspoň v jednom obytnom priestore v zmysle R. 111-1 stavebného a bytového zákona má obyvateľ vo vzdialenosti najmenej 1 meter od fasády výhľad von vrátane oblohy aj obzoru.</w:t>
      </w:r>
    </w:p>
    <w:p w14:paraId="7EC11A12" w14:textId="2FB6EE3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834ABF">
        <w:rPr>
          <w:rFonts w:ascii="Times New Roman" w:hAnsi="Times New Roman"/>
          <w:sz w:val="24"/>
        </w:rPr>
        <w:t>-</w:t>
      </w:r>
      <w:r>
        <w:rPr>
          <w:rFonts w:ascii="Times New Roman" w:hAnsi="Times New Roman"/>
          <w:sz w:val="24"/>
        </w:rPr>
        <w:t xml:space="preserve"> Celková plocha otvorov, meraná v tabuľke, je väčšia alebo rovná 1/6 </w:t>
      </w:r>
      <w:r>
        <w:rPr>
          <w:rFonts w:ascii="Times New Roman" w:hAnsi="Times New Roman"/>
          <w:sz w:val="24"/>
        </w:rPr>
        <w:lastRenderedPageBreak/>
        <w:t>referenčnej plochy.</w:t>
      </w:r>
      <w:r>
        <w:rPr>
          <w:rFonts w:ascii="Times New Roman" w:hAnsi="Times New Roman"/>
          <w:sz w:val="24"/>
        </w:rPr>
        <w:br/>
        <w:t>Ak je dostupná plocha fasády budovy menšia ako polovica obytnej plochy budovy, alebo ak je priemerná obytná plocha obytných priestorov v budove menšia ako 25 m², môže mať namiesto predchádzajúcich požiadaviek celkovú plochu otvorov, meranú v tabuľke, väčšiu alebo rovnajúcu sa jednej tretine dostupnej plochy fasády.</w:t>
      </w:r>
      <w:r>
        <w:rPr>
          <w:rFonts w:ascii="Times New Roman" w:hAnsi="Times New Roman"/>
          <w:sz w:val="24"/>
        </w:rPr>
        <w:br/>
        <w:t>Tento článok sa neuplatňuje v prípadoch, keby jeho dodržiavanie bolo v rozpore s územnými povoleniami v chránených oblastiach, pásmach ochrany architektonického, urbanistického a krajinného dedičstva alebo pásmach zveľaďovania architektúry a dedičstva, v okolí historických pamiatok, registrovaných a klasifikovaných lokalitách, lokalitách uvedených v zozname svetového dedičstva UNESCO alebo v prípade akejkoľvek inej ochrany nariadenej miestnymi orgánmi, ako aj na miestach a v oblastiach určených podľa článku L. 151-19 zákonníka o územnom plánovaní.</w:t>
      </w:r>
    </w:p>
    <w:p w14:paraId="51121980"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Kapitola X: TEPELNÝ KOMFORT V LETE (články 24 až 25)</w:t>
      </w:r>
    </w:p>
    <w:p w14:paraId="3E6932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24</w:t>
      </w:r>
    </w:p>
    <w:p w14:paraId="64B6805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S výnimkou otvorov v miestnostiach s dočasnou obsadenosťou majú otvory solárny faktor menší alebo rovný solárnemu faktoru stanovenému v nasledujúcej tabuľke, pričom prípadné slnečné tienenie sa posudzuje v úplne roztiahnutej polohe: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1"/>
        <w:gridCol w:w="1886"/>
        <w:gridCol w:w="2247"/>
        <w:gridCol w:w="2262"/>
      </w:tblGrid>
      <w:tr w:rsidR="001E2566" w:rsidRPr="001E2566" w14:paraId="66A940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865CEC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Zóny H2a</w:t>
            </w:r>
          </w:p>
        </w:tc>
        <w:tc>
          <w:tcPr>
            <w:tcW w:w="0" w:type="auto"/>
            <w:tcBorders>
              <w:top w:val="outset" w:sz="6" w:space="0" w:color="auto"/>
              <w:left w:val="outset" w:sz="6" w:space="0" w:color="auto"/>
              <w:bottom w:val="outset" w:sz="6" w:space="0" w:color="auto"/>
              <w:right w:val="outset" w:sz="6" w:space="0" w:color="auto"/>
            </w:tcBorders>
            <w:vAlign w:val="bottom"/>
            <w:hideMark/>
          </w:tcPr>
          <w:p w14:paraId="04BADEAC"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Všetky nadmorské výšky</w:t>
            </w:r>
          </w:p>
        </w:tc>
        <w:tc>
          <w:tcPr>
            <w:tcW w:w="0" w:type="auto"/>
            <w:tcBorders>
              <w:top w:val="outset" w:sz="6" w:space="0" w:color="auto"/>
              <w:left w:val="outset" w:sz="6" w:space="0" w:color="auto"/>
              <w:bottom w:val="outset" w:sz="6" w:space="0" w:color="auto"/>
              <w:right w:val="outset" w:sz="6" w:space="0" w:color="auto"/>
            </w:tcBorders>
            <w:vAlign w:val="bottom"/>
            <w:hideMark/>
          </w:tcPr>
          <w:p w14:paraId="0FFD24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bottom"/>
            <w:hideMark/>
          </w:tcPr>
          <w:p w14:paraId="7D66AA89" w14:textId="77777777" w:rsidR="001E2566" w:rsidRPr="001E2566" w:rsidRDefault="001E2566" w:rsidP="001E2566">
            <w:pPr>
              <w:spacing w:after="0" w:line="240" w:lineRule="auto"/>
              <w:jc w:val="center"/>
              <w:rPr>
                <w:rFonts w:ascii="Times New Roman" w:eastAsia="Times New Roman" w:hAnsi="Times New Roman" w:cs="Times New Roman"/>
                <w:sz w:val="20"/>
                <w:szCs w:val="20"/>
                <w:lang w:eastAsia="fr-FR"/>
              </w:rPr>
            </w:pPr>
          </w:p>
        </w:tc>
      </w:tr>
      <w:tr w:rsidR="001E2566" w:rsidRPr="001E2566" w14:paraId="2FBEBB7F"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23373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Zóny H1a, H1b a H2b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0BC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Nadmorská výška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C6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Nadmorská výška &lt; alebo =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E06E"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1BF8F8D"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2BC164"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Zóny H1c a H2c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F36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Nadmorská výška &gt;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29E8"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Nadmorská výška &lt; alebo = 800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8764F" w14:textId="77777777" w:rsidR="001E2566" w:rsidRPr="001E2566" w:rsidRDefault="001E2566" w:rsidP="001E2566">
            <w:pPr>
              <w:spacing w:after="0" w:line="240" w:lineRule="auto"/>
              <w:jc w:val="center"/>
              <w:rPr>
                <w:rFonts w:ascii="Times New Roman" w:eastAsia="Times New Roman" w:hAnsi="Times New Roman" w:cs="Times New Roman"/>
                <w:sz w:val="24"/>
                <w:szCs w:val="24"/>
                <w:lang w:eastAsia="fr-FR"/>
              </w:rPr>
            </w:pPr>
          </w:p>
        </w:tc>
      </w:tr>
      <w:tr w:rsidR="001E2566" w:rsidRPr="001E2566" w14:paraId="407775A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F2E40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Zóny H2d a H3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EEB6" w14:textId="77777777" w:rsidR="001E2566" w:rsidRPr="001E2566" w:rsidRDefault="001E2566" w:rsidP="001E2566">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899F4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Nadmorská výška &gt; 400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F19A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Nadmorská výška &lt; alebo = 400 m</w:t>
            </w:r>
          </w:p>
        </w:tc>
      </w:tr>
      <w:tr w:rsidR="001E2566" w:rsidRPr="001E2566" w14:paraId="5905A079"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EA6A8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1. Exponované otvory BR1 – miestnosti určené na spanie</w:t>
            </w:r>
          </w:p>
        </w:tc>
      </w:tr>
      <w:tr w:rsidR="001E2566" w:rsidRPr="001E2566" w14:paraId="0514104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EA1D3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Vertikálny otvor otočený na sever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D052"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D7F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1A7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6C03345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07815"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Vertikálny otvor iný ako otočený na sever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C21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23EA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6DE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781509DB"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FAF0A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Horizontálny otvor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E04D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D6AD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FB7E"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4C4C27A0"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A2804C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lastRenderedPageBreak/>
              <w:br/>
              <w:t>2. Exponované otvory BR2 alebo BR3 – miestnosti určené na spanie</w:t>
            </w:r>
          </w:p>
        </w:tc>
      </w:tr>
      <w:tr w:rsidR="001E2566" w:rsidRPr="001E2566" w14:paraId="287CCF21"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98FD18"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Vertikálny otvor otočený na sever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3EA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9C08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C595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1C9E635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DB03"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Vertikálny otvor iný ako otočený na sever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DA8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36D9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4E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16B1DA0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55EBC2"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Horizontálny otvor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1B3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C72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5EEAA"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0,10</w:t>
            </w:r>
          </w:p>
        </w:tc>
      </w:tr>
      <w:tr w:rsidR="001E2566" w:rsidRPr="001E2566" w14:paraId="25A5610F"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0547E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3. Exponované otvory BR1 – miestnosti iné ako určené na spanie</w:t>
            </w:r>
          </w:p>
        </w:tc>
      </w:tr>
      <w:tr w:rsidR="001E2566" w:rsidRPr="001E2566" w14:paraId="17A4DC1E"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894FF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Vertikálny otvor iný ako otočený na sever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B16B"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3029"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96A0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22F84EE0"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9D3B60"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Horizontálny otvor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B887F"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59F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11F1"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r w:rsidR="001E2566" w:rsidRPr="001E2566" w14:paraId="561D3B23" w14:textId="77777777" w:rsidTr="001E256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AF6B8D3"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4. Exponované otvory BR2 alebo BR3 – miestnosti iné ako určené na spanie</w:t>
            </w:r>
          </w:p>
        </w:tc>
      </w:tr>
      <w:tr w:rsidR="001E2566" w:rsidRPr="001E2566" w14:paraId="37678578"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72884E"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Vertikálny otvor iný ako otočený na sever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E2F7"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6F445"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F36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r>
      <w:tr w:rsidR="001E2566" w:rsidRPr="001E2566" w14:paraId="52242EF2" w14:textId="77777777" w:rsidTr="001E256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781859" w14:textId="77777777" w:rsidR="001E2566" w:rsidRPr="001E2566" w:rsidRDefault="001E2566" w:rsidP="001E2566">
            <w:pPr>
              <w:spacing w:after="0" w:line="240" w:lineRule="auto"/>
              <w:rPr>
                <w:rFonts w:ascii="Times New Roman" w:eastAsia="Times New Roman" w:hAnsi="Times New Roman" w:cs="Times New Roman"/>
                <w:sz w:val="24"/>
                <w:szCs w:val="24"/>
              </w:rPr>
            </w:pPr>
            <w:r>
              <w:rPr>
                <w:rFonts w:ascii="Times New Roman" w:hAnsi="Times New Roman"/>
                <w:sz w:val="24"/>
              </w:rPr>
              <w:br/>
              <w:t>Horizontálny otvor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DA50"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E994"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ECDA6" w14:textId="77777777" w:rsidR="001E2566" w:rsidRPr="001E2566" w:rsidRDefault="001E2566" w:rsidP="001E2566">
            <w:pPr>
              <w:spacing w:after="0" w:line="240" w:lineRule="auto"/>
              <w:jc w:val="center"/>
              <w:rPr>
                <w:rFonts w:ascii="Times New Roman" w:eastAsia="Times New Roman" w:hAnsi="Times New Roman" w:cs="Times New Roman"/>
                <w:sz w:val="24"/>
                <w:szCs w:val="24"/>
              </w:rPr>
            </w:pPr>
            <w:r>
              <w:rPr>
                <w:rFonts w:ascii="Times New Roman" w:hAnsi="Times New Roman"/>
                <w:sz w:val="24"/>
              </w:rPr>
              <w:br/>
              <w:t>0,15</w:t>
            </w:r>
          </w:p>
        </w:tc>
      </w:tr>
    </w:tbl>
    <w:p w14:paraId="5129EB5B"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Na otvory, ktoré nie sú od apríla do októbra vystavené priamemu slnečnému žiareniu v dôsledku vzdialeného slnečného tienenia, sa môžu uplatňovať len požiadavky na otvory otočené na sever.</w:t>
      </w:r>
    </w:p>
    <w:p w14:paraId="5036DC0C"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25</w:t>
      </w:r>
    </w:p>
    <w:p w14:paraId="63A497F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Otvory v tej istej miestnosti, okrem miestností s dočasnou obsadenosťou, by sa mali otvárať aspoň na 30 % ich plochy, pokiaľ to nezakazujú hygienické alebo bezpečnostné predpisy. Tento limit sa zníži na 10 % v prípade miestností, v ktorých je rozdiel nadmorskej výšky medzi najnižším bodom najnižšieho otvoru a najvyšším bodom jeho najvyššieho otvoru rovný alebo väčší ako 4 m.</w:t>
      </w:r>
    </w:p>
    <w:p w14:paraId="3C66D63E"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Kapitola XI: SPOTREBA ENERGIE (články 26 až 28)</w:t>
      </w:r>
    </w:p>
    <w:p w14:paraId="5035D77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26</w:t>
      </w:r>
    </w:p>
    <w:p w14:paraId="3C990E3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Akákoľvek automatizácia, ktorá má za následok zvýšenie spotreby energie:</w:t>
      </w:r>
    </w:p>
    <w:p w14:paraId="56C2F6BF" w14:textId="0CAF43D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r>
      <w:r w:rsidR="00CA52F7">
        <w:rPr>
          <w:rFonts w:ascii="Times New Roman" w:hAnsi="Times New Roman"/>
          <w:sz w:val="24"/>
        </w:rPr>
        <w:t>-</w:t>
      </w:r>
      <w:r>
        <w:rPr>
          <w:rFonts w:ascii="Times New Roman" w:hAnsi="Times New Roman"/>
          <w:sz w:val="24"/>
        </w:rPr>
        <w:t xml:space="preserve"> je navrhnutá a implementovaná tak, aby sa automatizácia aktivovala len v prípade potreby;</w:t>
      </w:r>
      <w:r>
        <w:rPr>
          <w:rFonts w:ascii="Times New Roman" w:hAnsi="Times New Roman"/>
          <w:sz w:val="24"/>
        </w:rPr>
        <w:br/>
      </w:r>
      <w:r w:rsidR="00CA52F7">
        <w:rPr>
          <w:rFonts w:ascii="Times New Roman" w:hAnsi="Times New Roman"/>
          <w:sz w:val="24"/>
        </w:rPr>
        <w:t>-</w:t>
      </w:r>
      <w:r>
        <w:rPr>
          <w:rFonts w:ascii="Times New Roman" w:hAnsi="Times New Roman"/>
          <w:sz w:val="24"/>
        </w:rPr>
        <w:t xml:space="preserve"> musí byť načasovaná alebo naprogramovaná tak, aby sa automaticky zastavilo zvyšovanie spotreby energie, hneď ako to už nie je potrebné;</w:t>
      </w:r>
      <w:r>
        <w:rPr>
          <w:rFonts w:ascii="Times New Roman" w:hAnsi="Times New Roman"/>
          <w:sz w:val="24"/>
        </w:rPr>
        <w:br/>
      </w:r>
      <w:r w:rsidR="00CA52F7">
        <w:rPr>
          <w:rFonts w:ascii="Times New Roman" w:hAnsi="Times New Roman"/>
          <w:sz w:val="24"/>
        </w:rPr>
        <w:t>-</w:t>
      </w:r>
      <w:r>
        <w:rPr>
          <w:rFonts w:ascii="Times New Roman" w:hAnsi="Times New Roman"/>
          <w:sz w:val="24"/>
        </w:rPr>
        <w:t xml:space="preserve"> môže byť prispôsobená budúcim správcom budovy podľa obsadenosti budovy.</w:t>
      </w:r>
    </w:p>
    <w:p w14:paraId="1080E205"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Automatizácia umožňuje automatické aktivovanie umelého osvetlenia v domácnostiach, kanceláriách, zasadacích miestnostiach, triedach a vo viacúčelových miestnostiach len po manuálnom zásahu užívateľa v príslušnej miestnosti alebo v jej bezprostrednej blízkosti, vykonanom menej ako 6 hodín predtým.</w:t>
      </w:r>
    </w:p>
    <w:p w14:paraId="3B6B8B1F"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27</w:t>
      </w:r>
    </w:p>
    <w:p w14:paraId="27C4EBA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Budovy alebo časti budov na obytné účely musia byť vybavené systémami umožňujúcimi meranie alebo odhad spotreby energie v každom obydlí, s výnimkou spotreby jednotlivých systémov na spaľovanie dreva v samostatných alebo spojených domoch.</w:t>
      </w:r>
      <w:r>
        <w:rPr>
          <w:rFonts w:ascii="Times New Roman" w:hAnsi="Times New Roman"/>
          <w:sz w:val="24"/>
        </w:rPr>
        <w:br/>
        <w:t>V prípade kolektívnej výroby energie sa pod pojmom „energia spotrebovaná obydlím“ rozumie podiel celkovej spotreby energie vyhradenej tomuto obydliu podľa distribučného kľúča, ktorý určí vlastník budovy počas výstavby budovy.</w:t>
      </w:r>
      <w:r>
        <w:rPr>
          <w:rFonts w:ascii="Times New Roman" w:hAnsi="Times New Roman"/>
          <w:sz w:val="24"/>
        </w:rPr>
        <w:br/>
        <w:t>Vďaka týmto systémom môžu byť obyvatelia aspoň raz mesačne informovaní o svojej spotrebe energie.</w:t>
      </w:r>
      <w:r>
        <w:rPr>
          <w:rFonts w:ascii="Times New Roman" w:hAnsi="Times New Roman"/>
          <w:sz w:val="24"/>
        </w:rPr>
        <w:br/>
        <w:t>Tieto informácie sa poskytujú v obytnom priestore podľa typu energie, rozčlenené aspoň takto:</w:t>
      </w:r>
    </w:p>
    <w:p w14:paraId="4891DCEE" w14:textId="661317C3"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45878">
        <w:rPr>
          <w:rFonts w:ascii="Times New Roman" w:hAnsi="Times New Roman"/>
          <w:sz w:val="24"/>
        </w:rPr>
        <w:t>-</w:t>
      </w:r>
      <w:r>
        <w:rPr>
          <w:rFonts w:ascii="Times New Roman" w:hAnsi="Times New Roman"/>
          <w:sz w:val="24"/>
        </w:rPr>
        <w:t xml:space="preserve"> vykurovanie;</w:t>
      </w:r>
      <w:r>
        <w:rPr>
          <w:rFonts w:ascii="Times New Roman" w:hAnsi="Times New Roman"/>
          <w:sz w:val="24"/>
        </w:rPr>
        <w:br/>
      </w:r>
      <w:r w:rsidR="00345878">
        <w:rPr>
          <w:rFonts w:ascii="Times New Roman" w:hAnsi="Times New Roman"/>
          <w:sz w:val="24"/>
        </w:rPr>
        <w:t>-</w:t>
      </w:r>
      <w:r>
        <w:rPr>
          <w:rFonts w:ascii="Times New Roman" w:hAnsi="Times New Roman"/>
          <w:sz w:val="24"/>
        </w:rPr>
        <w:t xml:space="preserve"> chladenie;</w:t>
      </w:r>
      <w:r>
        <w:rPr>
          <w:rFonts w:ascii="Times New Roman" w:hAnsi="Times New Roman"/>
          <w:sz w:val="24"/>
        </w:rPr>
        <w:br/>
      </w:r>
      <w:r w:rsidR="00345878">
        <w:rPr>
          <w:rFonts w:ascii="Times New Roman" w:hAnsi="Times New Roman"/>
          <w:sz w:val="24"/>
        </w:rPr>
        <w:t>-</w:t>
      </w:r>
      <w:r>
        <w:rPr>
          <w:rFonts w:ascii="Times New Roman" w:hAnsi="Times New Roman"/>
          <w:sz w:val="24"/>
        </w:rPr>
        <w:t xml:space="preserve"> výroba teplej úžitkovej vody;</w:t>
      </w:r>
      <w:r>
        <w:rPr>
          <w:rFonts w:ascii="Times New Roman" w:hAnsi="Times New Roman"/>
          <w:sz w:val="24"/>
        </w:rPr>
        <w:br/>
      </w:r>
      <w:r w:rsidR="00345878">
        <w:rPr>
          <w:rFonts w:ascii="Times New Roman" w:hAnsi="Times New Roman"/>
          <w:sz w:val="24"/>
        </w:rPr>
        <w:t>-</w:t>
      </w:r>
      <w:r>
        <w:rPr>
          <w:rFonts w:ascii="Times New Roman" w:hAnsi="Times New Roman"/>
          <w:sz w:val="24"/>
        </w:rPr>
        <w:t xml:space="preserve"> sieťové zásuvky;</w:t>
      </w:r>
      <w:r>
        <w:rPr>
          <w:rFonts w:ascii="Times New Roman" w:hAnsi="Times New Roman"/>
          <w:sz w:val="24"/>
        </w:rPr>
        <w:br/>
      </w:r>
      <w:r w:rsidR="00345878">
        <w:rPr>
          <w:rFonts w:ascii="Times New Roman" w:hAnsi="Times New Roman"/>
          <w:sz w:val="24"/>
        </w:rPr>
        <w:t>-</w:t>
      </w:r>
      <w:r>
        <w:rPr>
          <w:rFonts w:ascii="Times New Roman" w:hAnsi="Times New Roman"/>
          <w:sz w:val="24"/>
        </w:rPr>
        <w:t xml:space="preserve"> iné.</w:t>
      </w:r>
    </w:p>
    <w:p w14:paraId="1ED5803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Toto členenie môže byť založené buď na nameraných údajoch, alebo na odhadovaných údajoch založených na vopred definovaných nastaveniach.</w:t>
      </w:r>
      <w:r>
        <w:rPr>
          <w:rFonts w:ascii="Times New Roman" w:hAnsi="Times New Roman"/>
          <w:sz w:val="24"/>
        </w:rPr>
        <w:br/>
        <w:t>V prípade vlastníka projektu, ktorý je zároveň budúcim vlastníkom a prenajímateľom postavenej budovy; najmä v prípade vlastníkov sociálnych nájomných bytov, sa však tieto informácie môžu poskytovať obyvateľom, a to aspoň raz mesačne, elektronickými alebo poštovými prostriedkami, a nie priamo v obytnom priestore.</w:t>
      </w:r>
      <w:r>
        <w:rPr>
          <w:rFonts w:ascii="Times New Roman" w:hAnsi="Times New Roman"/>
          <w:sz w:val="24"/>
        </w:rPr>
        <w:br/>
        <w:t>Preukázanie zohľadnenia tohto článku sa poskytne v súlade s usmerneniami s názvom Systémy merania alebo odhadu spotreby v obydliach, v ktorých sa špecifikujú postupy jeho uplatňovania.</w:t>
      </w:r>
    </w:p>
    <w:p w14:paraId="7FA37039"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28</w:t>
      </w:r>
    </w:p>
    <w:p w14:paraId="3C15432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Budovy alebo časti budov na iné ako obytné účely musia byť vybavené systémami umožňujúcimi meranie alebo výpočet spotreby energie:</w:t>
      </w:r>
    </w:p>
    <w:p w14:paraId="16BE002B" w14:textId="347081AA"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D0DC7">
        <w:rPr>
          <w:rFonts w:ascii="Times New Roman" w:hAnsi="Times New Roman"/>
          <w:sz w:val="24"/>
        </w:rPr>
        <w:t>-</w:t>
      </w:r>
      <w:r>
        <w:rPr>
          <w:rFonts w:ascii="Times New Roman" w:hAnsi="Times New Roman"/>
          <w:sz w:val="24"/>
        </w:rPr>
        <w:t xml:space="preserve"> na vykurovanie: pre každých 500 m² príslušnej plochy alebo pre každý elektrický panel, pre každé poschodie alebo pre každý priamy výstup;</w:t>
      </w:r>
      <w:r>
        <w:rPr>
          <w:rFonts w:ascii="Times New Roman" w:hAnsi="Times New Roman"/>
          <w:sz w:val="24"/>
        </w:rPr>
        <w:br/>
      </w:r>
      <w:r w:rsidR="003D0DC7">
        <w:rPr>
          <w:rFonts w:ascii="Times New Roman" w:hAnsi="Times New Roman"/>
          <w:sz w:val="24"/>
        </w:rPr>
        <w:t>-</w:t>
      </w:r>
      <w:r>
        <w:rPr>
          <w:rFonts w:ascii="Times New Roman" w:hAnsi="Times New Roman"/>
          <w:sz w:val="24"/>
        </w:rPr>
        <w:t xml:space="preserve"> na chladenie: pre každých 500 m² príslušnej plochy alebo pre každý elektrický panel, pre každé poschodie alebo pre každý priamy výstup;</w:t>
      </w:r>
      <w:r>
        <w:rPr>
          <w:rFonts w:ascii="Times New Roman" w:hAnsi="Times New Roman"/>
          <w:sz w:val="24"/>
        </w:rPr>
        <w:br/>
      </w:r>
      <w:r w:rsidR="003D0DC7">
        <w:rPr>
          <w:rFonts w:ascii="Times New Roman" w:hAnsi="Times New Roman"/>
          <w:sz w:val="24"/>
        </w:rPr>
        <w:t>-</w:t>
      </w:r>
      <w:r>
        <w:rPr>
          <w:rFonts w:ascii="Times New Roman" w:hAnsi="Times New Roman"/>
          <w:sz w:val="24"/>
        </w:rPr>
        <w:t xml:space="preserve"> na výrobu teplej úžitkovej vody;</w:t>
      </w:r>
      <w:r>
        <w:rPr>
          <w:rFonts w:ascii="Times New Roman" w:hAnsi="Times New Roman"/>
          <w:sz w:val="24"/>
        </w:rPr>
        <w:br/>
      </w:r>
      <w:r w:rsidR="003D0DC7">
        <w:rPr>
          <w:rFonts w:ascii="Times New Roman" w:hAnsi="Times New Roman"/>
          <w:sz w:val="24"/>
        </w:rPr>
        <w:t>-</w:t>
      </w:r>
      <w:r>
        <w:rPr>
          <w:rFonts w:ascii="Times New Roman" w:hAnsi="Times New Roman"/>
          <w:sz w:val="24"/>
        </w:rPr>
        <w:t xml:space="preserve"> na osvetlenie: pre každých 500 m² príslušnej plochy alebo pre každý elektrický panel alebo pre každé poschodie;</w:t>
      </w:r>
      <w:r>
        <w:rPr>
          <w:rFonts w:ascii="Times New Roman" w:hAnsi="Times New Roman"/>
          <w:sz w:val="24"/>
        </w:rPr>
        <w:br/>
      </w:r>
      <w:r w:rsidR="003D0DC7">
        <w:rPr>
          <w:rFonts w:ascii="Times New Roman" w:hAnsi="Times New Roman"/>
          <w:sz w:val="24"/>
        </w:rPr>
        <w:t>-</w:t>
      </w:r>
      <w:r>
        <w:rPr>
          <w:rFonts w:ascii="Times New Roman" w:hAnsi="Times New Roman"/>
          <w:sz w:val="24"/>
        </w:rPr>
        <w:t xml:space="preserve"> pre sieť elektrických zásuviek: pre každých 500 m² príslušnej plochy alebo pre každý elektrický panel alebo pre každé poschodie;</w:t>
      </w:r>
      <w:r>
        <w:rPr>
          <w:rFonts w:ascii="Times New Roman" w:hAnsi="Times New Roman"/>
          <w:sz w:val="24"/>
        </w:rPr>
        <w:br/>
      </w:r>
      <w:r w:rsidR="003D0DC7">
        <w:rPr>
          <w:rFonts w:ascii="Times New Roman" w:hAnsi="Times New Roman"/>
          <w:sz w:val="24"/>
        </w:rPr>
        <w:t>-</w:t>
      </w:r>
      <w:r>
        <w:rPr>
          <w:rFonts w:ascii="Times New Roman" w:hAnsi="Times New Roman"/>
          <w:sz w:val="24"/>
        </w:rPr>
        <w:t xml:space="preserve"> pre vetracie jednotky: pre každú jednotku;</w:t>
      </w:r>
      <w:r>
        <w:rPr>
          <w:rFonts w:ascii="Times New Roman" w:hAnsi="Times New Roman"/>
          <w:sz w:val="24"/>
        </w:rPr>
        <w:br/>
      </w:r>
      <w:r w:rsidR="003D0DC7">
        <w:rPr>
          <w:rFonts w:ascii="Times New Roman" w:hAnsi="Times New Roman"/>
          <w:sz w:val="24"/>
        </w:rPr>
        <w:t>-</w:t>
      </w:r>
      <w:r>
        <w:rPr>
          <w:rFonts w:ascii="Times New Roman" w:hAnsi="Times New Roman"/>
          <w:sz w:val="24"/>
        </w:rPr>
        <w:t xml:space="preserve"> pre každý priamy výstup viac ako 80 ampérov.</w:t>
      </w:r>
    </w:p>
    <w:p w14:paraId="121932A9"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Kapitola XII: VYKUROVANIE A CHLADENIE (články 29 až 34)</w:t>
      </w:r>
    </w:p>
    <w:p w14:paraId="6BB94A5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29</w:t>
      </w:r>
    </w:p>
    <w:p w14:paraId="3E6600B7"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Vykurovacie jednotky musia pre každú obsluhovanú miestnosť obsahovať jedno alebo viac zariadení, ktoré možno manuálne zastaviť alebo automaticky nastaviť podľa teploty v miestnosti.</w:t>
      </w:r>
      <w:r>
        <w:rPr>
          <w:rFonts w:ascii="Times New Roman" w:hAnsi="Times New Roman"/>
          <w:sz w:val="24"/>
        </w:rPr>
        <w:br/>
        <w:t>Ak je však vykurovanie zabezpečené teplovodným podlahovým kúrením s nízkou teplotou alebo fúkaným vzduchom alebo samostatným zariadením na spaľovanie dreva, toto zariadenie môže byť spoločné pre miestnosti s celkovou plochou maximálne 100 m².</w:t>
      </w:r>
      <w:r>
        <w:rPr>
          <w:rFonts w:ascii="Times New Roman" w:hAnsi="Times New Roman"/>
          <w:sz w:val="24"/>
        </w:rPr>
        <w:br/>
        <w:t>Automatické nastavenie sa naprogramuje tak, aby spĺňalo požiadavky článku R. 241-26 zákonníka o energetike.</w:t>
      </w:r>
    </w:p>
    <w:p w14:paraId="6A3631F0"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30</w:t>
      </w:r>
    </w:p>
    <w:p w14:paraId="3C26ACA3"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 prípade budov alebo častí budov na iné ako obytné účely musí každá vykurovacia jednotka obsluhujúca priestory s nesúvislou obsadenosťou zahŕňať zariadenie, ktoré možno manuálne ovládať a automaticky naprogramovať aspoň s použitím hodín, ktoré umožňuje:</w:t>
      </w:r>
    </w:p>
    <w:p w14:paraId="32B9CAFF" w14:textId="655DB8F5"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7F16B7">
        <w:rPr>
          <w:rFonts w:ascii="Times New Roman" w:hAnsi="Times New Roman"/>
          <w:sz w:val="24"/>
        </w:rPr>
        <w:t>-</w:t>
      </w:r>
      <w:r>
        <w:rPr>
          <w:rFonts w:ascii="Times New Roman" w:hAnsi="Times New Roman"/>
          <w:sz w:val="24"/>
        </w:rPr>
        <w:t xml:space="preserve"> dodávku tepla podľa týchto štyroch úrovní: tepelný komfort, nízka teplota, ochrana proti mrazu a odstavenie;</w:t>
      </w:r>
      <w:r>
        <w:rPr>
          <w:rFonts w:ascii="Times New Roman" w:hAnsi="Times New Roman"/>
          <w:sz w:val="24"/>
        </w:rPr>
        <w:br/>
      </w:r>
      <w:r w:rsidR="007F16B7">
        <w:rPr>
          <w:rFonts w:ascii="Times New Roman" w:hAnsi="Times New Roman"/>
          <w:sz w:val="24"/>
        </w:rPr>
        <w:t>-</w:t>
      </w:r>
      <w:r>
        <w:rPr>
          <w:rFonts w:ascii="Times New Roman" w:hAnsi="Times New Roman"/>
          <w:sz w:val="24"/>
        </w:rPr>
        <w:t xml:space="preserve"> automatické prepínanie medzi týmito úrovňami.</w:t>
      </w:r>
    </w:p>
    <w:p w14:paraId="1CAD740D"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Pri prepínaní medzi dvoma úrovňami musí byť vykurovací výkon nulový alebo maximálny, aby sa minimalizovalo trvanie prechodových fáz.</w:t>
      </w:r>
      <w:r>
        <w:rPr>
          <w:rFonts w:ascii="Times New Roman" w:hAnsi="Times New Roman"/>
          <w:sz w:val="24"/>
        </w:rPr>
        <w:br/>
        <w:t>Takéto zariadenie môže byť spoločné len pre priestory s podobnou obsadenosťou. Rovnaké zariadenie môže obsluhovať plochu najviac 5 000 m².</w:t>
      </w:r>
    </w:p>
    <w:p w14:paraId="4549E14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lastRenderedPageBreak/>
        <w:t>Článok 31</w:t>
      </w:r>
    </w:p>
    <w:p w14:paraId="3E54305E"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Kolektívne rozvody vody na vykurovanie alebo chladenie musia byť vybavené vyrovnávacou jednotkou na päte každého stĺpa.</w:t>
      </w:r>
      <w:r>
        <w:rPr>
          <w:rFonts w:ascii="Times New Roman" w:hAnsi="Times New Roman"/>
          <w:sz w:val="24"/>
        </w:rPr>
        <w:br/>
        <w:t>Čerpadlá vykurovacích a chladiacich zariadení sú vybavené zariadeniami, ktoré umožňujú ich zastavenie.</w:t>
      </w:r>
    </w:p>
    <w:p w14:paraId="3ED05C3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32</w:t>
      </w:r>
    </w:p>
    <w:p w14:paraId="5A6F850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Chladiace jednotky musia pre každú obsluhovanú miestnosť obsahovať jedno alebo viac zariadení, ktoré možno manuálne zastaviť a kde možno automaticky nastaviť dodávku chladu podľa teploty v miestnosti.</w:t>
      </w:r>
      <w:r>
        <w:rPr>
          <w:rFonts w:ascii="Times New Roman" w:hAnsi="Times New Roman"/>
          <w:sz w:val="24"/>
        </w:rPr>
        <w:br/>
        <w:t>Avšak:</w:t>
      </w:r>
    </w:p>
    <w:p w14:paraId="035004FD" w14:textId="38CAC760"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25146D">
        <w:rPr>
          <w:rFonts w:ascii="Times New Roman" w:hAnsi="Times New Roman"/>
          <w:sz w:val="24"/>
        </w:rPr>
        <w:t>-</w:t>
      </w:r>
      <w:r>
        <w:rPr>
          <w:rFonts w:ascii="Times New Roman" w:hAnsi="Times New Roman"/>
          <w:sz w:val="24"/>
        </w:rPr>
        <w:t xml:space="preserve"> ak sa chlad dodáva zo systému s premenlivým prietokom vzduchu, toto zariadenie môže byť spoločné pre miestnosti s celkovou plochou maximálne 100 m² za predpokladu, že regulácia celkového vyfukovaného prietoku sa vykonáva bez zvýšenia straty tlaku;</w:t>
      </w:r>
      <w:r>
        <w:rPr>
          <w:rFonts w:ascii="Times New Roman" w:hAnsi="Times New Roman"/>
          <w:sz w:val="24"/>
        </w:rPr>
        <w:br/>
      </w:r>
      <w:r w:rsidR="0025146D">
        <w:rPr>
          <w:rFonts w:ascii="Times New Roman" w:hAnsi="Times New Roman"/>
          <w:sz w:val="24"/>
        </w:rPr>
        <w:t>-</w:t>
      </w:r>
      <w:r>
        <w:rPr>
          <w:rFonts w:ascii="Times New Roman" w:hAnsi="Times New Roman"/>
          <w:sz w:val="24"/>
        </w:rPr>
        <w:t xml:space="preserve"> ak sa chlad dodáva z chladiacej podlahy, toto zariadenie môže byť spoločné pre miestnosti s celkovou plochou maximálne 100 m².</w:t>
      </w:r>
      <w:r>
        <w:rPr>
          <w:rFonts w:ascii="Times New Roman" w:hAnsi="Times New Roman"/>
          <w:sz w:val="24"/>
        </w:rPr>
        <w:br/>
      </w:r>
      <w:r w:rsidR="0025146D">
        <w:rPr>
          <w:rFonts w:ascii="Times New Roman" w:hAnsi="Times New Roman"/>
          <w:sz w:val="24"/>
        </w:rPr>
        <w:t>-</w:t>
      </w:r>
      <w:r>
        <w:rPr>
          <w:rFonts w:ascii="Times New Roman" w:hAnsi="Times New Roman"/>
          <w:sz w:val="24"/>
        </w:rPr>
        <w:t xml:space="preserve"> v prípade dvojtrubicových ventilátorových konvektorov určených len na chladenie sa požiadavka uvedená v odseku 1 považuje za splnenú, ak je každý ventilátor regulovaný vnútornou teplotou a zariadenia na výrobu a distribúciu studenej vody sú vybavené zariadením umožňujúcim ich programovanie;</w:t>
      </w:r>
      <w:r>
        <w:rPr>
          <w:rFonts w:ascii="Times New Roman" w:hAnsi="Times New Roman"/>
          <w:sz w:val="24"/>
        </w:rPr>
        <w:br/>
      </w:r>
      <w:r w:rsidR="0025146D">
        <w:rPr>
          <w:rFonts w:ascii="Times New Roman" w:hAnsi="Times New Roman"/>
          <w:sz w:val="24"/>
        </w:rPr>
        <w:t>-</w:t>
      </w:r>
      <w:r>
        <w:rPr>
          <w:rFonts w:ascii="Times New Roman" w:hAnsi="Times New Roman"/>
          <w:sz w:val="24"/>
        </w:rPr>
        <w:t xml:space="preserve"> v prípade budov alebo častí budovy chladených chladením čerstvého vzduchu bez zvýšenia prietokov upravených nad dvojnásobok prietokov podľa hygienických potrieb sa požiadavka uvedená v odseku 1 považuje za splnenú, ak je dodávka chladu na jednej strane regulovaná aspoň podľa teploty vratného vzduchu a vonkajšej teploty a na druhej strane je zakázaná počas období vykurovania.</w:t>
      </w:r>
    </w:p>
    <w:p w14:paraId="2FDC196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Automatické nastavenie sa naprogramuje tak, aby spĺňalo požiadavky článku R. 241-30 zákonníka o energetike.</w:t>
      </w:r>
    </w:p>
    <w:p w14:paraId="29C766CE"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33</w:t>
      </w:r>
    </w:p>
    <w:p w14:paraId="61BFA3E8"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Vstupné dvere do chladených zón musia byť vybavené samozatváracím zariadením.</w:t>
      </w:r>
    </w:p>
    <w:p w14:paraId="0FFFE88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34</w:t>
      </w:r>
    </w:p>
    <w:p w14:paraId="67885670"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Pred konečným výstupom do miestnosti, s výnimkou prípadov, keď sa vykurovanie získava rekuperáciou z výroby chladu, by sa vzduch nemal ohrievať a potom ochladzovať alebo naopak zariadeniami, ktoré spotrebúvajú energiu a sú určené na ohrievanie alebo chladenie vzduchu.</w:t>
      </w:r>
    </w:p>
    <w:p w14:paraId="7468E6E4"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lastRenderedPageBreak/>
        <w:t>Kapitola XIII: OSVETLENIE (články 35 až 38)</w:t>
      </w:r>
    </w:p>
    <w:p w14:paraId="776EC1B8"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35</w:t>
      </w:r>
    </w:p>
    <w:p w14:paraId="6F0AAAA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Na chodbách, vo vertikálnych a v horizontálnych vnútorných spoločných priestoroch a na parkoviskách musia všetky osvetľovacie zariadenia pre každú miestnosť zahŕňať automatické zariadenie, ktoré to umožňuje, keď je miestnosť alebo parkovisko neobsadené:</w:t>
      </w:r>
    </w:p>
    <w:p w14:paraId="0741976C" w14:textId="1CDC7B7D"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63AC8">
        <w:rPr>
          <w:rFonts w:ascii="Times New Roman" w:hAnsi="Times New Roman"/>
          <w:sz w:val="24"/>
        </w:rPr>
        <w:t>-</w:t>
      </w:r>
      <w:r>
        <w:rPr>
          <w:rFonts w:ascii="Times New Roman" w:hAnsi="Times New Roman"/>
          <w:sz w:val="24"/>
        </w:rPr>
        <w:t xml:space="preserve"> buď stlmiť osvetlenie na minimálnu predpísanú úroveň;</w:t>
      </w:r>
      <w:r>
        <w:rPr>
          <w:rFonts w:ascii="Times New Roman" w:hAnsi="Times New Roman"/>
          <w:sz w:val="24"/>
        </w:rPr>
        <w:br/>
      </w:r>
      <w:r w:rsidR="00363AC8">
        <w:rPr>
          <w:rFonts w:ascii="Times New Roman" w:hAnsi="Times New Roman"/>
          <w:sz w:val="24"/>
        </w:rPr>
        <w:t>-</w:t>
      </w:r>
      <w:r>
        <w:rPr>
          <w:rFonts w:ascii="Times New Roman" w:hAnsi="Times New Roman"/>
          <w:sz w:val="24"/>
        </w:rPr>
        <w:t xml:space="preserve"> alebo zhasnúť zdroje umelého osvetlenia, ak žiadny predpis nestanovuje minimálnu úroveň.</w:t>
      </w:r>
    </w:p>
    <w:p w14:paraId="7A5ABA1C"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Okrem toho, ak má miestnosť prístup k prirodzenému svetlu, mala by zahŕňať zariadenie umožňujúce automatické vypnutie osvetľovacieho systému, keď je v miestnosti dostatok prirodzeného svetla.</w:t>
      </w:r>
      <w:r>
        <w:rPr>
          <w:rFonts w:ascii="Times New Roman" w:hAnsi="Times New Roman"/>
          <w:sz w:val="24"/>
        </w:rPr>
        <w:br/>
        <w:t>Jedno zariadenie slúži najviac pre:</w:t>
      </w:r>
    </w:p>
    <w:p w14:paraId="05A2C700" w14:textId="36EDEFA2"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363AC8">
        <w:rPr>
          <w:rFonts w:ascii="Times New Roman" w:hAnsi="Times New Roman"/>
          <w:sz w:val="24"/>
        </w:rPr>
        <w:t>-</w:t>
      </w:r>
      <w:r>
        <w:rPr>
          <w:rFonts w:ascii="Times New Roman" w:hAnsi="Times New Roman"/>
          <w:sz w:val="24"/>
        </w:rPr>
        <w:t xml:space="preserve"> plochu maximálne 100 m² a jedno podlažie v prípade horizontálnych chodieb a vnútorných spoločných priestorov;</w:t>
      </w:r>
      <w:r>
        <w:rPr>
          <w:rFonts w:ascii="Times New Roman" w:hAnsi="Times New Roman"/>
          <w:sz w:val="24"/>
        </w:rPr>
        <w:br/>
      </w:r>
      <w:r w:rsidR="00363AC8">
        <w:rPr>
          <w:rFonts w:ascii="Times New Roman" w:hAnsi="Times New Roman"/>
          <w:sz w:val="24"/>
        </w:rPr>
        <w:t>-</w:t>
      </w:r>
      <w:r>
        <w:rPr>
          <w:rFonts w:ascii="Times New Roman" w:hAnsi="Times New Roman"/>
          <w:sz w:val="24"/>
        </w:rPr>
        <w:t xml:space="preserve"> tri podlažia v prípade vertikálnych chodieb;</w:t>
      </w:r>
      <w:r>
        <w:rPr>
          <w:rFonts w:ascii="Times New Roman" w:hAnsi="Times New Roman"/>
          <w:sz w:val="24"/>
        </w:rPr>
        <w:br/>
      </w:r>
      <w:r w:rsidR="00363AC8">
        <w:rPr>
          <w:rFonts w:ascii="Times New Roman" w:hAnsi="Times New Roman"/>
          <w:sz w:val="24"/>
        </w:rPr>
        <w:t xml:space="preserve">- </w:t>
      </w:r>
      <w:r>
        <w:rPr>
          <w:rFonts w:ascii="Times New Roman" w:hAnsi="Times New Roman"/>
          <w:sz w:val="24"/>
        </w:rPr>
        <w:t>jedno podlažie a plochu maximálne 500 m² v prípade parkovacích miest.</w:t>
      </w:r>
    </w:p>
    <w:p w14:paraId="50B9042B"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36</w:t>
      </w:r>
    </w:p>
    <w:p w14:paraId="64E1D62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 prípade budov alebo častí budov na iné ako obytné účely musí byť každá miestnosť vybavená manuálnym zariadením na zapnutie a vypnutie osvetlenia alebo automatickým zariadením podľa miery obsadenosti.</w:t>
      </w:r>
    </w:p>
    <w:p w14:paraId="46E1DC5A"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37</w:t>
      </w:r>
    </w:p>
    <w:p w14:paraId="61CF5364"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 prípade budov alebo častí budov na iné ako obytné účely musí každá miestnosť, v ktorej je ovládanie osvetlenia zodpovednosťou jej riadiacich pracovníkov, a to aj počas období obsadenosti, obsahovať aj zariadenie umožňujúce zapnutie a vypnutie osvetlenia. Ak toto zariadenie nie je umiestnené v príslušnej miestnosti, musí umožňovať zobrazenie stavu osvetlenia v tejto miestnosti z miesta ovládania.</w:t>
      </w:r>
    </w:p>
    <w:p w14:paraId="69BF1657"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38</w:t>
      </w:r>
    </w:p>
    <w:p w14:paraId="62C900D6"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 prípade budov alebo častí budov na iné ako obytné účely sa v tej istej miestnosti body umelého osvetlenia, ktoré sú umiestnené menej ako 5 m od otvoru, ovládajú oddelene od ostatných bodov osvetlenia, keď celkový inštalovaný výkon v každej z týchto polôh presahuje 200 W.</w:t>
      </w:r>
    </w:p>
    <w:p w14:paraId="54320DE6" w14:textId="77777777" w:rsidR="001E2566" w:rsidRPr="001E2566" w:rsidRDefault="001E2566" w:rsidP="001E2566">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lastRenderedPageBreak/>
        <w:t>Kapitola XIV: VETRANIE (články 39 až 40)</w:t>
      </w:r>
    </w:p>
    <w:p w14:paraId="1F4C099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39</w:t>
      </w:r>
    </w:p>
    <w:p w14:paraId="4317F7C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 prípade budov alebo častí budov na iné ako obytné účely musia byť miestnosti alebo skupiny miestností, ktorých obsadenie alebo užívanie je veľmi odlišné, vybavené nezávislými vetracími systémami.</w:t>
      </w:r>
    </w:p>
    <w:p w14:paraId="0989BA62" w14:textId="77777777" w:rsidR="001E2566" w:rsidRPr="001E2566" w:rsidRDefault="001E2566" w:rsidP="001E2566">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Článok 40</w:t>
      </w:r>
    </w:p>
    <w:p w14:paraId="03BFE559" w14:textId="77777777" w:rsidR="001E2566" w:rsidRPr="001E2566" w:rsidRDefault="001E2566" w:rsidP="001E2566">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V prípade budov alebo častí budov na iné ako obytné účely, ktoré sú vybavené špecifickými mechanizovanými vetracími systémami, sa musí každé manuálne zariadenie na úpravu prietoku vzduchu v miestnosti ovládať pomocou časovača.</w:t>
      </w:r>
    </w:p>
    <w:p w14:paraId="73CE2D18"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Hlava IV: NÁVRH ZJEDNODUŠENÝCH METÓD UPLATŇOVANIA V SAMOSTATNÝCH DOMOCH (články 41 až 42)</w:t>
      </w:r>
    </w:p>
    <w:p w14:paraId="47A4E08A"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Článok 41</w:t>
      </w:r>
    </w:p>
    <w:p w14:paraId="1B46DA7D"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Zjednodušená metóda uplatňovania je kombináciou architektonických charakteristík, energetických a environmentálnych vlastností prác a zariadení spojených s vymedzenou skupinou samostatných domov, ktoré sa považujú za vyhovujúce ustanoveniam hláv I až III tohto nariadenia pre všetky budovy v tejto skupine.</w:t>
      </w:r>
      <w:r>
        <w:rPr>
          <w:rFonts w:ascii="Times New Roman" w:hAnsi="Times New Roman"/>
          <w:sz w:val="24"/>
        </w:rPr>
        <w:br/>
        <w:t>Zjednodušená metóda uplatňovania sa môže použiť len vo svojej integrálnej forme.</w:t>
      </w:r>
    </w:p>
    <w:p w14:paraId="0838A46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Článok 42</w:t>
      </w:r>
    </w:p>
    <w:p w14:paraId="00081010"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Návrh na zjednodušenú metódu uplatňovania sa zasiela ministrovi zodpovednému za energetiku a ministrovi zodpovednému za výstavbu spolu so súborom štúdie zloženým tak, ako je uvedené v prílohe IX.</w:t>
      </w:r>
    </w:p>
    <w:p w14:paraId="505CE6F7"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Hlava V: OSOBITNÉ PRÍPADY (články 43 až 44)</w:t>
      </w:r>
    </w:p>
    <w:p w14:paraId="17157191"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Článok 43</w:t>
      </w:r>
    </w:p>
    <w:p w14:paraId="2CB29501"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V prípade, že metóda výpočtu uvedená v článku 8 nezohľadňuje špecifiká stavebného projektu, žiadosť o schválenie projektu sa zašle ministrovi zodpovednému za energetiku a ministrovi zodpovednému za výstavbu.</w:t>
      </w:r>
      <w:r>
        <w:rPr>
          <w:rFonts w:ascii="Times New Roman" w:hAnsi="Times New Roman"/>
          <w:sz w:val="24"/>
        </w:rPr>
        <w:br/>
        <w:t>Žiadosť o schválenie projektu alebo metódy použitej na odôvodnenie výkonu vykurovacieho alebo chladiaceho systému alebo siete možno zaslať ministrovi zodpovednému za energetiku a ministrovi zodpovednému za výstavbu v týchto prípadoch:</w:t>
      </w:r>
    </w:p>
    <w:p w14:paraId="5A0B0C39" w14:textId="0E8EA8FD"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A21A01">
        <w:rPr>
          <w:rFonts w:ascii="Times New Roman" w:hAnsi="Times New Roman"/>
          <w:sz w:val="24"/>
        </w:rPr>
        <w:t>-</w:t>
      </w:r>
      <w:r>
        <w:rPr>
          <w:rFonts w:ascii="Times New Roman" w:hAnsi="Times New Roman"/>
          <w:sz w:val="24"/>
        </w:rPr>
        <w:t xml:space="preserve"> ak metóda výpočtu uvedená v článku 8 nezohľadňuje špecifiká systému;</w:t>
      </w:r>
      <w:r>
        <w:rPr>
          <w:rFonts w:ascii="Times New Roman" w:hAnsi="Times New Roman"/>
          <w:sz w:val="24"/>
        </w:rPr>
        <w:br/>
      </w:r>
      <w:r w:rsidR="00A21A01">
        <w:rPr>
          <w:rFonts w:ascii="Times New Roman" w:hAnsi="Times New Roman"/>
          <w:sz w:val="24"/>
        </w:rPr>
        <w:lastRenderedPageBreak/>
        <w:t>-</w:t>
      </w:r>
      <w:r>
        <w:rPr>
          <w:rFonts w:ascii="Times New Roman" w:hAnsi="Times New Roman"/>
          <w:sz w:val="24"/>
        </w:rPr>
        <w:t xml:space="preserve"> ak sa vytvorí mestská sieť vykurovania alebo chladenia;</w:t>
      </w:r>
      <w:r>
        <w:rPr>
          <w:rFonts w:ascii="Times New Roman" w:hAnsi="Times New Roman"/>
          <w:sz w:val="24"/>
        </w:rPr>
        <w:br/>
      </w:r>
      <w:r w:rsidR="00A21A01">
        <w:rPr>
          <w:rFonts w:ascii="Times New Roman" w:hAnsi="Times New Roman"/>
          <w:sz w:val="24"/>
        </w:rPr>
        <w:t>-</w:t>
      </w:r>
      <w:r>
        <w:rPr>
          <w:rFonts w:ascii="Times New Roman" w:hAnsi="Times New Roman"/>
          <w:sz w:val="24"/>
        </w:rPr>
        <w:t xml:space="preserve"> ak je pravdepodobné, že práca na úprave siete vykurovania alebo chladenia spôsobí významnú zmenu jej emisného faktora, ako sa stanovuje v článku 10.</w:t>
      </w:r>
    </w:p>
    <w:p w14:paraId="74E0BDC5"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K žiadostiam o schválenie musí byť priložený súbor štúdie zložený tak, ako je uvedené v prílohe X, ktorá najmä stanovuje, ako metóda výpočtu uvedená v článku 8 nezohľadňuje špecifiká stavebného projektu alebo systému, podľa potreby.</w:t>
      </w:r>
      <w:r>
        <w:rPr>
          <w:rFonts w:ascii="Times New Roman" w:hAnsi="Times New Roman"/>
          <w:sz w:val="24"/>
        </w:rPr>
        <w:br/>
        <w:t>Schválenie stavebného projektu nie je povinné, ak osvedčenie o súlade s cieľmi v zmysle článku L. 112-9, ktoré sa týka iného predmetu, ako je energetická hospodárnosť, stanovuje vstupné údaje špecifické pre príslušné riešenia s rovnocenným účinkom, ktoré umožňujú uplatniť metódu výpočtu uvedenú v článku 8.</w:t>
      </w:r>
    </w:p>
    <w:p w14:paraId="6CDD315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Článok 44</w:t>
      </w:r>
    </w:p>
    <w:p w14:paraId="7CB9C8E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Minister zodpovedný za energetiku a minister zodpovedný za výstavbu môžu schváliť návrh na zohľadnenie stavebného projektu alebo vykurovacieho alebo chladiaceho systému alebo siete po porade s výborom odborníkov zriadeným na tento účel.</w:t>
      </w:r>
      <w:r>
        <w:rPr>
          <w:rFonts w:ascii="Times New Roman" w:hAnsi="Times New Roman"/>
          <w:sz w:val="24"/>
        </w:rPr>
        <w:br/>
        <w:t>Na účely vytvorenia mestských vykurovacích alebo chladiacich sietí je schválenie platné najviac na obdobie troch rokov; v prípade prác na úprave mestských vykurovacích alebo chladiacich sietí platí schválenie najviac na obdobie piatich rokov, ktoré je obnoviteľné dva roky po vydaní stanoviska výboru odborníkov.</w:t>
      </w:r>
    </w:p>
    <w:p w14:paraId="7E5DA6C6"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Hlava VI: RÔZNE USTANOVENIA (články 45 až 52)</w:t>
      </w:r>
    </w:p>
    <w:p w14:paraId="69D3FE2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Článok 45</w:t>
      </w:r>
    </w:p>
    <w:p w14:paraId="04CAF51E"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Ak sa budova alebo časť budovy dodáva bez vykurovacieho systému, posudzuje sa so štandardným vykurovacím systémom, ako sa stanovuje v metóde uvedenej v článku 8. Ak metóda pre danú budovu nestanovuje štandardný vykurovací systém, môže spĺňať len požiadavky na zdroje vymedzené v hlave III a požiadavky vymedzené v článku R. 172-4 ods. 1, 4 a 5 stavebného a bytového zákona a sú určené v súlade s postupmi uvedenými v prílohe k rovnakému článku.</w:t>
      </w:r>
    </w:p>
    <w:p w14:paraId="792A4188"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Článok 46</w:t>
      </w:r>
    </w:p>
    <w:p w14:paraId="6521031A" w14:textId="6B192489"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212693">
        <w:rPr>
          <w:rFonts w:ascii="Times New Roman" w:hAnsi="Times New Roman"/>
          <w:sz w:val="24"/>
        </w:rPr>
        <w:t>-</w:t>
      </w:r>
      <w:r>
        <w:rPr>
          <w:rFonts w:ascii="Times New Roman" w:hAnsi="Times New Roman"/>
          <w:sz w:val="24"/>
        </w:rPr>
        <w:t xml:space="preserve"> Požiadavky stanovené v uvedených nariadeniach z 26. októbra 2010 a 28. decembra 2012 sa považujú za splnené, ak sú splnené požiadavky uvedené v článku R. 172-4 stavebného a bytového zákona a sú stanovené v súlade s postupmi uvedenými v prílohe k rovnakému článku, ako aj požiadavky stanovené v tomto nariadení.</w:t>
      </w:r>
      <w:r>
        <w:rPr>
          <w:rFonts w:ascii="Times New Roman" w:hAnsi="Times New Roman"/>
          <w:sz w:val="24"/>
        </w:rPr>
        <w:br/>
        <w:t xml:space="preserve">II. </w:t>
      </w:r>
      <w:r w:rsidR="00212693">
        <w:rPr>
          <w:rFonts w:ascii="Times New Roman" w:hAnsi="Times New Roman"/>
          <w:sz w:val="24"/>
        </w:rPr>
        <w:t>-</w:t>
      </w:r>
      <w:r>
        <w:rPr>
          <w:rFonts w:ascii="Times New Roman" w:hAnsi="Times New Roman"/>
          <w:sz w:val="24"/>
        </w:rPr>
        <w:t xml:space="preserve"> Požiadavky stanovené v uvedených nariadeniach z 13. júna 2008 a 3. mája 2007 sa považujú za splnené, ak sú splnené požiadavky uvedené v článku R. 172-4 ods. 1 až 3 a ods. 5 stavebného a bytového zákona a sú stanovené v súlade s postupmi uvedenými v prílohe k rovnakému článku, ako aj v požiadavky uvedené v hlave III tohto nariadenia.</w:t>
      </w:r>
    </w:p>
    <w:p w14:paraId="3E80F0A9"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Článok 47</w:t>
      </w:r>
    </w:p>
    <w:p w14:paraId="739D52AA"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Ustanovenia tohto nariadenia nemôžu ohroziť platné legislatívne a správne opatrenia týkajúce sa zdravia, sanitácie, hygieny a bezpečnosti.</w:t>
      </w:r>
    </w:p>
    <w:p w14:paraId="75794AB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Článok 48</w:t>
      </w:r>
    </w:p>
    <w:p w14:paraId="4933BA7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V článkoch 11 a 12 uvedeného nariadenia z 26. októbra 2010 sa slová „1. septembra 2021“ nahrádzajú slovami „31. decembra 2021“.</w:t>
      </w:r>
    </w:p>
    <w:p w14:paraId="6085A120"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Článok 49</w:t>
      </w:r>
    </w:p>
    <w:p w14:paraId="01833B6B" w14:textId="1619997C"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9317A9">
        <w:rPr>
          <w:rFonts w:ascii="Times New Roman" w:hAnsi="Times New Roman"/>
          <w:sz w:val="24"/>
        </w:rPr>
        <w:t>-</w:t>
      </w:r>
      <w:r>
        <w:rPr>
          <w:rFonts w:ascii="Times New Roman" w:hAnsi="Times New Roman"/>
          <w:sz w:val="24"/>
        </w:rPr>
        <w:t xml:space="preserve"> Článok 10 nariadenia z 26. októbra 2010 a článok 10 uvedeného nariadenia z 28. decembra 2012 sa nahrádzajú takto:</w:t>
      </w:r>
    </w:p>
    <w:p w14:paraId="228B35D7" w14:textId="51AD26EC"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„Článok 10. </w:t>
      </w:r>
      <w:r w:rsidR="009317A9">
        <w:rPr>
          <w:rFonts w:ascii="Times New Roman" w:hAnsi="Times New Roman"/>
          <w:sz w:val="24"/>
        </w:rPr>
        <w:t>-</w:t>
      </w:r>
      <w:r>
        <w:rPr>
          <w:rFonts w:ascii="Times New Roman" w:hAnsi="Times New Roman"/>
          <w:sz w:val="24"/>
        </w:rPr>
        <w:t xml:space="preserve"> Najneskôr do 1. januára 2013 musí byť softvér používaný na vykonávanie výpočtov Cep, Bbio a Tic posúdený ministrom zodpovedným za výstavbu a ministrom zodpovedným za energetiku v súlade s postupom stanoveným v prílohe X. Na konci tohto posúdenia sa vydá hodnotiaca správa. Toto posúdenie by sa malo prehodnotiť každé dva roky, v deň výročia vydania hodnotiacej správy, alebo aspoň raz od 1. januára 2018.“</w:t>
      </w:r>
    </w:p>
    <w:p w14:paraId="519D34E6" w14:textId="01A96A71"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II. </w:t>
      </w:r>
      <w:r w:rsidR="009317A9">
        <w:rPr>
          <w:rFonts w:ascii="Times New Roman" w:hAnsi="Times New Roman"/>
          <w:sz w:val="24"/>
        </w:rPr>
        <w:t>-</w:t>
      </w:r>
      <w:r>
        <w:rPr>
          <w:rFonts w:ascii="Times New Roman" w:hAnsi="Times New Roman"/>
          <w:sz w:val="24"/>
        </w:rPr>
        <w:t xml:space="preserve"> Na začiatku bodu 5 prílohy X k uvedenému nariadeniu z 26. októbra 2010 a na začiatku bodu 5 prílohy VI k uvedenému nariadeniu z 28. decembra 2012 sa dopĺňa táto veta: „Nasledujúci odsek sa nevzťahuje na softvér, ktorý bol po 1. januári 2018 predmetom prehodnotenia posúdenia.“</w:t>
      </w:r>
    </w:p>
    <w:p w14:paraId="17033EF3"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Článok 50</w:t>
      </w:r>
    </w:p>
    <w:p w14:paraId="7292B4E9"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Na konci článku 49 uvedeného nariadenia z 26. októbra 2010 a na konci článku 39 uvedeného nariadenia z 28. decembra 2012 sa dopĺňa tento odsek: </w:t>
      </w:r>
      <w:r>
        <w:rPr>
          <w:rFonts w:ascii="Times New Roman" w:hAnsi="Times New Roman"/>
          <w:sz w:val="24"/>
        </w:rPr>
        <w:br/>
        <w:t>„Schválenie stavebného projektu nie je povinné, ak osvedčenie o súlade s cieľmi v zmysle článku L. 112-9 stavebného a bytového zákona, ktoré sa týka iného predmetu, ako je energetická hospodárnosť, stanovuje vstupné údaje špecifické pre príslušné riešenia s rovnocenným účinkom, ktoré umožňujú uplatniť metódu výpočtu Th-B-C-E 2012.“</w:t>
      </w:r>
    </w:p>
    <w:p w14:paraId="0133372C"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Článok 51</w:t>
      </w:r>
    </w:p>
    <w:p w14:paraId="24D85573" w14:textId="546D6F49"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E64105">
        <w:rPr>
          <w:rFonts w:ascii="Times New Roman" w:hAnsi="Times New Roman"/>
          <w:sz w:val="24"/>
        </w:rPr>
        <w:t>-</w:t>
      </w:r>
      <w:r>
        <w:rPr>
          <w:rFonts w:ascii="Times New Roman" w:hAnsi="Times New Roman"/>
          <w:sz w:val="24"/>
        </w:rPr>
        <w:t xml:space="preserve"> Ustanovenia článkov 48 až 50 nadobúdajú účinnosť dňom nasledujúcim po uverejnení tohto nariadenia.</w:t>
      </w:r>
      <w:r>
        <w:rPr>
          <w:rFonts w:ascii="Times New Roman" w:hAnsi="Times New Roman"/>
          <w:sz w:val="24"/>
        </w:rPr>
        <w:br/>
        <w:t xml:space="preserve">II. </w:t>
      </w:r>
      <w:r w:rsidR="00E64105">
        <w:rPr>
          <w:rFonts w:ascii="Times New Roman" w:hAnsi="Times New Roman"/>
          <w:sz w:val="24"/>
        </w:rPr>
        <w:t>-</w:t>
      </w:r>
      <w:r>
        <w:rPr>
          <w:rFonts w:ascii="Times New Roman" w:hAnsi="Times New Roman"/>
          <w:sz w:val="24"/>
        </w:rPr>
        <w:t xml:space="preserve"> Ustanovenia ostatných článkov nadobúdajú účinnosť 1. januára 2022.</w:t>
      </w:r>
    </w:p>
    <w:p w14:paraId="1A52D4AD"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Článok 52</w:t>
      </w:r>
    </w:p>
    <w:p w14:paraId="76B5C327"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Toto nariadenie sa uverejní v Úradnom vestníku Francúzskej republiky.</w:t>
      </w:r>
    </w:p>
    <w:p w14:paraId="360CB09C" w14:textId="77777777" w:rsidR="001E2566" w:rsidRPr="001E2566" w:rsidRDefault="001E2566" w:rsidP="001E256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Príloha</w:t>
      </w:r>
    </w:p>
    <w:p w14:paraId="1FE00F17" w14:textId="77777777" w:rsidR="001E2566" w:rsidRPr="001E2566" w:rsidRDefault="001E2566" w:rsidP="001E2566">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Článok</w:t>
      </w:r>
    </w:p>
    <w:p w14:paraId="71AFA498"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PRÍLOHY</w:t>
      </w:r>
    </w:p>
    <w:p w14:paraId="7A4A40BE"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lang w:eastAsia="fr-FR"/>
        </w:rPr>
      </w:pPr>
    </w:p>
    <w:p w14:paraId="0DA2BE06" w14:textId="77777777" w:rsidR="001E2566" w:rsidRPr="001E2566" w:rsidRDefault="001E2566" w:rsidP="001E2566">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Celý text s obrázkami si môžete pozrieť vo výpise z overeného elektronického úradného vestníka, ktorý je dostupný v dolnej časti stránky</w:t>
      </w:r>
    </w:p>
    <w:p w14:paraId="3760AF8B"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Dňa 4. augusta 2021.</w:t>
      </w:r>
    </w:p>
    <w:p w14:paraId="133B264A" w14:textId="77777777" w:rsidR="001E2566" w:rsidRPr="001E2566" w:rsidRDefault="001E2566" w:rsidP="001E256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Ministerka pri ministerke pre ekologickú transformáciu, zodpovedná za bývanie,</w:t>
      </w:r>
      <w:r>
        <w:rPr>
          <w:rFonts w:ascii="Times New Roman" w:hAnsi="Times New Roman"/>
          <w:sz w:val="24"/>
        </w:rPr>
        <w:br/>
        <w:t>Za ministerku a v zastúpení:</w:t>
      </w:r>
      <w:r>
        <w:rPr>
          <w:rFonts w:ascii="Times New Roman" w:hAnsi="Times New Roman"/>
          <w:sz w:val="24"/>
        </w:rPr>
        <w:br/>
        <w:t>Riaditeľ pre bývanie, urbanizmus a krajinu,</w:t>
      </w:r>
      <w:r>
        <w:rPr>
          <w:rFonts w:ascii="Times New Roman" w:hAnsi="Times New Roman"/>
          <w:sz w:val="24"/>
        </w:rPr>
        <w:br/>
        <w:t>F. Adam</w:t>
      </w:r>
    </w:p>
    <w:p w14:paraId="1A7604DF" w14:textId="17FF67D5" w:rsidR="007570FC" w:rsidRDefault="001E2566" w:rsidP="00053FD1">
      <w:pPr>
        <w:spacing w:before="100" w:beforeAutospacing="1" w:after="100" w:afterAutospacing="1" w:line="240" w:lineRule="auto"/>
      </w:pPr>
      <w:r>
        <w:rPr>
          <w:rFonts w:ascii="Times New Roman" w:hAnsi="Times New Roman"/>
          <w:sz w:val="24"/>
        </w:rPr>
        <w:br/>
        <w:t>Ministerka pre ekologickú transformáciu,</w:t>
      </w:r>
      <w:r>
        <w:rPr>
          <w:rFonts w:ascii="Times New Roman" w:hAnsi="Times New Roman"/>
          <w:sz w:val="24"/>
        </w:rPr>
        <w:br/>
        <w:t>Za ministerku a v zastúpení:</w:t>
      </w:r>
      <w:r>
        <w:rPr>
          <w:rFonts w:ascii="Times New Roman" w:hAnsi="Times New Roman"/>
          <w:sz w:val="24"/>
        </w:rPr>
        <w:br/>
        <w:t>Riaditeľ pre bývanie, urbanizmus a krajinu,</w:t>
      </w:r>
      <w:r>
        <w:rPr>
          <w:rFonts w:ascii="Times New Roman" w:hAnsi="Times New Roman"/>
          <w:sz w:val="24"/>
        </w:rPr>
        <w:br/>
        <w:t>F. Adam</w:t>
      </w:r>
      <w:r>
        <w:rPr>
          <w:rFonts w:ascii="Times New Roman" w:hAnsi="Times New Roman"/>
          <w:sz w:val="24"/>
        </w:rPr>
        <w:br/>
        <w:t>Generálny riaditeľ pre energetiku a klímu,</w:t>
      </w:r>
      <w:r>
        <w:rPr>
          <w:rFonts w:ascii="Times New Roman" w:hAnsi="Times New Roman"/>
          <w:sz w:val="24"/>
        </w:rPr>
        <w:br/>
        <w:t>L. Michel</w:t>
      </w:r>
    </w:p>
    <w:sectPr w:rsidR="00757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81"/>
    <w:multiLevelType w:val="multilevel"/>
    <w:tmpl w:val="B5BA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66"/>
    <w:rsid w:val="00036C09"/>
    <w:rsid w:val="00053FD1"/>
    <w:rsid w:val="001E2566"/>
    <w:rsid w:val="00212693"/>
    <w:rsid w:val="0025146D"/>
    <w:rsid w:val="00345878"/>
    <w:rsid w:val="00363AC8"/>
    <w:rsid w:val="003B0A11"/>
    <w:rsid w:val="003D0DC7"/>
    <w:rsid w:val="004D1092"/>
    <w:rsid w:val="00620E30"/>
    <w:rsid w:val="006D398E"/>
    <w:rsid w:val="007570FC"/>
    <w:rsid w:val="007F16B7"/>
    <w:rsid w:val="00834ABF"/>
    <w:rsid w:val="008D7991"/>
    <w:rsid w:val="009317A9"/>
    <w:rsid w:val="00A21A01"/>
    <w:rsid w:val="00B10978"/>
    <w:rsid w:val="00B577D5"/>
    <w:rsid w:val="00BA2550"/>
    <w:rsid w:val="00CA52F7"/>
    <w:rsid w:val="00DF7478"/>
    <w:rsid w:val="00E64105"/>
    <w:rsid w:val="00F235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8BB4"/>
  <w15:chartTrackingRefBased/>
  <w15:docId w15:val="{FAB69077-0BEA-44D7-AE59-CF747B96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6D398E"/>
    <w:pPr>
      <w:spacing w:after="0" w:line="240" w:lineRule="auto"/>
      <w:ind w:left="1049"/>
    </w:pPr>
    <w:rPr>
      <w:rFonts w:ascii="Times New Roman" w:hAnsi="Times New Roman"/>
      <w:sz w:val="24"/>
    </w:rPr>
  </w:style>
  <w:style w:type="character" w:customStyle="1" w:styleId="BodyTextIndentChar">
    <w:name w:val="Body Text Indent Char"/>
    <w:basedOn w:val="DefaultParagraphFont"/>
    <w:link w:val="BodyTextIndent"/>
    <w:uiPriority w:val="99"/>
    <w:rsid w:val="006D398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4505">
      <w:bodyDiv w:val="1"/>
      <w:marLeft w:val="0"/>
      <w:marRight w:val="0"/>
      <w:marTop w:val="0"/>
      <w:marBottom w:val="0"/>
      <w:divBdr>
        <w:top w:val="none" w:sz="0" w:space="0" w:color="auto"/>
        <w:left w:val="none" w:sz="0" w:space="0" w:color="auto"/>
        <w:bottom w:val="none" w:sz="0" w:space="0" w:color="auto"/>
        <w:right w:val="none" w:sz="0" w:space="0" w:color="auto"/>
      </w:divBdr>
      <w:divsChild>
        <w:div w:id="577636511">
          <w:marLeft w:val="0"/>
          <w:marRight w:val="0"/>
          <w:marTop w:val="0"/>
          <w:marBottom w:val="0"/>
          <w:divBdr>
            <w:top w:val="none" w:sz="0" w:space="0" w:color="auto"/>
            <w:left w:val="none" w:sz="0" w:space="0" w:color="auto"/>
            <w:bottom w:val="none" w:sz="0" w:space="0" w:color="auto"/>
            <w:right w:val="none" w:sz="0" w:space="0" w:color="auto"/>
          </w:divBdr>
          <w:divsChild>
            <w:div w:id="1546795609">
              <w:marLeft w:val="0"/>
              <w:marRight w:val="0"/>
              <w:marTop w:val="0"/>
              <w:marBottom w:val="0"/>
              <w:divBdr>
                <w:top w:val="none" w:sz="0" w:space="0" w:color="auto"/>
                <w:left w:val="none" w:sz="0" w:space="0" w:color="auto"/>
                <w:bottom w:val="none" w:sz="0" w:space="0" w:color="auto"/>
                <w:right w:val="none" w:sz="0" w:space="0" w:color="auto"/>
              </w:divBdr>
            </w:div>
            <w:div w:id="1435978361">
              <w:marLeft w:val="0"/>
              <w:marRight w:val="0"/>
              <w:marTop w:val="0"/>
              <w:marBottom w:val="0"/>
              <w:divBdr>
                <w:top w:val="none" w:sz="0" w:space="0" w:color="auto"/>
                <w:left w:val="none" w:sz="0" w:space="0" w:color="auto"/>
                <w:bottom w:val="none" w:sz="0" w:space="0" w:color="auto"/>
                <w:right w:val="none" w:sz="0" w:space="0" w:color="auto"/>
              </w:divBdr>
            </w:div>
            <w:div w:id="1425611674">
              <w:marLeft w:val="0"/>
              <w:marRight w:val="0"/>
              <w:marTop w:val="0"/>
              <w:marBottom w:val="0"/>
              <w:divBdr>
                <w:top w:val="none" w:sz="0" w:space="0" w:color="auto"/>
                <w:left w:val="none" w:sz="0" w:space="0" w:color="auto"/>
                <w:bottom w:val="none" w:sz="0" w:space="0" w:color="auto"/>
                <w:right w:val="none" w:sz="0" w:space="0" w:color="auto"/>
              </w:divBdr>
            </w:div>
            <w:div w:id="1233852019">
              <w:marLeft w:val="0"/>
              <w:marRight w:val="0"/>
              <w:marTop w:val="0"/>
              <w:marBottom w:val="0"/>
              <w:divBdr>
                <w:top w:val="none" w:sz="0" w:space="0" w:color="auto"/>
                <w:left w:val="none" w:sz="0" w:space="0" w:color="auto"/>
                <w:bottom w:val="none" w:sz="0" w:space="0" w:color="auto"/>
                <w:right w:val="none" w:sz="0" w:space="0" w:color="auto"/>
              </w:divBdr>
            </w:div>
            <w:div w:id="7990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6212</Words>
  <Characters>36842</Characters>
  <Application>Microsoft Office Word</Application>
  <DocSecurity>0</DocSecurity>
  <Lines>1052</Lines>
  <Paragraphs>344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Čarija</cp:lastModifiedBy>
  <cp:revision>2</cp:revision>
  <dcterms:created xsi:type="dcterms:W3CDTF">2022-02-11T12:26:00Z</dcterms:created>
  <dcterms:modified xsi:type="dcterms:W3CDTF">2022-02-11T12:26:00Z</dcterms:modified>
</cp:coreProperties>
</file>