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F7" w:rsidRPr="006E4EB6" w:rsidRDefault="00E16AF7" w:rsidP="00E16AF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------IND- 2021 0018 F-- IT- ------ 20210121 --- --- PROJET</w:t>
      </w:r>
    </w:p>
    <w:p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ED40B5" w:rsidRPr="003277B4" w:rsidRDefault="00ED40B5" w:rsidP="00ED40B5">
            <w:pPr>
              <w:jc w:val="center"/>
            </w:pPr>
            <w:r>
              <w:rPr>
                <w:b/>
              </w:rPr>
              <w:t>REPUBBLICA FRANCESE</w:t>
            </w:r>
          </w:p>
        </w:tc>
      </w:tr>
      <w:tr w:rsidR="00ED40B5" w:rsidRPr="003277B4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Ministero della Transizione ecologica </w:t>
            </w:r>
          </w:p>
        </w:tc>
      </w:tr>
      <w:tr w:rsidR="00ED40B5" w:rsidRPr="003277B4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:rsidR="00FF5321" w:rsidRPr="003277B4" w:rsidRDefault="00FF5321">
      <w:pPr>
        <w:jc w:val="center"/>
        <w:rPr>
          <w:b/>
          <w:lang w:eastAsia="en-US"/>
        </w:rPr>
      </w:pPr>
    </w:p>
    <w:p w:rsidR="00FF5321" w:rsidRPr="003277B4" w:rsidRDefault="0078133A">
      <w:pPr>
        <w:jc w:val="center"/>
        <w:rPr>
          <w:b/>
        </w:rPr>
      </w:pPr>
      <w:r>
        <w:rPr>
          <w:b/>
        </w:rPr>
        <w:t>Progetto di decreto</w:t>
      </w:r>
    </w:p>
    <w:p w:rsidR="00FF5321" w:rsidRPr="003277B4" w:rsidRDefault="00FF5321">
      <w:pPr>
        <w:jc w:val="center"/>
        <w:rPr>
          <w:b/>
        </w:rPr>
      </w:pPr>
    </w:p>
    <w:p w:rsidR="00FF5321" w:rsidRPr="003277B4" w:rsidRDefault="0078133A">
      <w:pPr>
        <w:jc w:val="center"/>
        <w:rPr>
          <w:b/>
        </w:rPr>
      </w:pPr>
      <w:r>
        <w:rPr>
          <w:b/>
        </w:rPr>
        <w:t>sul divieto di installazione di impianti di riscaldamento e di produzione di acqua calda sanitaria che consumano principalmente combustibili ad alto livello di emissioni di gas serra negli edifici a uso residenziale o professionale</w:t>
      </w:r>
    </w:p>
    <w:p w:rsidR="00FF5321" w:rsidRPr="003277B4" w:rsidRDefault="00FF5321">
      <w:pPr>
        <w:rPr>
          <w:b/>
        </w:rPr>
      </w:pPr>
    </w:p>
    <w:p w:rsidR="00FF5321" w:rsidRPr="003277B4" w:rsidRDefault="0078133A">
      <w:pPr>
        <w:spacing w:after="600"/>
        <w:jc w:val="center"/>
      </w:pPr>
      <w:r>
        <w:t>NOR: TRER2021746D</w:t>
      </w:r>
    </w:p>
    <w:p w:rsidR="00FF5321" w:rsidRPr="003277B4" w:rsidRDefault="0078133A">
      <w:pPr>
        <w:jc w:val="both"/>
        <w:rPr>
          <w:i/>
        </w:rPr>
      </w:pPr>
      <w:r>
        <w:rPr>
          <w:i/>
        </w:rPr>
        <w:t xml:space="preserve">Categorie di persone interessate: proprietari di edifici a uso residenziale o professionale che desiderano installare un nuovo impianto di riscaldamento o di produzione di acqua calda sanitaria. </w:t>
      </w:r>
    </w:p>
    <w:p w:rsidR="00FF5321" w:rsidRPr="003277B4" w:rsidRDefault="00FF5321">
      <w:pPr>
        <w:jc w:val="both"/>
      </w:pPr>
    </w:p>
    <w:p w:rsidR="00FF5321" w:rsidRPr="003277B4" w:rsidRDefault="0078133A">
      <w:pPr>
        <w:jc w:val="both"/>
        <w:rPr>
          <w:i/>
        </w:rPr>
      </w:pPr>
      <w:r>
        <w:rPr>
          <w:i/>
        </w:rPr>
        <w:t xml:space="preserve">Oggetto: definire la soglia massima di emissione di gas serra per gli impianti di riscaldamento o di produzione di acqua calda sanitaria installabili negli edifici a uso residenziale o professionale </w:t>
      </w:r>
    </w:p>
    <w:p w:rsidR="00FF5321" w:rsidRPr="003277B4" w:rsidRDefault="00FF5321">
      <w:pPr>
        <w:jc w:val="both"/>
        <w:rPr>
          <w:b/>
          <w:i/>
        </w:rPr>
      </w:pPr>
    </w:p>
    <w:p w:rsidR="00FF5321" w:rsidRPr="003277B4" w:rsidRDefault="0078133A">
      <w:pPr>
        <w:jc w:val="both"/>
      </w:pPr>
      <w:r>
        <w:rPr>
          <w:i/>
        </w:rPr>
        <w:t>Entrata in vigore: le disposizioni entrano in vigore il 1° luglio 2021 per i nuovi edifici e al 1° gennaio 2022 per gli edifici esistenti</w:t>
      </w:r>
    </w:p>
    <w:p w:rsidR="00A64ECF" w:rsidRPr="003277B4" w:rsidRDefault="00A64ECF">
      <w:pPr>
        <w:jc w:val="both"/>
        <w:rPr>
          <w:i/>
        </w:rPr>
      </w:pPr>
    </w:p>
    <w:p w:rsidR="00453C0B" w:rsidRPr="003277B4" w:rsidRDefault="0078133A" w:rsidP="00453C0B">
      <w:pPr>
        <w:jc w:val="both"/>
        <w:rPr>
          <w:i/>
        </w:rPr>
      </w:pPr>
      <w:r>
        <w:rPr>
          <w:i/>
          <w:iCs/>
        </w:rPr>
        <w:t>Nota informativa</w:t>
      </w:r>
      <w:r>
        <w:rPr>
          <w:i/>
        </w:rPr>
        <w:t xml:space="preserve">: gli articoli L111-9 e L111-10 del codice edilizio e abitativo consentono di definire, mediante decreto in sede di Consiglio di Stato, i livelli di prestazione energetica e ambientale compatibili con gli obiettivi della politica energetica nazionale, rispettivamente per gli edifici nuovi ed esistenti. </w:t>
      </w:r>
    </w:p>
    <w:p w:rsidR="00FF5321" w:rsidRPr="003277B4" w:rsidRDefault="00453C0B" w:rsidP="00453C0B">
      <w:pPr>
        <w:jc w:val="both"/>
        <w:rPr>
          <w:i/>
        </w:rPr>
      </w:pPr>
      <w:r>
        <w:rPr>
          <w:i/>
        </w:rPr>
        <w:t>Il presente decreto specifica i criteri per la sostituzione degli impianti di riscaldamento o di produzione di acqua calda sanitaria, in particolare per quanto riguarda le emissioni di gas serra, negli edifici nuovi ed esistenti a uso residenziale o professionale.</w:t>
      </w:r>
    </w:p>
    <w:p w:rsidR="00FF5321" w:rsidRPr="003277B4" w:rsidRDefault="00FF5321">
      <w:pPr>
        <w:jc w:val="both"/>
        <w:rPr>
          <w:i/>
        </w:rPr>
      </w:pPr>
    </w:p>
    <w:p w:rsidR="00FF5321" w:rsidRPr="003277B4" w:rsidRDefault="0078133A">
      <w:pPr>
        <w:jc w:val="both"/>
      </w:pPr>
      <w:r>
        <w:rPr>
          <w:i/>
        </w:rPr>
        <w:t xml:space="preserve">Riferimenti: il testo istituito dal presente decreto è consultabile sul sito </w:t>
      </w:r>
      <w:proofErr w:type="spellStart"/>
      <w:r>
        <w:rPr>
          <w:i/>
        </w:rPr>
        <w:t>Légifrance</w:t>
      </w:r>
      <w:proofErr w:type="spellEnd"/>
      <w:r>
        <w:rPr>
          <w:i/>
        </w:rPr>
        <w:t xml:space="preserve"> (</w:t>
      </w:r>
      <w:hyperlink r:id="rId8">
        <w:r>
          <w:rPr>
            <w:rStyle w:val="LienInternet"/>
            <w:i/>
          </w:rPr>
          <w:t>http://www.legifrance.gouv.fr</w:t>
        </w:r>
      </w:hyperlink>
      <w:r>
        <w:rPr>
          <w:i/>
        </w:rPr>
        <w:t>)</w:t>
      </w:r>
    </w:p>
    <w:p w:rsidR="00FF5321" w:rsidRPr="003277B4" w:rsidRDefault="00FF5321">
      <w:pPr>
        <w:pStyle w:val="SNAutorit"/>
        <w:spacing w:before="0" w:after="0"/>
        <w:ind w:firstLine="709"/>
        <w:jc w:val="both"/>
      </w:pPr>
    </w:p>
    <w:p w:rsidR="00FF5321" w:rsidRPr="003277B4" w:rsidRDefault="0078133A">
      <w:pPr>
        <w:pStyle w:val="SNAutorit"/>
        <w:spacing w:before="0" w:after="0"/>
        <w:ind w:firstLine="709"/>
        <w:jc w:val="both"/>
      </w:pPr>
      <w:r>
        <w:t>Il Primo ministro,</w:t>
      </w:r>
    </w:p>
    <w:p w:rsidR="00FF5321" w:rsidRPr="003277B4" w:rsidRDefault="00FF5321">
      <w:pPr>
        <w:pStyle w:val="SNAutorit"/>
        <w:spacing w:before="0" w:after="0"/>
        <w:ind w:firstLine="709"/>
        <w:jc w:val="both"/>
      </w:pPr>
    </w:p>
    <w:p w:rsidR="00FF5321" w:rsidRPr="003277B4" w:rsidRDefault="0078133A">
      <w:pPr>
        <w:pStyle w:val="SNRapport"/>
        <w:spacing w:before="0" w:after="0"/>
        <w:ind w:firstLine="709"/>
        <w:jc w:val="both"/>
      </w:pPr>
      <w:r>
        <w:t>in base alla relazione della ministra della Transizione ecologica,</w:t>
      </w:r>
    </w:p>
    <w:p w:rsidR="00FF5321" w:rsidRPr="003277B4" w:rsidRDefault="00FF5321">
      <w:pPr>
        <w:pStyle w:val="NormalWeb"/>
        <w:spacing w:before="0" w:after="0"/>
      </w:pPr>
    </w:p>
    <w:p w:rsidR="00A64ECF" w:rsidRPr="003277B4" w:rsidRDefault="00A64ECF">
      <w:pPr>
        <w:pStyle w:val="NormalWeb"/>
        <w:spacing w:before="0" w:after="0"/>
        <w:ind w:firstLine="709"/>
      </w:pPr>
      <w:r>
        <w:t>vista la direttiva (UE) 2015/1535 del Parlamento europeo e del Consiglio, del 9 settembre 2015, che prevede una procedura d'informazione nel settore delle regolamentazioni tecniche e delle regole relative ai servizi della società dell'informazione e, in particolare, la notifica n. 2016/677/F;</w:t>
      </w:r>
    </w:p>
    <w:p w:rsidR="00A64ECF" w:rsidRPr="003277B4" w:rsidRDefault="00A64ECF">
      <w:pPr>
        <w:pStyle w:val="NormalWeb"/>
        <w:spacing w:before="0" w:after="0"/>
        <w:ind w:firstLine="709"/>
      </w:pPr>
    </w:p>
    <w:p w:rsidR="00A64ECF" w:rsidRPr="003277B4" w:rsidRDefault="00A64ECF">
      <w:pPr>
        <w:pStyle w:val="NormalWeb"/>
        <w:spacing w:before="0" w:after="0"/>
        <w:ind w:firstLine="709"/>
      </w:pPr>
      <w:r>
        <w:t xml:space="preserve">visto il regolamento (UE) n. 305/2011 del Parlamento europeo e del Consiglio, del 9 marzo 2011, che fissa condizioni armonizzate per la commercializzazione dei prodotti da costruzione e che abroga la direttiva 89/106/CEE del Consiglio; </w:t>
      </w:r>
    </w:p>
    <w:p w:rsidR="00A64ECF" w:rsidRPr="003277B4" w:rsidRDefault="00A64ECF">
      <w:pPr>
        <w:pStyle w:val="NormalWeb"/>
        <w:spacing w:before="0" w:after="0"/>
        <w:ind w:firstLine="709"/>
      </w:pPr>
    </w:p>
    <w:p w:rsidR="00FF5321" w:rsidRPr="003277B4" w:rsidRDefault="0078133A">
      <w:pPr>
        <w:pStyle w:val="NormalWeb"/>
        <w:spacing w:before="0" w:after="0"/>
        <w:ind w:firstLine="709"/>
      </w:pPr>
      <w:r>
        <w:t>visto il codice edilizio e abitativo, in particolare gli articoli L. 111-9 e L. 111-10 dello stesso;</w:t>
      </w:r>
    </w:p>
    <w:p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:rsidR="00FF5321" w:rsidRPr="003277B4" w:rsidRDefault="0078133A">
      <w:pPr>
        <w:pStyle w:val="NormalWeb"/>
        <w:spacing w:before="0" w:after="0"/>
        <w:ind w:firstLine="709"/>
      </w:pPr>
      <w:r>
        <w:t>visto il parere del Consiglio superiore dell'edilizia e dell'efficienza energetica del GGMMAAAA;</w:t>
      </w:r>
    </w:p>
    <w:p w:rsidR="00FF5321" w:rsidRPr="003277B4" w:rsidRDefault="00FF5321">
      <w:pPr>
        <w:pStyle w:val="NormalWeb"/>
        <w:spacing w:before="0" w:after="0"/>
        <w:ind w:firstLine="709"/>
      </w:pPr>
    </w:p>
    <w:p w:rsidR="00FF5321" w:rsidRPr="003277B4" w:rsidRDefault="0078133A">
      <w:pPr>
        <w:pStyle w:val="NormalWeb"/>
        <w:spacing w:before="0" w:after="0"/>
        <w:ind w:firstLine="709"/>
      </w:pPr>
      <w:r>
        <w:t>visto il parere del Consiglio superiore dell'energia del GGMMAAAA;</w:t>
      </w:r>
    </w:p>
    <w:p w:rsidR="00FF5321" w:rsidRPr="003277B4" w:rsidRDefault="00FF5321">
      <w:pPr>
        <w:pStyle w:val="NormalWeb"/>
        <w:spacing w:before="0" w:after="0"/>
      </w:pPr>
    </w:p>
    <w:p w:rsidR="00FF5321" w:rsidRPr="003277B4" w:rsidRDefault="0078133A">
      <w:pPr>
        <w:pStyle w:val="NormalWeb"/>
        <w:spacing w:before="0" w:after="0"/>
        <w:ind w:firstLine="709"/>
      </w:pPr>
      <w:r>
        <w:t>visto il parere del Consiglio nazionale di valutazione delle norme del GGMMAAAA;</w:t>
      </w:r>
    </w:p>
    <w:p w:rsidR="00FF5321" w:rsidRPr="003277B4" w:rsidRDefault="00FF5321">
      <w:pPr>
        <w:pStyle w:val="NormalWeb"/>
        <w:spacing w:before="0" w:after="0"/>
        <w:ind w:firstLine="709"/>
      </w:pPr>
    </w:p>
    <w:p w:rsidR="00FF5321" w:rsidRPr="003277B4" w:rsidRDefault="0078133A">
      <w:pPr>
        <w:pStyle w:val="NormalWeb"/>
        <w:spacing w:before="0" w:after="0"/>
        <w:ind w:firstLine="709"/>
      </w:pPr>
      <w:r>
        <w:t>viste le osservazioni formulate durante la consultazione del pubblico svoltasi dal GGMMAAAA al GGMMAAAA in applicazione dell'articolo L. 123-19-1 del codice dell'ambiente;</w:t>
      </w:r>
    </w:p>
    <w:p w:rsidR="00FF5321" w:rsidRPr="003277B4" w:rsidRDefault="00FF5321">
      <w:pPr>
        <w:pStyle w:val="NormalWeb"/>
        <w:spacing w:before="0" w:after="0"/>
        <w:ind w:firstLine="709"/>
      </w:pPr>
    </w:p>
    <w:p w:rsidR="00FF5321" w:rsidRPr="003277B4" w:rsidRDefault="0078133A">
      <w:pPr>
        <w:pStyle w:val="NormalWeb"/>
        <w:spacing w:before="0" w:after="0"/>
        <w:ind w:firstLine="709"/>
      </w:pPr>
      <w:r>
        <w:t>sentito il Consiglio di Stato (sezione opere pubbliche);</w:t>
      </w:r>
    </w:p>
    <w:p w:rsidR="00FF5321" w:rsidRPr="003277B4" w:rsidRDefault="00FF5321">
      <w:pPr>
        <w:pStyle w:val="SNVisa"/>
        <w:spacing w:before="0" w:after="0"/>
        <w:ind w:firstLine="709"/>
        <w:jc w:val="both"/>
      </w:pPr>
    </w:p>
    <w:p w:rsidR="00FF5321" w:rsidRPr="003277B4" w:rsidRDefault="00FF5321">
      <w:pPr>
        <w:pStyle w:val="SNActe"/>
        <w:spacing w:before="0" w:after="0"/>
        <w:ind w:firstLine="709"/>
      </w:pPr>
    </w:p>
    <w:p w:rsidR="00FF5321" w:rsidRPr="003277B4" w:rsidRDefault="00FF5321">
      <w:pPr>
        <w:pStyle w:val="SNActe"/>
        <w:spacing w:before="0" w:after="0"/>
        <w:ind w:firstLine="709"/>
      </w:pPr>
    </w:p>
    <w:p w:rsidR="00FF5321" w:rsidRPr="003277B4" w:rsidRDefault="00FF5321">
      <w:pPr>
        <w:pStyle w:val="SNActe"/>
        <w:spacing w:before="0" w:after="0"/>
        <w:ind w:firstLine="709"/>
      </w:pPr>
    </w:p>
    <w:p w:rsidR="00FF5321" w:rsidRPr="003277B4" w:rsidRDefault="0078133A" w:rsidP="000E5B68">
      <w:pPr>
        <w:pStyle w:val="SNActe"/>
        <w:keepNext/>
        <w:spacing w:before="0" w:after="0"/>
        <w:ind w:firstLine="709"/>
      </w:pPr>
      <w:r>
        <w:t>decreta:</w:t>
      </w:r>
    </w:p>
    <w:p w:rsidR="00FF5321" w:rsidRPr="003277B4" w:rsidRDefault="00FF5321" w:rsidP="000E5B68">
      <w:pPr>
        <w:pStyle w:val="SNActe"/>
        <w:keepNext/>
        <w:spacing w:before="0" w:after="0"/>
        <w:ind w:firstLine="709"/>
      </w:pPr>
    </w:p>
    <w:p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>Articolo 1</w:t>
      </w:r>
    </w:p>
    <w:p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:rsidR="00FF5321" w:rsidRPr="003277B4" w:rsidRDefault="0078133A" w:rsidP="000E5B68">
      <w:pPr>
        <w:pStyle w:val="BodyText"/>
        <w:keepNext/>
        <w:spacing w:after="0"/>
        <w:ind w:firstLine="709"/>
      </w:pPr>
      <w:r>
        <w:t>Nel libro I del codice edilizio e abitativo, all'inizio del titolo III è inserito un capitolo preliminare formulato come segue:</w:t>
      </w:r>
    </w:p>
    <w:p w:rsidR="00FF5321" w:rsidRPr="003277B4" w:rsidRDefault="0078133A">
      <w:pPr>
        <w:pStyle w:val="western"/>
      </w:pPr>
      <w:r>
        <w:t>"Capitolo preliminare: prestazione ambientale degli impianti di riscaldamento e di produzione di acqua calda sanitaria</w:t>
      </w:r>
    </w:p>
    <w:p w:rsidR="00FF5321" w:rsidRPr="003277B4" w:rsidRDefault="0078133A" w:rsidP="000E5B68">
      <w:pPr>
        <w:pStyle w:val="western"/>
        <w:keepNext/>
      </w:pPr>
      <w:r>
        <w:t>"Articolo R.130-1:</w:t>
      </w:r>
    </w:p>
    <w:p w:rsidR="00FF5321" w:rsidRPr="003277B4" w:rsidRDefault="00DF19CD">
      <w:pPr>
        <w:pStyle w:val="western"/>
      </w:pPr>
      <w:r>
        <w:t>"I. - L'installazione, negli edifici, di impianti di riscaldamento o di produzione di acqua calda sanitaria che consumano principalmente combustibili con emissioni di gas serra maggiori o uguali a 250 gCO2eq/kWh PCI, è vietata, inclusa la sostituzione di apparecchi esistenti.</w:t>
      </w:r>
    </w:p>
    <w:p w:rsidR="0060561A" w:rsidRPr="003277B4" w:rsidRDefault="00DF19CD" w:rsidP="000E5B68">
      <w:pPr>
        <w:pStyle w:val="western"/>
        <w:keepNext/>
      </w:pPr>
      <w:r>
        <w:t>"II. - Suddetta disposizione non è applicabile agli edifici esistenti nei quali:</w:t>
      </w:r>
    </w:p>
    <w:p w:rsidR="0060561A" w:rsidRPr="003277B4" w:rsidRDefault="0060561A">
      <w:pPr>
        <w:pStyle w:val="western"/>
      </w:pPr>
      <w:r>
        <w:t>"1° si dimostri un'evidente impossibilità tecnica di sostituire l'impianto esistente con un impianto di riscaldamento o di produzione di acqua calda sanitaria che rispetta la soglia di emissioni di gas serra definita al punto I, in particolare per motivi di ingombro, in caso di non conformità a servitù o alle disposizioni legislative o regolamentari in materia di diritto fondiario o di proprietà oppure</w:t>
      </w:r>
    </w:p>
    <w:p w:rsidR="00DF19CD" w:rsidRPr="003277B4" w:rsidRDefault="0060561A">
      <w:pPr>
        <w:pStyle w:val="western"/>
      </w:pPr>
      <w:r>
        <w:t xml:space="preserve">"2° si dimostri l'assenza di una soluzione per l'allacciamento alle reti di riscaldamento o di gas naturale (metanifere) e quando l'installazione di un nuovo impianto che rispetta le disposizioni del paragrafo I richieda lavori di rinforzo sulla rete pubblica di distribuzione dell'energia elettrica. </w:t>
      </w:r>
    </w:p>
    <w:p w:rsidR="00166E29" w:rsidRPr="003277B4" w:rsidRDefault="00DF19CD" w:rsidP="009D5007">
      <w:pPr>
        <w:pStyle w:val="western"/>
        <w:spacing w:before="0"/>
      </w:pPr>
      <w:r>
        <w:t>"III. - Il committente dimostra che l'edificio rientra in uno dei casi di cui al paragrafo II producendo una nota redatta da un soggetto qualificato sotto la sua responsabilità.</w:t>
      </w:r>
    </w:p>
    <w:p w:rsidR="00FF5321" w:rsidRPr="003277B4" w:rsidRDefault="00166E29" w:rsidP="00426DA9">
      <w:pPr>
        <w:pStyle w:val="western"/>
        <w:spacing w:before="0" w:after="0"/>
      </w:pPr>
      <w:r>
        <w:t>"IV. - Le disposizioni del presente articolo sono applicabili ai lavori di costruzione di edifici nuovi con domanda di autorizzazione edilizia presentata dopo il 1° luglio 2021 e agli edifici esistenti i cui lavori indicati al paragrafo I sono stati avviati dopo il 1° gennaio 2022. "</w:t>
      </w:r>
    </w:p>
    <w:p w:rsidR="00FF5321" w:rsidRPr="003277B4" w:rsidRDefault="00FF5321">
      <w:pPr>
        <w:ind w:firstLine="709"/>
      </w:pPr>
    </w:p>
    <w:p w:rsidR="00FF5321" w:rsidRPr="003277B4" w:rsidRDefault="00FF5321">
      <w:pPr>
        <w:ind w:firstLine="709"/>
        <w:rPr>
          <w:bCs/>
        </w:rPr>
      </w:pPr>
    </w:p>
    <w:p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</w:rPr>
        <w:t>Articolo 2</w:t>
      </w:r>
    </w:p>
    <w:p w:rsidR="00FF5321" w:rsidRPr="003277B4" w:rsidRDefault="00FF5321" w:rsidP="000E5B68">
      <w:pPr>
        <w:keepNext/>
        <w:ind w:firstLine="709"/>
        <w:jc w:val="both"/>
      </w:pPr>
    </w:p>
    <w:p w:rsidR="00FF5321" w:rsidRPr="003277B4" w:rsidRDefault="0078133A">
      <w:pPr>
        <w:ind w:firstLine="709"/>
        <w:jc w:val="both"/>
      </w:pPr>
      <w:r>
        <w:t xml:space="preserve">La ministra della Transizione ecologica e la ministra delegata presso la ministra della Transizione ecologica, responsabile dell'edilizia abitativa, sono responsabili dell'esecuzione del presente decreto che sarà pubblicato nella </w:t>
      </w:r>
      <w:r>
        <w:rPr>
          <w:i/>
        </w:rPr>
        <w:t>Gazzetta ufficiale</w:t>
      </w:r>
      <w:r>
        <w:t xml:space="preserve"> della Repubblica francese.</w:t>
      </w:r>
    </w:p>
    <w:p w:rsidR="00FF5321" w:rsidRPr="003277B4" w:rsidRDefault="00FF5321">
      <w:pPr>
        <w:ind w:firstLine="709"/>
        <w:jc w:val="both"/>
      </w:pPr>
    </w:p>
    <w:p w:rsidR="00FF5321" w:rsidRPr="003277B4" w:rsidRDefault="00FF5321">
      <w:pPr>
        <w:ind w:firstLine="709"/>
        <w:jc w:val="both"/>
      </w:pPr>
    </w:p>
    <w:p w:rsidR="00FF5321" w:rsidRPr="003277B4" w:rsidRDefault="0078133A">
      <w:r>
        <w:t xml:space="preserve">Redatto il </w:t>
      </w:r>
    </w:p>
    <w:p w:rsidR="00544005" w:rsidRPr="003277B4" w:rsidRDefault="00544005"/>
    <w:p w:rsidR="00544005" w:rsidRPr="003277B4" w:rsidRDefault="00544005">
      <w:r>
        <w:t>Dal Primo ministro</w:t>
      </w:r>
    </w:p>
    <w:p w:rsidR="00FF5321" w:rsidRPr="003277B4" w:rsidRDefault="00FF5321"/>
    <w:p w:rsidR="00FF5321" w:rsidRPr="003277B4" w:rsidRDefault="00FF5321">
      <w:pPr>
        <w:rPr>
          <w:lang w:eastAsia="fr-FR"/>
        </w:rPr>
      </w:pPr>
      <w:bookmarkStart w:id="0" w:name="_GoBack"/>
      <w:bookmarkEnd w:id="0"/>
    </w:p>
    <w:p w:rsidR="00FF5321" w:rsidRPr="003277B4" w:rsidRDefault="0078133A">
      <w:pPr>
        <w:suppressAutoHyphens w:val="0"/>
        <w:jc w:val="right"/>
      </w:pPr>
      <w:r>
        <w:t>La ministra della Transizione ecologica,</w:t>
      </w:r>
    </w:p>
    <w:p w:rsidR="00FF5321" w:rsidRPr="003277B4" w:rsidRDefault="00FF5321">
      <w:pPr>
        <w:suppressAutoHyphens w:val="0"/>
        <w:rPr>
          <w:lang w:eastAsia="fr-FR"/>
        </w:rPr>
      </w:pPr>
    </w:p>
    <w:p w:rsidR="00FF5321" w:rsidRPr="003277B4" w:rsidRDefault="00FF5321">
      <w:pPr>
        <w:suppressAutoHyphens w:val="0"/>
        <w:rPr>
          <w:lang w:eastAsia="fr-FR"/>
        </w:rPr>
      </w:pPr>
    </w:p>
    <w:p w:rsidR="00FF5321" w:rsidRPr="003277B4" w:rsidRDefault="0078133A">
      <w:pPr>
        <w:suppressAutoHyphens w:val="0"/>
        <w:jc w:val="right"/>
      </w:pPr>
      <w:r>
        <w:t>Barbara POMPILI</w:t>
      </w:r>
    </w:p>
    <w:p w:rsidR="00FF5321" w:rsidRPr="003277B4" w:rsidRDefault="00FF5321">
      <w:pPr>
        <w:suppressAutoHyphens w:val="0"/>
        <w:jc w:val="right"/>
        <w:rPr>
          <w:lang w:eastAsia="fr-FR"/>
        </w:rPr>
      </w:pPr>
    </w:p>
    <w:p w:rsidR="00FF5321" w:rsidRPr="003277B4" w:rsidRDefault="0078133A" w:rsidP="00564508">
      <w:pPr>
        <w:suppressAutoHyphens w:val="0"/>
        <w:ind w:right="4032"/>
      </w:pPr>
      <w:r>
        <w:t>La ministra delegata presso la ministra della Transizione ecologica, responsabile dell'edilizia abitativa,</w:t>
      </w:r>
    </w:p>
    <w:p w:rsidR="00FF5321" w:rsidRPr="003277B4" w:rsidRDefault="00FF5321">
      <w:pPr>
        <w:suppressAutoHyphens w:val="0"/>
        <w:rPr>
          <w:lang w:eastAsia="fr-FR"/>
        </w:rPr>
      </w:pPr>
    </w:p>
    <w:p w:rsidR="00FF5321" w:rsidRPr="003277B4" w:rsidRDefault="0078133A" w:rsidP="0078133A">
      <w:pPr>
        <w:suppressAutoHyphens w:val="0"/>
      </w:pPr>
      <w:r>
        <w:t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14" w:rsidRDefault="002C7214" w:rsidP="004C2249">
      <w:r>
        <w:separator/>
      </w:r>
    </w:p>
  </w:endnote>
  <w:endnote w:type="continuationSeparator" w:id="0">
    <w:p w:rsidR="002C7214" w:rsidRDefault="002C7214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14" w:rsidRDefault="002C7214" w:rsidP="004C2249">
      <w:r>
        <w:separator/>
      </w:r>
    </w:p>
  </w:footnote>
  <w:footnote w:type="continuationSeparator" w:id="0">
    <w:p w:rsidR="002C7214" w:rsidRDefault="002C7214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1"/>
    <w:rsid w:val="00015377"/>
    <w:rsid w:val="00093A8C"/>
    <w:rsid w:val="000A51D1"/>
    <w:rsid w:val="000E5B68"/>
    <w:rsid w:val="00144D22"/>
    <w:rsid w:val="00166E29"/>
    <w:rsid w:val="002C7214"/>
    <w:rsid w:val="002F0865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宋体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4D3C-88B5-455C-8BE2-177015FB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Ke, Tingting</cp:lastModifiedBy>
  <cp:revision>8</cp:revision>
  <dcterms:created xsi:type="dcterms:W3CDTF">2020-12-30T13:00:00Z</dcterms:created>
  <dcterms:modified xsi:type="dcterms:W3CDTF">2021-01-22T09:05:00Z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