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GOSPODARSTVO IN POMORSKE ZADEVE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Urad državnega sekretarja za gospodarstvo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Odlok št. 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Povzetek: Odlok o uredbi o pravnem meroslovnem nadzoru merilnikov motnosti.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Meroslovni nadzor merilnih metod in instrumentov na Portugalskem je v skladu s splošno shemo, odobreno z Uredbo z zakonsko močjo št. 29/2022 z dne 7. aprila 2022, splošnimi predpisi iz Splošne uredbe o meroslovnem nadzoru, ki je bila odobrena z odlokom št. 211/2022 z dne 23. avgusta 2022, in določbami iz posebnih odlokov za vsak merilni instrument.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V zvezi z objavo te pravne sheme je treba sprejeti posebne predpise, ki jih je treba spoštovati pri meroslovnem nadzoru merilnikov motnosti, s čimer se razveljavi Odlok št. 797/2009 z dne 1. decembra 2009.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Ta odlok je bil predmet postopka obveščanja na področju tehničnih predpisov in pravil o storitvah informacijske družbe iz Direktive (EU) 2015/1535 Evropskega parlamenta in Sveta z dne 9. septembra 2015.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Zato: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v skladu s členom 2(a) in členom 25(1) Uredbe z zakonsko močjo št. 29/2022 z dne 7. aprila 2022 v povezavi z določbami člena 1(4) predpisov, priloženih Odloku št. 211/2022 z dne 23. avgusta 2022, vlada prek državnega sekretarja za gospodarstvo določa: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Člen 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Predmet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Odobrijo se predpisi o zakonskem meroslovnem nadzoru merilnikov motnosti, ki so priloga k temu odloku in njegov sestavni del.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3D7A83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Člen 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Klavzula o razveljavitvi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Odlok št. 797/2009 z dne 1. decembra 2009 se razveljavi.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Začetek veljavnosti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Ta odlok začne veljati dan po objavi.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xx xxxxxx 2023. – Državni sekretar za gospodarstvo,</w:t>
      </w:r>
      <w:r>
        <w:rPr>
          <w:rFonts w:ascii="Garamond" w:hAnsi="Garamond"/>
          <w:i/>
          <w:sz w:val="24"/>
        </w:rPr>
        <w:t xml:space="preserve"> 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PRILOGA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UREDBA O PRAVNEM MEROSLOVNEM NADZORU MERILNIKOV MOTNOSTI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Področje uporabe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Ti predpisi se uporabljajo za zakonski meroslovni nadzor merilnikov motnosti, namenjenih merjenju motnosti emisij izpušnih plinov iz vozil na dizelski pogon.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Opredelitev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V teh predpisih merilniki motnosti pomenijo instrumente, zasnovane za stalno merjenje motnosti emisij izpušnih plinov iz vozil.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Člen 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Dajanje v uporabo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Merilniki motnosti morajo izpolnjevati opredeljene meroslovne in tehnične zahteve </w:t>
      </w:r>
      <w:bookmarkStart w:id="2" w:name="_Hlk63409046"/>
      <w:bookmarkStart w:id="3" w:name="_Hlk63674255"/>
      <w:r>
        <w:rPr>
          <w:rFonts w:ascii="Garamond" w:hAnsi="Garamond"/>
          <w:sz w:val="24"/>
        </w:rPr>
        <w:t xml:space="preserve">iz </w:t>
      </w:r>
      <w:bookmarkEnd w:id="2"/>
      <w:bookmarkEnd w:id="3"/>
      <w:r>
        <w:rPr>
          <w:rFonts w:ascii="Garamond" w:hAnsi="Garamond"/>
          <w:sz w:val="24"/>
        </w:rPr>
        <w:t>standarda ISO 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Indikacije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Indikacije merilnikov motnosti se izrazijo s koeficientom absorpcije svetlobe, ki ga predstavlja simbol k, in v enoti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Vrednosti motnosti so odstotki in izražene s simbolom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Če je pretvorbeni faktor ustrezno izražen, se lahko sprejmejo druge enakovredne enote, ki temeljijo na enotah mednarodnega sistema enot (SI).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3D7A83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Člen 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Zakonski meroslovni nadzor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Zakonski meroslovni nadzor </w:t>
      </w:r>
      <w:bookmarkStart w:id="4" w:name="_Hlk106875133"/>
      <w:r>
        <w:rPr>
          <w:rFonts w:ascii="Garamond" w:hAnsi="Garamond"/>
          <w:sz w:val="24"/>
        </w:rPr>
        <w:t xml:space="preserve">merilnikov motnosti </w:t>
      </w:r>
      <w:bookmarkEnd w:id="4"/>
      <w:r>
        <w:rPr>
          <w:rFonts w:ascii="Garamond" w:hAnsi="Garamond"/>
          <w:sz w:val="24"/>
        </w:rPr>
        <w:t>je v pristojnosti portugalskega inštituta za kakovost I. P. (IPQ, I. P.) in zajema postopke odobritve modela, prvega preverjanja, rednega preverjanja in izrednega preverjanja.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Odobritev tipa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Odobritev modela mora biti v skladu z zahtevami iz člena 7 Uredbe z zakonsko močjo št. 29/2022 z dne 7. aprila 2022 in člena 2 predpisov, priloženih Odloku št. 211/2022 z dne 23. avgusta 2022.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V obdobju veljavnosti odobritve modela se v primeru katere koli ali vseh sprememb odobrenega modela, vključno z zamenjavo sestavnih delov, dodajanjem dodatne naprave, </w:t>
      </w:r>
      <w:r>
        <w:rPr>
          <w:rFonts w:ascii="Garamond" w:hAnsi="Garamond"/>
          <w:color w:val="000000"/>
          <w:sz w:val="24"/>
        </w:rPr>
        <w:t xml:space="preserve">spremembo nameščenega računalniškega programa </w:t>
      </w:r>
      <w:r>
        <w:rPr>
          <w:rFonts w:ascii="Garamond" w:hAnsi="Garamond"/>
          <w:i/>
          <w:color w:val="000000"/>
          <w:sz w:val="24"/>
        </w:rPr>
        <w:t>(programske opreme)</w:t>
      </w:r>
      <w:r>
        <w:rPr>
          <w:rFonts w:ascii="Garamond" w:hAnsi="Garamond"/>
          <w:color w:val="000000"/>
          <w:sz w:val="24"/>
        </w:rPr>
        <w:t xml:space="preserve"> ali spremembami, ki lahko vplivajo na rezultate meritev ali predpisane pogoje uporabe, zahteva dodatna odobritev modela.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 xml:space="preserve">(3) </w:t>
      </w:r>
      <w:r>
        <w:rPr>
          <w:rFonts w:ascii="Garamond" w:hAnsi="Garamond"/>
          <w:sz w:val="24"/>
        </w:rPr>
        <w:t xml:space="preserve">Računalniški </w:t>
      </w:r>
      <w:r>
        <w:rPr>
          <w:rFonts w:ascii="Garamond" w:hAnsi="Garamond"/>
          <w:color w:val="000000"/>
          <w:sz w:val="24"/>
        </w:rPr>
        <w:t xml:space="preserve">programi, ki jih uporabljajo </w:t>
      </w:r>
      <w:bookmarkStart w:id="5" w:name="_Hlk126936097"/>
      <w:r>
        <w:rPr>
          <w:rFonts w:ascii="Garamond" w:hAnsi="Garamond"/>
          <w:sz w:val="24"/>
        </w:rPr>
        <w:t>merilniki motnosti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, morajo zagotavljati celovitost in zaupnost pridobljenih in predstavljenih podatkov ter biti predmet edinstvene in nedvoumne identifikacije.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Prvo preverjanje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Prvo preverjanje se opravi pred dajanjem instrumenta na trg ali po njegovem popravilu in kadar pride do posega v sistem zapečatenja, ne da bi bilo treba izvesti redno preverjanje v navedenem letu, z enakim obdobjem veljavnosti.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Preskusi v okviru prvega preverjanja se izvedejo v skladu z meroslovnimi in tehničnimi zahtevami iz člena 3 teh predpisov.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(3)</w:t>
      </w:r>
      <w:bookmarkEnd w:id="6"/>
      <w:r>
        <w:rPr>
          <w:rFonts w:ascii="Garamond" w:hAnsi="Garamond"/>
          <w:sz w:val="24"/>
        </w:rPr>
        <w:t xml:space="preserve"> Vrednosti največjih dovoljenih pogreškov za prvo preverjanje so enake ±2 % motnosti,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Člen 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Redno preverjanje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(1) Redno preverjanje se izvaja letno in velja eno leto po zaključku.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Preskusi v okviru rednega preverjanja so enaki tistim, ki so bili določeni za prvo preverjanje.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Vrednosti največjih dopustnih pogreškov pri rednem preverjanju so enaki vrednostim največjih dopustnih pogreškov, ugotovljenih med prvim preverjanjem.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Izredno preverjanje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Izredno preverjanje vključuje preskuse rednega preverjanja.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Pri izrednem preverjanju so vrednosti največjih dopustnih pogreškov enake vrednostim največjih dopustnih pogreškov, določenih za redno preverjanje.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Člen 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Napisi in oznake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Merilniki motnosti imajo v vidni in čitljivi obliki napise in oznake, ki so v skladu z meroslovnimi zahtevami, določenimi v členu 3 teh predpisov.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Merilniki motnosti so opremljeni tudi s simbolom odobritve modela in drugimi simboli ali sklici, povezanimi z njihovo uporabo.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Člen 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Prehodna določba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Instrumenti, ki so v uporabi, lahko ostanejo v uporabi, dokler so v dobrem stanju in če se pri meroslovnih preskusih za preverjanje pojavijo samo napake, ki ne presegajo največjih dopustnih pogreškov.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3D7A83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Člen 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Končna utemeljitev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Določbe prejšnjih členov ne preprečujejo trženja ali nadaljnje uporabe merilnikov motnosti, ki so jim priložena potrdila o ugotavljanju skladnosti, ki jih izdajo organi, priznani po veljavni zakonodaji Evropske unije, v okviru zakonskega meroslovnega nadzora na podlagi specifikacij in postopkov, ki zagotavljajo meroslovno kakovost, kot je predvidena v teh predpisih, pri čemer enakovrednost ocenjuje IPQ,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D7A83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customXml/itemProps4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