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 xml:space="preserve">4. PEATÜKK:</w:t>
      </w:r>
      <w:r>
        <w:rPr>
          <w:sz w:val="22"/>
        </w:rPr>
        <w:t xml:space="preserve"> </w:t>
      </w:r>
      <w:r>
        <w:rPr>
          <w:sz w:val="22"/>
        </w:rPr>
        <w:t xml:space="preserve">Transpordivahendite juurdepääsetavus</w:t>
      </w:r>
    </w:p>
    <w:p w14:paraId="456422CC" w14:textId="551AF3E3" w:rsidR="00CC0ADF" w:rsidRPr="00CC0ADF" w:rsidRDefault="00CC0ADF" w:rsidP="000F4434">
      <w:pPr>
        <w:pStyle w:val="ListParagraph"/>
        <w:numPr>
          <w:ilvl w:val="1"/>
          <w:numId w:val="2"/>
        </w:numPr>
        <w:ind w:left="709"/>
        <w:jc w:val="both"/>
        <w:outlineLvl w:val="3"/>
        <w:rPr>
          <w:bCs/>
          <w:sz w:val="22"/>
          <w:szCs w:val="22"/>
          <w:rFonts w:cs="Arial"/>
        </w:rPr>
      </w:pPr>
      <w:r>
        <w:rPr>
          <w:sz w:val="22"/>
        </w:rPr>
        <w:t xml:space="preserve">Kui taksoteenust pakutakse telefonibroneeringuid kasutades, peab see teenus laiendama päringuvahendeid, kasutades uusi tehnoloogiaid, rakendusi, internetti, tekstisõnumeid, fakse või muid sarnaseid vahendeid, et kõik kasutajad, sealhulgas kuulmispuudega kasutajad, saaksid teenuse kasutamist iseseisvalt taotleda.</w:t>
      </w:r>
    </w:p>
    <w:p w14:paraId="2D97C4D3" w14:textId="77777777" w:rsidR="00CC0ADF" w:rsidRPr="000F0A63" w:rsidRDefault="00CC0ADF" w:rsidP="000F4434">
      <w:pPr>
        <w:pStyle w:val="ListParagraph"/>
        <w:numPr>
          <w:ilvl w:val="1"/>
          <w:numId w:val="2"/>
        </w:numPr>
        <w:ind w:left="709"/>
        <w:jc w:val="both"/>
        <w:outlineLvl w:val="3"/>
        <w:rPr>
          <w:bCs/>
          <w:sz w:val="22"/>
          <w:szCs w:val="22"/>
          <w:rFonts w:cs="Arial"/>
        </w:rPr>
      </w:pPr>
      <w:r>
        <w:rPr>
          <w:sz w:val="22"/>
        </w:rPr>
        <w:t xml:space="preserve">Kui tellitava takso teenusel on veebisait, peab see olema kättesaadav vähemalt WCAG 2.1 suuniste AA tasandil.</w:t>
      </w:r>
      <w:r>
        <w:rPr>
          <w:sz w:val="22"/>
        </w:rPr>
        <w:t xml:space="preserve"> </w:t>
      </w:r>
    </w:p>
    <w:p w14:paraId="4AEFA1EE" w14:textId="2FEB6DE3" w:rsidR="00CC0ADF" w:rsidRDefault="00CC0ADF" w:rsidP="000F4434">
      <w:pPr>
        <w:pStyle w:val="ListParagraph"/>
        <w:numPr>
          <w:ilvl w:val="1"/>
          <w:numId w:val="3"/>
        </w:numPr>
        <w:ind w:left="709" w:hanging="709"/>
        <w:jc w:val="both"/>
        <w:outlineLvl w:val="3"/>
        <w:rPr>
          <w:bCs/>
          <w:sz w:val="22"/>
          <w:szCs w:val="22"/>
          <w:rFonts w:cs="Arial"/>
        </w:rPr>
      </w:pPr>
      <w:r>
        <w:rPr>
          <w:sz w:val="22"/>
        </w:rPr>
        <w:t xml:space="preserve">Piiratud liikumisvõimega inimestele telefoni, interneti või mobiilirakenduse kaudu juurdepääsetava takso rentimise suhtes ei saa kohaldada eeldatava nõudluse lisandit.</w:t>
      </w:r>
      <w:r>
        <w:rPr>
          <w:sz w:val="22"/>
        </w:rPr>
        <w:t xml:space="preserve"> </w:t>
      </w:r>
      <w:r>
        <w:rPr>
          <w:sz w:val="22"/>
        </w:rPr>
        <w:t xml:space="preserve">Puudega isiku kaart on tõendiks juhul, kui seda nõutakse.</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 xml:space="preserve">5. PEATÜKK:</w:t>
      </w:r>
      <w:r>
        <w:rPr>
          <w:sz w:val="22"/>
        </w:rPr>
        <w:t xml:space="preserve"> </w:t>
      </w:r>
      <w:r>
        <w:rPr>
          <w:sz w:val="22"/>
        </w:rPr>
        <w:t xml:space="preserve">Toodete kättesaadavus</w:t>
      </w:r>
    </w:p>
    <w:p w14:paraId="183BC7CF" w14:textId="76471CF5" w:rsidR="00CC0ADF" w:rsidRPr="000F0A63" w:rsidRDefault="00CC0ADF" w:rsidP="00CC0ADF">
      <w:pPr>
        <w:keepNext/>
        <w:jc w:val="both"/>
        <w:outlineLvl w:val="2"/>
        <w:rPr>
          <w:bCs/>
          <w:sz w:val="22"/>
          <w:szCs w:val="22"/>
          <w:rFonts w:cs="Arial"/>
        </w:rPr>
      </w:pPr>
      <w:bookmarkStart w:id="0" w:name="_Ref447791242"/>
      <w:r>
        <w:rPr>
          <w:sz w:val="22"/>
        </w:rPr>
        <w:t xml:space="preserve">Artikkel 116.</w:t>
      </w:r>
      <w:r>
        <w:rPr>
          <w:sz w:val="22"/>
        </w:rPr>
        <w:tab/>
      </w:r>
      <w:r>
        <w:rPr>
          <w:sz w:val="22"/>
        </w:rPr>
        <w:t xml:space="preserve">Tarbekaubad</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bCs/>
          <w:sz w:val="22"/>
          <w:szCs w:val="22"/>
          <w:rFonts w:cs="Arial"/>
        </w:rPr>
      </w:pPr>
      <w:r>
        <w:rPr>
          <w:sz w:val="22"/>
        </w:rPr>
        <w:t xml:space="preserve">Toodet peetakse juurdepääsetavaks, kui see vastab järgmistele tingimustele.</w:t>
      </w:r>
    </w:p>
    <w:p w14:paraId="197D9229"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Sellel on oma omadustele vastav juurdepääsetav märgis, mis võimaldab selle identifitseerimist koos nimetuse ja kõige asjakohasema teabega.</w:t>
      </w:r>
    </w:p>
    <w:p w14:paraId="015CE9DE"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Selle projekteerimisel järgitakse universaalseid konstruktsioonikriteeriume koos sobivate kasutus- ja ohutustingimustega igale kasutajale.</w:t>
      </w:r>
    </w:p>
    <w:p w14:paraId="64849B40"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Lisateavet, juhiseid või prospekte võib vaadata interneti, seadmerakenduste ja uute tehnoloogiate kasutamise kaudu, kusjuures kättesaadav sisu vastab lisa 5a punktide 25 ja 26 tingimustele.</w:t>
      </w:r>
    </w:p>
    <w:p w14:paraId="4E44C98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Toodet turustavad ettevõtted vastutavad selle eest, et toote suhtes kohaldatavad juurdepääsutingimused oleksid täidetud.</w:t>
      </w:r>
    </w:p>
    <w:p w14:paraId="3FF43F32"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Ravimid ja ohtlikud tooted peavad sisaldama andmeelemente ja -süsteeme, et pimedatel või pimekurtidel oleks juurdepääs järgmisele teabele.</w:t>
      </w:r>
      <w:r>
        <w:rPr>
          <w:sz w:val="22"/>
        </w:rPr>
        <w:t xml:space="preserve">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Toote nimetuse identifitseerimine pakendil Braille’i kirja ja ikonograafia abil.</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Pakendil olev aegumiskuupäev Braille’i kirja ja ikonograafia või muude samade omadustega alternatiivsete ressursside abil.</w:t>
      </w:r>
      <w:r>
        <w:rPr>
          <w:sz w:val="22"/>
        </w:rPr>
        <w:t xml:space="preserve">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i/>
          <w:sz w:val="22"/>
          <w:szCs w:val="22"/>
          <w:rFonts w:cs="Arial"/>
        </w:rPr>
      </w:pPr>
      <w:r>
        <w:rPr>
          <w:sz w:val="22"/>
        </w:rPr>
        <w:t xml:space="preserve">Toote põhiomadused, nagu selle koostis ja säilitamine, muu hulgas interneti kaudu audiootsingu teel või muul viisil, mis võimaldab uut tehnoloogiat, millel on sama tõhusus, kui seda taotlevad nägemispuudega inimesed.</w:t>
      </w:r>
      <w:r>
        <w:rPr>
          <w:sz w:val="22"/>
        </w:rPr>
        <w:t xml:space="preserve"> </w:t>
      </w:r>
    </w:p>
    <w:p w14:paraId="4F2A53F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Supermarketite ketid ja ettevõtted, kellel on toiduaineid või segaettevõtted, peavad pimeda inimese või nende sugulase taotlusel tagama pimeda inimese või nende sugulase taotlusel kõigis kohtades, kus neil on üle 250 m² kasuliku pindala avalikuks kasutamiseks, järgmised tingimused.</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Vähemalt üks paikkonna ettevõte märgistab nimetusi ja aegumiskuupäevi Braille’i kirjas kiiresti riknevatel toodetel või toodetel, mis võivad põhjustada segadust, kasutades selleks printereid või süsteeme, mis võimaldavad sellist märgistamist Braille’i kirjas ettevõttes endas.</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Seda, et internetis müüdavad ja kodudesse toimetatavad tooted on märgistatud ka Braille’i kirjas, nagu on märgitud eelnevas punktis.</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Interneti või muude vahendite kaudu toimuv kaubanduslik levitamine annab kättesaadavas vormis teavet selle kohta, kus on ruumid, mis pakuvad võimalust märgistada tooteid Braille’i kirjas.</w:t>
      </w:r>
    </w:p>
    <w:p w14:paraId="5332F12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Üle 50 000 elanikuga omavalitsusüksustes peetakse iga naabruskonda erinevaks territoriaalseks alaks ja eelmise lõike kohaldamisel on see samaväärne paikkonnaga.</w:t>
      </w:r>
      <w:r>
        <w:rPr>
          <w:sz w:val="22"/>
        </w:rPr>
        <w:t xml:space="preserve"> </w:t>
      </w:r>
    </w:p>
    <w:p w14:paraId="6459331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Kataloonia valitsus peab järk-järgult välja töötama tehnilised juhised, mis sisaldavad uusi tehnoloogilisi edusamme, ning määrama kindlaks juurdepääsetava märgistuse spetsifikatsioonid, tähtajad, omadused ja kriteeriumid ning eri kaubandussektorite toodete suhtes kohaldatavad universaalsed disainisuunised.</w:t>
      </w:r>
      <w:r>
        <w:rPr>
          <w:sz w:val="22"/>
        </w:rPr>
        <w:t xml:space="preserve"> </w:t>
      </w:r>
    </w:p>
    <w:p w14:paraId="4D08CFD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Nägemispuudega ja pimekurtidel tarbijatel on õigus pääseda ligi samale tooteteabele, mis kõigil tarbijatel ja kasutajatel on märgistusel sõltumatult, tavaliselt, lihtsalt, kohe ja võrdsetel tingimustel.</w:t>
      </w:r>
      <w:r>
        <w:rPr>
          <w:sz w:val="22"/>
        </w:rPr>
        <w:t xml:space="preserve"> </w:t>
      </w:r>
      <w:r>
        <w:rPr>
          <w:sz w:val="22"/>
        </w:rPr>
        <w:t xml:space="preserve">Selleks peab juurdepääsetav märgistus vastama järgmistele tingimustele.</w:t>
      </w:r>
    </w:p>
    <w:p w14:paraId="661B566E"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See peab andma võimalikult palju teavet, pakkudes puuetega tarbijatele teiste tarbijatega võrdseid tingimusi.</w:t>
      </w:r>
    </w:p>
    <w:p w14:paraId="41CFB18C"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See peab võimaldama saada teavet sõltumatult, kiiresti, mugavalt, otse ja standardiseeritud viisil, ilma vajamata suuri tehnilisi teadmisi või tehnoloogilisi vahendeid.</w:t>
      </w:r>
    </w:p>
    <w:p w14:paraId="57DB1DC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See ei tohi tekitada puuetega tarbijatele lisakulusid.</w:t>
      </w:r>
    </w:p>
    <w:p w14:paraId="0C13286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See ei pea tekitama ettevõtetele mittetaskukohaseid kulusid.</w:t>
      </w:r>
    </w:p>
    <w:p w14:paraId="5602A71A"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Kohustatud ettevõtted, kes pakuvad elektroonilisi müügiteenuseid, peavad vastavale veebisaidile lisama sel viisil ostetud toodete kättetoimetamise võimaluse koos juurdepääsetava märgistusega.</w:t>
      </w:r>
    </w:p>
    <w:p w14:paraId="3ED1718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Tarbijavaidluste lahendamise süsteem ning selle menetlused ja protsessid peavad olema puuetega inimestele kättesaadavad.</w:t>
      </w:r>
    </w:p>
    <w:p w14:paraId="03FE17A7"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Avaliku ja erasektori tarbijakaitseametid peavad võtma meetmeid, et piisavate toetusvahenditega hõlbustada side kättesaadavust kurtide jaoks, kes suhtlevad viipekeeles ja suuliselt.</w:t>
      </w:r>
      <w:r>
        <w:rPr>
          <w:sz w:val="22"/>
        </w:rPr>
        <w:t xml:space="preserve"> </w:t>
      </w:r>
      <w:r>
        <w:rPr>
          <w:sz w:val="22"/>
        </w:rPr>
        <w:t xml:space="preserve">Lisaks peab nende jaoks olema 20% avalikest teeninduslaudadest kuulmisahel ja nende töötajad peavad olema valmis andma puuetega inimestele teavet maksimaalselt kolme aasta jooksul alates käesoleva koodeksi jõustumisest.</w:t>
      </w:r>
    </w:p>
    <w:p w14:paraId="178D066A" w14:textId="77777777" w:rsidR="00CC0ADF" w:rsidRDefault="00CC0ADF">
      <w:pPr>
        <w:rPr>
          <w:lang w:val="es-ES"/>
        </w:rPr>
      </w:pPr>
    </w:p>
    <w:p w14:paraId="3EF53236" w14:textId="476D7F11" w:rsidR="00E526B5" w:rsidRDefault="00B670F2">
      <w:r>
        <w:rPr>
          <w:sz w:val="22"/>
        </w:rPr>
        <w:t xml:space="preserve">6. PEATÜKK:</w:t>
      </w:r>
      <w:r>
        <w:rPr>
          <w:sz w:val="22"/>
        </w:rPr>
        <w:t xml:space="preserve"> </w:t>
      </w:r>
      <w:r>
        <w:rPr>
          <w:sz w:val="22"/>
        </w:rPr>
        <w:t xml:space="preserve">Teenuste juurdepääsetavus</w:t>
      </w:r>
    </w:p>
    <w:p w14:paraId="7DEC37FB" w14:textId="27CCD605" w:rsidR="00CC0ADF" w:rsidRPr="00CC0ADF" w:rsidRDefault="00CC0ADF" w:rsidP="000F4434">
      <w:pPr>
        <w:pStyle w:val="ListParagraph"/>
        <w:numPr>
          <w:ilvl w:val="1"/>
          <w:numId w:val="9"/>
        </w:numPr>
        <w:ind w:left="0" w:firstLine="0"/>
        <w:jc w:val="both"/>
        <w:outlineLvl w:val="3"/>
        <w:rPr>
          <w:bCs/>
          <w:sz w:val="22"/>
          <w:szCs w:val="22"/>
          <w:rFonts w:cs="Arial"/>
        </w:rPr>
      </w:pPr>
      <w:r>
        <w:rPr>
          <w:sz w:val="22"/>
        </w:rPr>
        <w:t xml:space="preserve">Avalikud teenused, millel on üldsusele avatud veebisaidid, peavad andma teavet nende teenuste ning nende sõltuvuse, vahendite ja menetluste juurdepääsetavuse kohta.</w:t>
      </w:r>
    </w:p>
    <w:p w14:paraId="6A2C95FC" w14:textId="77777777" w:rsidR="00CC0ADF" w:rsidRPr="000F0A63" w:rsidRDefault="00CC0ADF" w:rsidP="000F4434">
      <w:pPr>
        <w:pStyle w:val="ListParagraph"/>
        <w:numPr>
          <w:ilvl w:val="1"/>
          <w:numId w:val="9"/>
        </w:numPr>
        <w:ind w:left="0" w:firstLine="0"/>
        <w:jc w:val="both"/>
        <w:outlineLvl w:val="3"/>
        <w:rPr>
          <w:bCs/>
          <w:sz w:val="22"/>
          <w:szCs w:val="22"/>
          <w:rFonts w:cs="Arial"/>
        </w:rPr>
      </w:pPr>
      <w:r>
        <w:rPr>
          <w:sz w:val="22"/>
        </w:rPr>
        <w:t xml:space="preserve">Veebisaidid, mobiilseadmete rakendused ning muud avalike teenuste pakutavad info- ja kommunikatsioonitehnoloogia tooted ja teenused peavad vastama käesoleva koodeksi lisas 5a sätestatud tingimustele ja standardile UNE-EN 301549:2022 või seda asendavale standardile kooskõlas Euroopa Parlamendi ja nõukogu direktiiviga (EL) 2016/2102 ning 7. septembri 2018. aasta kuningliku dekreediga 112/2018, mis käsitleb mobiilseadmetele mõeldud veebisaitide ja rakenduste juurdepääsetavust avalikus sektoris, ilma et see piiraks Kataloonias selles küsimuses pädeva asutuse poolt vastu võetud määruse kohaldamist.</w:t>
      </w:r>
      <w:r>
        <w:rPr>
          <w:sz w:val="22"/>
        </w:rPr>
        <w:t xml:space="preserve">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sz w:val="22"/>
          <w:szCs w:val="22"/>
          <w:rFonts w:cs="Arial"/>
        </w:rPr>
      </w:pPr>
      <w:r>
        <w:rPr>
          <w:sz w:val="22"/>
        </w:rPr>
        <w:t xml:space="preserve">Supermarketite kettide ning üle 500 m² kasuliku pindalaga toidu- või segaettevõtete veebisaidid ja mobiilirakendused, mis pakuvad võimalust osta internetist ja saada tooteid kodus kättetoimetamise teel, peavad olema juurdepääsetavad vastavalt lisa 5a punktide 25 ja 26 tingimustele ning saavutama vähemalt kahekordse A (AA) juurdepääsetavuse taseme kooskõlas WCAG 2.1 suunistega järgmistel juhtudel.</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Kui tegemist on äsja loodud lehekülgede või rakendustega.</w:t>
      </w:r>
      <w:r>
        <w:rPr>
          <w:sz w:val="22"/>
        </w:rPr>
        <w:t xml:space="preserve">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Kui olemasolevaid lehekülgi või rakendusi muudetakse.</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Kui peetakse kinni lisa 6b lõikes 4 sätestatud tähtaegadest, kohandades olemasolevaid lehekülgi ja taotlusi.</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bCs/>
          <w:sz w:val="22"/>
          <w:szCs w:val="22"/>
          <w:rFonts w:cs="Arial"/>
        </w:rPr>
      </w:pPr>
      <w:r>
        <w:rPr>
          <w:sz w:val="22"/>
        </w:rPr>
        <w:t xml:space="preserve">Mobiilseadmete veebilehed ja rakendused, mis võimaldavad panga-, lepingu- või muud liiki juhtimist või konsulteerimist füüsilises kontoris tellitud toodetega, peavad olema juurdepääsetavad vastavalt lisa 5a punktides 25 ja 26 sätestatud tingimustele ning saavutama vähemalt kahekordse A (AA) juurdepääsetavuse taseme kooskõlas WCAG 2.1 suunistega järgmistel juhtudel.</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Kui tegemist on äsja loodud lehekülgede või rakendustega.</w:t>
      </w:r>
      <w:r>
        <w:rPr>
          <w:sz w:val="22"/>
        </w:rPr>
        <w:t xml:space="preserve">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Kui olemasolevaid lehekülgi või rakendusi muudetakse.</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Kui peetakse kinni lisa 6b lõikes 5 sätestatud tähtaegadest, kohandades olemasolevaid lehekülgi ja taotlusi.</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bCs/>
          <w:sz w:val="22"/>
          <w:szCs w:val="22"/>
          <w:rFonts w:cs="Arial"/>
        </w:rPr>
      </w:pPr>
      <w:r>
        <w:rPr>
          <w:sz w:val="22"/>
        </w:rPr>
        <w:t xml:space="preserve">Rohkem kui 100 kohaga hotellikettide ja -ettevõtete veebisaidid ja mobiilirakendused, mis võimaldavad tellida majutust ja internetipõhiseid teenuseid, peavad olema juurdepääsetavad vastavalt lisa 5a punktide 25 ja 26 tingimustele ning saavutama WCAG 2.1 suuniste kohaselt vähemalt kahekordse A (AA) juurdepääsetavuse taseme järgmistel juhtudel.</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Kui tegemist on äsja loodud lehekülgede või rakendustega.</w:t>
      </w:r>
      <w:r>
        <w:rPr>
          <w:sz w:val="22"/>
        </w:rPr>
        <w:t xml:space="preserve">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Kui olemasolevaid lehekülgi või rakendusi muudetakse.</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Kui peetakse kinni lisa 6b punktis 7 sätestatud tähtaegadest olemasolevate lehekülgede ja taotluste kohandamiseks.</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sz w:val="22"/>
          <w:szCs w:val="22"/>
          <w:rFonts w:cs="Arial"/>
        </w:rPr>
      </w:pPr>
      <w:r>
        <w:rPr>
          <w:sz w:val="22"/>
        </w:rPr>
        <w:t xml:space="preserve">Ettevõtete või ettevõtete ühenduste veebisaidid ja mobiilirakendused peavad olema kättesaadavad vastavalt lisa 5a punktides 25 ja 26 sätestatud tingimustele;</w:t>
      </w:r>
      <w:r>
        <w:rPr>
          <w:sz w:val="22"/>
        </w:rPr>
        <w:t xml:space="preserve"> </w:t>
      </w:r>
      <w:r>
        <w:rPr>
          <w:sz w:val="22"/>
        </w:rPr>
        <w:t xml:space="preserve">saavutades kooskõlas WCAG 2.1 suunistega vähemalt kahekordse A (AA) juurdepääsetavuse taseme ja esitades eelmistes punktides osutatud teabe järgmistes olukordades.</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Kui tegemist on äsja loodud lehekülgede või rakendustega.</w:t>
      </w:r>
      <w:r>
        <w:rPr>
          <w:sz w:val="22"/>
        </w:rPr>
        <w:t xml:space="preserve">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Kui olemasolevaid lehekülgi või rakendusi muudetakse.</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Kui peetakse kinni lisa 6b punktis 3 sätestatud tähtaegadest olemasolevate lehekülgede ja taotluste kohandamiseks.</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bCs/>
          <w:sz w:val="22"/>
          <w:szCs w:val="22"/>
          <w:rFonts w:cs="Arial"/>
        </w:rPr>
      </w:pPr>
      <w:r>
        <w:rPr>
          <w:sz w:val="22"/>
        </w:rPr>
        <w:t xml:space="preserve">Spordiasutuste ja klubide veebisaidid ja mobiilirakendused, mis pakuvad piletimüüki oma toimumiskohas etenduste jaoks, peavad olema juurdepääsetavad ja andma vajalikku teavet artiklis 133 sätestatud tingimustel etenduskunstiga seotud teenuste kohta.</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bCs/>
          <w:sz w:val="22"/>
          <w:szCs w:val="22"/>
          <w:rFonts w:cs="Arial"/>
        </w:rPr>
      </w:pPr>
      <w:r>
        <w:rPr>
          <w:sz w:val="22"/>
        </w:rPr>
        <w:t xml:space="preserve">Formaalharidust pakkuvate haridusasutuste veebisaidid ja mobiilirakendused peavad olema juurdepääsetavad vastavalt lisa 5a punktide 25 ja 26 tingimustele ning saavutama vähemalt kahekordse A (AA) juurdepääsetavuse taseme kooskõlas WCAG 2.1 suunistega järgmistel juhtudel.</w:t>
      </w:r>
    </w:p>
    <w:p w14:paraId="46144290"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Kui tegemist on äsja loodud lehekülgede või rakendustega.</w:t>
      </w:r>
      <w:r>
        <w:rPr>
          <w:sz w:val="22"/>
        </w:rPr>
        <w:t xml:space="preserve"> </w:t>
      </w:r>
    </w:p>
    <w:p w14:paraId="124A7079"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Kui olemasolevaid lehekülgi või rakendusi muudetakse.</w:t>
      </w:r>
    </w:p>
    <w:p w14:paraId="4CC9837C"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Kui peetakse kinni lisa 6b lõikes 8 sätestatud tähtaegadest, kohandades olemasolevaid lehekülgi ja taotlusi.</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bCs/>
          <w:sz w:val="22"/>
          <w:szCs w:val="22"/>
          <w:rFonts w:cs="Arial"/>
        </w:rPr>
      </w:pPr>
      <w:bookmarkStart w:id="1" w:name="_Ref447800574"/>
      <w:r>
        <w:rPr>
          <w:sz w:val="22"/>
        </w:rPr>
        <w:t xml:space="preserve">Artikkel 138.</w:t>
      </w:r>
      <w:r>
        <w:rPr>
          <w:sz w:val="22"/>
        </w:rPr>
        <w:tab/>
      </w:r>
      <w:r>
        <w:rPr>
          <w:sz w:val="22"/>
        </w:rPr>
        <w:t xml:space="preserve">Esmatähtsad teenused, üldhuviteenused või riiklikult rahastatavad teenused</w:t>
      </w:r>
      <w:r>
        <w:rPr>
          <w:sz w:val="22"/>
        </w:rPr>
        <w:t xml:space="preserve"> </w:t>
      </w:r>
      <w:bookmarkEnd w:id="1"/>
    </w:p>
    <w:p w14:paraId="7D137DE4" w14:textId="752BD128" w:rsidR="003920DF" w:rsidRPr="003920DF" w:rsidRDefault="003920DF" w:rsidP="000F4434">
      <w:pPr>
        <w:pStyle w:val="ListParagraph"/>
        <w:numPr>
          <w:ilvl w:val="1"/>
          <w:numId w:val="23"/>
        </w:numPr>
        <w:ind w:left="0" w:firstLine="0"/>
        <w:jc w:val="both"/>
        <w:outlineLvl w:val="3"/>
        <w:rPr>
          <w:bCs/>
          <w:sz w:val="22"/>
          <w:szCs w:val="22"/>
          <w:rFonts w:cs="Arial"/>
        </w:rPr>
      </w:pPr>
      <w:r>
        <w:rPr>
          <w:sz w:val="22"/>
        </w:rPr>
        <w:t xml:space="preserve">Kataloonia avaliku sektori ja avalik-õiguslike äriühingute veebisaidid, samuti kõik avaliku halduse asutuste ja üksuste või äriühingute veebisaidid, mis osutavad avalikke teenuseid kontsessiooni või lepingulisel alusel avaliku haldusega, peavad vastama lisa 5a punkti 25 nõuetele ja saavutama WCAG 2.1 suuniste kohaselt kahekordse A (AA) juurdepääsetavuse taseme piiramata Kataloonias pädeva asutuse poolt vastavalt 7. septembri 2018. aasta kuninglikule dekreedile 1112/2018 (milles käsitletakse mobiilsete seadmete veebisaitide ja rakenduste juurdepääsetavust avalikus sektoris) kehtestatud määruse kohaldamist.</w:t>
      </w:r>
    </w:p>
    <w:p w14:paraId="6FD18B43"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Elutähtsaid teenuseid või üldhuviteenuseid, sealhulgas elektri-, vee- või gaasi- ja telekommunikatsiooniteenuseid ning tervishoiu-, posti- ja pangandusteenuseid osutavate eraõiguslike üksuste veebisaidid peavad samuti vastama lisa 5a punkti 25 nõuetele ja WCAG 2.1 suuniste kohaselt kahekordse A (AA) ligipääsetavuse nõuetele.</w:t>
      </w:r>
      <w:r>
        <w:rPr>
          <w:sz w:val="22"/>
        </w:rPr>
        <w:t xml:space="preserve"> </w:t>
      </w:r>
    </w:p>
    <w:p w14:paraId="54D877DC" w14:textId="68D622D4"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Mobiilseadmete rakendused avalikus sektoris ja eespool punktides 138.1 ja 138.2 nimetatud üksused peavad vastama lisa 5a punktis 26 sätestatud juurdepääsetavuse nõuetele piiramata Kataloonia pädeva asutuse poolt selles küsimuses kehtestatud määruse kohaldamist.</w:t>
      </w:r>
    </w:p>
    <w:p w14:paraId="0F7B09C4" w14:textId="77777777" w:rsidR="003920DF" w:rsidRPr="000F0A63" w:rsidRDefault="003920DF" w:rsidP="000F4434">
      <w:pPr>
        <w:pStyle w:val="ListParagraph"/>
        <w:numPr>
          <w:ilvl w:val="1"/>
          <w:numId w:val="23"/>
        </w:numPr>
        <w:ind w:left="0" w:firstLine="0"/>
        <w:jc w:val="both"/>
        <w:outlineLvl w:val="3"/>
        <w:rPr>
          <w:sz w:val="22"/>
          <w:szCs w:val="22"/>
          <w:rFonts w:cs="Arial"/>
        </w:rPr>
      </w:pPr>
      <w:r>
        <w:rPr>
          <w:sz w:val="22"/>
        </w:rPr>
        <w:t xml:space="preserve">Käesolevas artiklis sätestatud veebisaitide ja mobiilirakenduste juurdepääsetavuse nõudeid kohaldatakse tingimusel, et need ei tekita ebaproportsionaalset koormust üksusele, kes peab neid kohaldama, kooskõlas järgmiste asjaoludega.</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Konkreetse üksuse mõõtmed, ressursid ja olemus.</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Üksuse kulud ja kasu ning kasutajate hinnanguline kasu, võttes arvesse veebisaidi või rakenduse kasutamise sagedust ja kestust.</w:t>
      </w:r>
      <w:r>
        <w:rPr>
          <w:sz w:val="22"/>
        </w:rPr>
        <w:t xml:space="preserve">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Diskrimineeriv mõju puuetega inimestele, kui veebisait või rakendus ei ole kättesaadav juhul, kui turul, veebisaitidel või alternatiivsetel rakendustel on samad funktsioonid ja tingimused.</w:t>
      </w:r>
    </w:p>
    <w:p w14:paraId="7EAD681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Punktis 138.4 sätestatud erandit kasutav avalik sektor või üksus peab selgitama, milliseid juurdepääsetavuse nõudeid ei ole võimalik veebisaidi või rakenduse juurdepääsetavuse deklaratsioonis täita, ning pakkuma võimaluste piires kättesaadavaid alternatiive.</w:t>
      </w:r>
    </w:p>
    <w:p w14:paraId="5D7ECF09"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Veebilehed ja mobiilirakendused peavad vastama eelmistes lõikudes sätestatud juurdepääsetavuse tingimustele enne lisa 6b lõikes 2 sätestatud lõpptähtaegu.</w:t>
      </w:r>
    </w:p>
    <w:p w14:paraId="64D96B3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Teenuseosutajad ja tootjad, kes tarnivad IT-seadmeid ja tarkvara Kataloonia avalikule sektorile, ning punktis 138.1 osutatud üksused peavad hõlmama täiendavaid juurdepääsetavuse elemente ja funktsioone, mis on vajalikud, et võimaldada puuetega inimestele juurdepääs digitaalsele sisule.</w:t>
      </w:r>
      <w:r>
        <w:rPr>
          <w:sz w:val="22"/>
        </w:rPr>
        <w:t xml:space="preserve"> </w:t>
      </w:r>
    </w:p>
    <w:p w14:paraId="03F2890E"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Kataloonia avalik-õiguslikud ja eratelevisioonivõrgud peavad välja töötama kavad oma sisu juurdepääsetavuse kohta, et muuta programmeerimine järk-järgult kättesaadavaks sensoorse ja vaimse puudega inimestele.</w:t>
      </w:r>
      <w:r>
        <w:rPr>
          <w:sz w:val="22"/>
        </w:rPr>
        <w:t xml:space="preserve"> </w:t>
      </w:r>
      <w:r>
        <w:rPr>
          <w:sz w:val="22"/>
        </w:rPr>
        <w:t xml:space="preserve">Need kavad peavad võimaldama saavutada järgmisi eesmärke maksimaalselt kolme aasta jooksul alates käesoleva seadustiku jõustumise ajast.</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Avalik-õiguslikud televisioonivõrgud:</w:t>
      </w:r>
      <w:r>
        <w:rPr>
          <w:sz w:val="22"/>
        </w:rPr>
        <w:t xml:space="preserve"> </w:t>
      </w:r>
      <w:r>
        <w:rPr>
          <w:sz w:val="22"/>
        </w:rPr>
        <w:t xml:space="preserve">100% nende programmist peavad olema subtiitrid ja vähemalt 15 nädalast tundi peab olema sisuga, millel on audiokirjeldus ja 10 nädalast tundi katalaani viipekeeles.</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Eratelevisioonivõrgud:</w:t>
      </w:r>
      <w:r>
        <w:rPr>
          <w:sz w:val="22"/>
        </w:rPr>
        <w:t xml:space="preserve"> </w:t>
      </w:r>
      <w:r>
        <w:rPr>
          <w:sz w:val="22"/>
        </w:rPr>
        <w:t xml:space="preserve">75% nende programmist peavad olema subtiitrid ja vähemalt 10 nädalast tundi peab olema sisuga, millel on audiokirjeldus, ja 7 nädalast tundi katalaani viipekeeles.</w:t>
      </w:r>
    </w:p>
    <w:p w14:paraId="221F24A7"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Kataloonia viipekeeles programm peab sisaldama uudistesaateid ja lastesaateid, mis on saadaval eelsalvestatud vaatamise pakkumises, kui see teenus on saadaval.</w:t>
      </w:r>
      <w:r>
        <w:rPr>
          <w:sz w:val="22"/>
        </w:rPr>
        <w:t xml:space="preserve"> </w:t>
      </w:r>
      <w:r>
        <w:rPr>
          <w:sz w:val="22"/>
        </w:rPr>
        <w:t xml:space="preserve">See programm peab hõlmama iga nädalapäeva.</w:t>
      </w:r>
      <w:r>
        <w:rPr>
          <w:sz w:val="22"/>
        </w:rPr>
        <w:t xml:space="preserve"> </w:t>
      </w:r>
    </w:p>
    <w:p w14:paraId="1FCDD2A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Kinematograafilisi ja audiovisuaalseid teoseid levitavad ettevõtted peavad lisama subtiitrite, audiokirjelduse ja audionavigatsioonisüsteemid, eelistatavalt välismaistesse ja kodumaistesse filmidesse, millel on paremad kassahinnad või mis on saanud riiklikke või rahvusvahelisi auhindu, et teha need kättesaadavaks DVD-toe või nende funktsioonidega sarnaste süsteemide kaudu.</w:t>
      </w:r>
    </w:p>
    <w:p w14:paraId="0F3986EB" w14:textId="77777777" w:rsidR="003920DF" w:rsidRDefault="003920DF">
      <w:pPr>
        <w:rPr>
          <w:lang w:val="es-ES"/>
        </w:rPr>
      </w:pPr>
    </w:p>
    <w:p w14:paraId="44244122" w14:textId="3BAB5CCF" w:rsidR="00E526B5" w:rsidRDefault="00B670F2">
      <w:r>
        <w:rPr>
          <w:sz w:val="22"/>
        </w:rPr>
        <w:t xml:space="preserve">11. PEATÜKK:</w:t>
      </w:r>
      <w:r>
        <w:rPr>
          <w:sz w:val="22"/>
        </w:rPr>
        <w:t xml:space="preserve"> </w:t>
      </w:r>
      <w:r>
        <w:rPr>
          <w:sz w:val="22"/>
        </w:rPr>
        <w:t xml:space="preserve">Juurdepääsetavuse kvaliteedimärk</w:t>
      </w:r>
    </w:p>
    <w:p w14:paraId="5E23591F" w14:textId="30E33DFC" w:rsidR="00E526B5" w:rsidRPr="000F0A63" w:rsidRDefault="00E526B5" w:rsidP="000F4434">
      <w:pPr>
        <w:pStyle w:val="Heading4"/>
        <w:keepNext w:val="0"/>
        <w:numPr>
          <w:ilvl w:val="1"/>
          <w:numId w:val="24"/>
        </w:numPr>
        <w:spacing w:before="0" w:after="0"/>
        <w:ind w:left="0" w:firstLine="0"/>
        <w:jc w:val="both"/>
        <w:rPr>
          <w:sz w:val="22"/>
          <w:szCs w:val="22"/>
          <w:rFonts w:cs="Arial"/>
        </w:rPr>
      </w:pPr>
      <w:r>
        <w:rPr>
          <w:sz w:val="22"/>
        </w:rPr>
        <w:t xml:space="preserve">Avalik konsultatsioon kvaliteedimärgiga asutuste, hoonete ja avalik-õiguslike üksustega peab olema võimalik vähemalt interneti kaudu, ilma et see piiraks muude sobivate vahendite kasutamist.</w:t>
      </w:r>
    </w:p>
    <w:p w14:paraId="6CBE5DDA" w14:textId="77777777" w:rsidR="00E526B5" w:rsidRDefault="00E526B5">
      <w:pPr>
        <w:rPr>
          <w:lang w:val="es-ES"/>
        </w:rPr>
      </w:pPr>
    </w:p>
    <w:p w14:paraId="3BFAD248" w14:textId="66A7955A" w:rsidR="00E526B5" w:rsidRDefault="00CF1E0D">
      <w:r>
        <w:rPr>
          <w:sz w:val="22"/>
        </w:rPr>
        <w:t xml:space="preserve">Lisa 5a.</w:t>
      </w:r>
      <w:r>
        <w:rPr>
          <w:sz w:val="22"/>
        </w:rPr>
        <w:t xml:space="preserve"> </w:t>
      </w:r>
      <w:r>
        <w:rPr>
          <w:sz w:val="22"/>
        </w:rPr>
        <w:t xml:space="preserve">Toote juurdepääsetavuse standardid</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bCs/>
          <w:iCs/>
          <w:sz w:val="22"/>
          <w:szCs w:val="22"/>
          <w:rFonts w:cs="Arial"/>
        </w:rPr>
      </w:pPr>
      <w:bookmarkStart w:id="2" w:name="_Ref447796406"/>
      <w:r>
        <w:rPr>
          <w:sz w:val="22"/>
        </w:rPr>
        <w:t xml:space="preserve">Juurdepääsetavad veebilehed</w:t>
      </w:r>
      <w:bookmarkEnd w:id="2"/>
      <w:r>
        <w:rPr>
          <w:sz w:val="22"/>
        </w:rPr>
        <w:t xml:space="preserve"> </w:t>
      </w:r>
    </w:p>
    <w:p w14:paraId="2592043C" w14:textId="77777777" w:rsidR="00E526B5" w:rsidRPr="000F0A63" w:rsidRDefault="00E526B5" w:rsidP="00E526B5">
      <w:pPr>
        <w:tabs>
          <w:tab w:val="num" w:pos="0"/>
          <w:tab w:val="left" w:pos="284"/>
        </w:tabs>
        <w:jc w:val="both"/>
        <w:rPr>
          <w:sz w:val="22"/>
          <w:szCs w:val="22"/>
          <w:rFonts w:cs="Arial"/>
        </w:rPr>
      </w:pPr>
      <w:r>
        <w:rPr>
          <w:sz w:val="22"/>
        </w:rPr>
        <w:t xml:space="preserve">Suunised, mida tuleb veebisaidi kujundamisel ja loomisel järgida, ning veebisaidi juurdepääsetavuse tingimused on järgmised.</w:t>
      </w:r>
      <w:r>
        <w:rPr>
          <w:sz w:val="22"/>
        </w:rPr>
        <w:t xml:space="preserv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Konfigureerige sisu nii, et seda saab kohandada erineva tarkvara, erisuguste seadmete ja tugitoodete jaoks, kaotamata teavet või struktuuri.</w:t>
      </w:r>
      <w:r>
        <w:rPr>
          <w:sz w:val="22"/>
        </w:rPr>
        <w:t xml:space="preserve">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Pakkuge tekstilisi alternatiive või kirjeldavat identifitseerimist mittetekstilisele sisule (pildid, graafika, multimeediasisu).</w:t>
      </w:r>
      <w:r>
        <w:rPr>
          <w:sz w:val="22"/>
        </w:rPr>
        <w:t xml:space="preserve">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Lisage subtiitrid ja audiokirjeldus multimeediasisu kohta, kui see on vajalik sõnumi nõuetekohaseks mõistmiseks.</w:t>
      </w:r>
      <w:r>
        <w:rPr>
          <w:sz w:val="22"/>
        </w:rPr>
        <w:t xml:space="preserve">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Pakkuge mehhanisme, mis võimaldavad helitugevust summutada ja reguleerida.</w:t>
      </w:r>
      <w:r>
        <w:rPr>
          <w:sz w:val="22"/>
        </w:rPr>
        <w:t xml:space="preserve">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Ärge kasutage värvi ainsa vahendina teabe edastamiseks, toimingu näitamiseks või elemendi eristamiseks.</w:t>
      </w:r>
      <w:r>
        <w:rPr>
          <w:sz w:val="22"/>
        </w:rPr>
        <w:t xml:space="preserve">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Tekst ja pildid peavad olema piisavalt kontrastsed taustaga ja suurusega, mis võimaldab neid mugavalt lugeda.</w:t>
      </w:r>
      <w:r>
        <w:rPr>
          <w:sz w:val="22"/>
        </w:rPr>
        <w:t xml:space="preserv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Teksti suurust peab olema võimalik kohandada lehelt endast ilma toetavate toodeteta ning sisu või funktsionaalsust kaotamata.</w:t>
      </w:r>
      <w:r>
        <w:rPr>
          <w:sz w:val="22"/>
        </w:rPr>
        <w:t xml:space="preserve">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Võimaldage klaviatuuriga juurdepääs kõigile lehe funktsioonidele koos lahendusega, mis ei ole vastuolus ekraanilugejate ja suurendusseadmetega.</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Võimaldage kasutajal kontrollida teavet või objekte, mis automaatselt teisaldatakse või värskendatakse, saades neid peatada, peita või kontrollida sagedust.</w:t>
      </w:r>
      <w:r>
        <w:rPr>
          <w:sz w:val="22"/>
        </w:rPr>
        <w:t xml:space="preserve">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bookmarkStart w:id="3" w:name="_Ref488129626"/>
      <w:r>
        <w:rPr>
          <w:sz w:val="22"/>
        </w:rPr>
        <w:t xml:space="preserve">Hõlbustage navigeerimist, struktureerides sisu sidusas järjekorras ja pakkudes selgeid navigatsioonimehhanisme.</w:t>
      </w:r>
      <w:r>
        <w:rPr>
          <w:sz w:val="22"/>
        </w:rPr>
        <w:t xml:space="preserve">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Lisage juhendteave, et aidata kasutajatel mõista keerukaid elemente, ning luua mehhanismid kasutajate andmete sisestamisel esinevate vigade avastamiseks ja ennetamiseks.</w:t>
      </w:r>
      <w:r>
        <w:rPr>
          <w:sz w:val="22"/>
        </w:rPr>
        <w:t xml:space="preserve">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Tuvastage veebisaidi igas lõigus või dokumendis kasutatav keel, et ekraanilugejad ja häälsüntesaatorid saaksid keelt automaatselt tuvastada ja muuta.</w:t>
      </w:r>
      <w:r>
        <w:rPr>
          <w:sz w:val="22"/>
        </w:rPr>
        <w:t xml:space="preserve">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Kasutage selget ja arusaadavat keelt, et muuta sisu kergesti mõistetavaks, ning lisada kõige ebatavalisemate sõnade määratlus ning initsiaalide ja lühendite tähendus.</w:t>
      </w:r>
      <w:r>
        <w:rPr>
          <w:sz w:val="22"/>
        </w:rPr>
        <w:t xml:space="preserve">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Maksimeerige ühilduvust rakenduste, tarkvara ja seadmetega, mis kasutajatel võivad olla, sealhulgas tugitoodetega.</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Veenduge, et veebis avaldatud dokumendid oleks ekraanilugejatele kättesaadavad ja loetavad.</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Tagage sidekanalite olemasolu, mis on juurdepääsetavad muul viisil kui telefoni teel, e-posti, SMSi või vormide kaudu ning mille käsitlemise aeg ei ole telefonikõnega võrreldes diskrimineeriv.</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Vastake WCAG 2.1 suuniste kohastele kriteeriumidele ühel oma tasandil standardis UNE 139803:2012 või seda asendavas standardis sätestatud tingimustele, välja arvatud olukordades, kus käesolev koodeks nõuab kõrgemat taset.</w:t>
      </w:r>
      <w:r>
        <w:rPr>
          <w:sz w:val="22"/>
        </w:rPr>
        <w:t xml:space="preserve">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sz w:val="22"/>
          <w:szCs w:val="22"/>
          <w:rFonts w:cs="Arial"/>
        </w:rPr>
      </w:pPr>
      <w:bookmarkStart w:id="4" w:name="_Ref504990560"/>
      <w:r>
        <w:rPr>
          <w:sz w:val="22"/>
        </w:rPr>
        <w:t xml:space="preserve">Juurdepääsetavad rakendused</w:t>
      </w:r>
      <w:bookmarkEnd w:id="3"/>
      <w:bookmarkEnd w:id="4"/>
    </w:p>
    <w:p w14:paraId="7EB099BF" w14:textId="77777777" w:rsidR="00E526B5" w:rsidRPr="000F0A63" w:rsidRDefault="00E526B5" w:rsidP="00E526B5">
      <w:pPr>
        <w:tabs>
          <w:tab w:val="left" w:pos="284"/>
          <w:tab w:val="left" w:pos="426"/>
        </w:tabs>
        <w:jc w:val="both"/>
        <w:rPr>
          <w:sz w:val="22"/>
          <w:szCs w:val="22"/>
          <w:rFonts w:cs="Arial"/>
        </w:rPr>
      </w:pPr>
      <w:r>
        <w:rPr>
          <w:sz w:val="22"/>
        </w:rPr>
        <w:t xml:space="preserve">Mobiilsed rakendused peavad vastama standardis UNE 139803:2012 või seda asendavas standardis sätestatud tingimustele ja järgmistele üldkriteeriumidele.</w:t>
      </w:r>
      <w:r>
        <w:rPr>
          <w:sz w:val="22"/>
        </w:rPr>
        <w:t xml:space="preserve"> </w:t>
      </w:r>
    </w:p>
    <w:p w14:paraId="580725D4"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Kõik sõnumid, abisüsteemid ja tekstid peavad olema kirjutatud selges ja lihtsas keeles.</w:t>
      </w:r>
    </w:p>
    <w:p w14:paraId="2543102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Tekst peab olema arusaadav, sellise suuruse ja kirjatüübiga, mis hõlbustab lugemist.</w:t>
      </w:r>
    </w:p>
    <w:p w14:paraId="18CF95B7"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Taustaga elementide värvikontrast peab olema piisav.</w:t>
      </w:r>
      <w:r>
        <w:rPr>
          <w:sz w:val="22"/>
        </w:rPr>
        <w:t xml:space="preserve"> </w:t>
      </w:r>
    </w:p>
    <w:p w14:paraId="6EAF5662"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Juhtelemendid, objektid, ikoonid ja pildid peavad olema tuvastatavad, kergesti kasutatavad ning neil peab olema seotud alternatiivne tekst, mis näitab nende funktsiooni või tähendust.</w:t>
      </w:r>
      <w:r>
        <w:rPr>
          <w:sz w:val="22"/>
        </w:rPr>
        <w:t xml:space="preserve"> </w:t>
      </w:r>
    </w:p>
    <w:p w14:paraId="5791E3B0"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Hoiatustel peavad olema visuaalsed või vibratsioonilised alternatiivid.</w:t>
      </w:r>
      <w:r>
        <w:rPr>
          <w:sz w:val="22"/>
        </w:rPr>
        <w:t xml:space="preserve"> </w:t>
      </w:r>
    </w:p>
    <w:p w14:paraId="12D8BAF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Teenusele juurdepääsemise protsess peab olema sujuv ja kiire.</w:t>
      </w:r>
    </w:p>
    <w:p w14:paraId="1F898261"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Rakendus peab ühilduma tugitoodetega, nagu ekraanilugejad, suurendusseadmed ja häälkäsklused.</w:t>
      </w:r>
    </w:p>
    <w:p w14:paraId="795B853F"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Rakendus peab ühilduma operatsioonisüsteemi juurdepääsetavuse vahenditega.</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bCs/>
          <w:sz w:val="22"/>
          <w:szCs w:val="22"/>
          <w:rFonts w:cs="Arial"/>
        </w:rPr>
      </w:pPr>
      <w:r>
        <w:rPr>
          <w:sz w:val="22"/>
        </w:rPr>
        <w:t xml:space="preserve">Lisa 6b.</w:t>
      </w:r>
      <w:r>
        <w:rPr>
          <w:sz w:val="22"/>
        </w:rPr>
        <w:t xml:space="preserve"> </w:t>
      </w:r>
      <w:r>
        <w:rPr>
          <w:sz w:val="22"/>
        </w:rPr>
        <w:t xml:space="preserve">Olemasolevate teenuste komplekteerimistingimustele kohandamise tähtajad</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5" w:name="_Ref505083170"/>
      <w:r>
        <w:rPr>
          <w:sz w:val="22"/>
        </w:rPr>
        <w:t xml:space="preserve">Vastavus muudele nõutavatele tingimustele</w:t>
      </w:r>
      <w:bookmarkEnd w:id="5"/>
      <w:r>
        <w:rPr>
          <w:sz w:val="22"/>
        </w:rPr>
        <w:t xml:space="preserve"> </w:t>
      </w:r>
    </w:p>
    <w:p w14:paraId="1C074B90" w14:textId="77777777" w:rsidR="00E526B5" w:rsidRPr="000F0A63" w:rsidRDefault="00E526B5" w:rsidP="00E526B5">
      <w:pPr>
        <w:keepNext/>
        <w:keepLines/>
        <w:tabs>
          <w:tab w:val="left" w:pos="284"/>
        </w:tabs>
        <w:jc w:val="both"/>
        <w:rPr>
          <w:sz w:val="22"/>
          <w:szCs w:val="22"/>
          <w:rFonts w:cs="Arial"/>
        </w:rPr>
      </w:pPr>
      <w:r>
        <w:rPr>
          <w:sz w:val="22"/>
        </w:rPr>
        <w:t xml:space="preserve">Käesoleva lisa 6b tingimused ei piira kohustust täita olemasolevate elementide või ressursside muutmise korral kohustust täita nõutavaid juurdepääsetavuse tingimusi enne ettenähtud tähtaegu.</w:t>
      </w:r>
      <w:r>
        <w:rPr>
          <w:sz w:val="22"/>
        </w:rPr>
        <w:t xml:space="preserve">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6" w:name="_Ref505083210"/>
      <w:r>
        <w:rPr>
          <w:sz w:val="22"/>
        </w:rPr>
        <w:t xml:space="preserve">Kataloonia avalik sektor, avalik-õiguslikud äriühingud ja avaliku teenuse osutajad</w:t>
      </w:r>
      <w:bookmarkEnd w:id="6"/>
    </w:p>
    <w:p w14:paraId="76077B47" w14:textId="77777777" w:rsidR="00E526B5" w:rsidRPr="000F0A63" w:rsidRDefault="00E526B5" w:rsidP="00E526B5">
      <w:pPr>
        <w:tabs>
          <w:tab w:val="left" w:pos="284"/>
        </w:tabs>
        <w:jc w:val="both"/>
        <w:rPr>
          <w:bCs/>
          <w:iCs/>
          <w:sz w:val="22"/>
          <w:szCs w:val="22"/>
          <w:rFonts w:cs="Arial"/>
        </w:rPr>
      </w:pPr>
      <w:r>
        <w:rPr>
          <w:sz w:val="22"/>
        </w:rPr>
        <w:t xml:space="preserve">Kataloonia avaliku sektori, avalik-õiguslike ettevõtete ja avalik-õiguslike asutuste veebisaitidele ja mobiilirakendustele, kes osutavad avalikke teenuseid kontsessiooni või avaliku haldusega lepingu alusel, on kehtestatud järgmised lõplikud tähtajad, et need oleksid juurdepääsetavad ja vastaksid artiklis 138 osutatud tingimustele.</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Üks aasta alates käesoleva seadustiku jõustumisest:</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sz w:val="22"/>
          <w:szCs w:val="22"/>
          <w:rFonts w:cs="Arial"/>
        </w:rPr>
      </w:pPr>
      <w:r>
        <w:rPr>
          <w:sz w:val="22"/>
        </w:rPr>
        <w:t xml:space="preserve">Kataloonia avaliku sektori ja avalik-õiguslike ettevõtete veebisaidid.</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Kaks aastat pärast käesoleva seadustiku jõustumist:</w:t>
      </w:r>
    </w:p>
    <w:p w14:paraId="04EB1B39" w14:textId="77777777" w:rsidR="00E526B5" w:rsidRPr="000F0A63" w:rsidRDefault="00E526B5" w:rsidP="000F4434">
      <w:pPr>
        <w:numPr>
          <w:ilvl w:val="0"/>
          <w:numId w:val="33"/>
        </w:numPr>
        <w:tabs>
          <w:tab w:val="left" w:pos="426"/>
        </w:tabs>
        <w:ind w:left="0" w:firstLine="0"/>
        <w:jc w:val="both"/>
        <w:rPr>
          <w:sz w:val="22"/>
          <w:szCs w:val="22"/>
          <w:rFonts w:cs="Arial"/>
        </w:rPr>
      </w:pPr>
      <w:r>
        <w:rPr>
          <w:sz w:val="22"/>
        </w:rPr>
        <w:t xml:space="preserve">mobiilseadmete rakendused Kataloonia avalikus sektoris ja avalik-õiguslikes ettevõtetes.</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bCs/>
          <w:sz w:val="22"/>
          <w:szCs w:val="22"/>
          <w:rFonts w:cs="Arial"/>
        </w:rPr>
      </w:pPr>
      <w:r>
        <w:rPr>
          <w:sz w:val="22"/>
        </w:rPr>
        <w:t xml:space="preserve">Kolm aastat pärast käesoleva seadustiku jõustumist:</w:t>
      </w:r>
      <w:r>
        <w:rPr>
          <w:sz w:val="22"/>
        </w:rPr>
        <w:t xml:space="preserve"> </w:t>
      </w:r>
    </w:p>
    <w:p w14:paraId="2BC909CB" w14:textId="77777777" w:rsidR="00E526B5" w:rsidRPr="000F0A63" w:rsidRDefault="00E526B5" w:rsidP="000F4434">
      <w:pPr>
        <w:numPr>
          <w:ilvl w:val="0"/>
          <w:numId w:val="50"/>
        </w:numPr>
        <w:tabs>
          <w:tab w:val="left" w:pos="426"/>
        </w:tabs>
        <w:ind w:left="0" w:firstLine="0"/>
        <w:jc w:val="both"/>
        <w:rPr>
          <w:sz w:val="22"/>
          <w:szCs w:val="22"/>
          <w:rFonts w:cs="Arial"/>
        </w:rPr>
      </w:pPr>
      <w:r>
        <w:rPr>
          <w:sz w:val="22"/>
        </w:rPr>
        <w:t xml:space="preserve">selliste üksuste või ettevõtete veebisaidid ja rakendused, kes osutavad avalikke teenuseid kontsessiooni või avaliku haldusega lepingu alusel.</w:t>
      </w:r>
    </w:p>
    <w:p w14:paraId="5A897CB9" w14:textId="77777777" w:rsidR="00E526B5" w:rsidRPr="000F0A63" w:rsidRDefault="00E526B5" w:rsidP="00E526B5">
      <w:pPr>
        <w:tabs>
          <w:tab w:val="left" w:pos="284"/>
          <w:tab w:val="num" w:pos="426"/>
        </w:tabs>
        <w:jc w:val="both"/>
        <w:rPr>
          <w:sz w:val="22"/>
          <w:szCs w:val="22"/>
          <w:rFonts w:cs="Arial"/>
        </w:rPr>
      </w:pPr>
      <w:r>
        <w:rPr>
          <w:sz w:val="22"/>
        </w:rPr>
        <w:t xml:space="preserve">Nimetatud tähtajad ei piira nende kõige nõudlikumate nõuete täitmist, mida nõuavad teenuse omadused kooskõlas käesoleva lisa ülejäänud lõikudega või muude seda reguleerivate määrustega.</w:t>
      </w:r>
      <w:r>
        <w:rPr>
          <w:sz w:val="22"/>
        </w:rPr>
        <w:t xml:space="preserve">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7" w:name="_Ref505083224"/>
      <w:r>
        <w:rPr>
          <w:sz w:val="22"/>
        </w:rPr>
        <w:t xml:space="preserve">Etenduskunsti, kino ja spordiüritustega seotud teenused</w:t>
      </w:r>
      <w:bookmarkEnd w:id="7"/>
    </w:p>
    <w:p w14:paraId="6E9E2B04" w14:textId="77777777" w:rsidR="00E526B5" w:rsidRPr="000F0A63" w:rsidRDefault="00E526B5" w:rsidP="00E526B5">
      <w:pPr>
        <w:tabs>
          <w:tab w:val="left" w:pos="284"/>
        </w:tabs>
        <w:jc w:val="both"/>
        <w:rPr>
          <w:bCs/>
          <w:sz w:val="22"/>
          <w:szCs w:val="22"/>
          <w:rFonts w:cs="Arial"/>
        </w:rPr>
      </w:pPr>
      <w:r>
        <w:rPr>
          <w:sz w:val="22"/>
        </w:rPr>
        <w:t xml:space="preserve">Järgmised lõplikud tähtajad on kehtestatud nii, et ettevõtte veebisaidid ja elektroonilised piletimüügikanalid oleksid kättesaadavad ja vastaksid artiklis 133 sätestatud tingimustele.</w:t>
      </w:r>
    </w:p>
    <w:p w14:paraId="44E529E5"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Kaks aastat pärast käesoleva seadustiku jõustumist:</w:t>
      </w:r>
    </w:p>
    <w:p w14:paraId="26851055"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selliste ettevõtete veebisaidid ja mobiilirakendused, mille kogu piirkonnas on vähemalt 2000 istekohta.</w:t>
      </w:r>
    </w:p>
    <w:p w14:paraId="59D0540F"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Internetipõhiste piletimüügiplatvormide veebisaidid ja mobiilirakendused, mis haldavad rohkem kui ühte ettevõtet, mille kogumaht on vähemalt 2000 istekohta.</w:t>
      </w:r>
    </w:p>
    <w:p w14:paraId="2835B2B8"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Kolm aastat pärast käesoleva seadustiku jõustumist:</w:t>
      </w:r>
    </w:p>
    <w:p w14:paraId="2F160C92" w14:textId="77777777" w:rsidR="00E526B5" w:rsidRPr="000F0A63" w:rsidRDefault="00E526B5" w:rsidP="000F4434">
      <w:pPr>
        <w:numPr>
          <w:ilvl w:val="0"/>
          <w:numId w:val="36"/>
        </w:numPr>
        <w:tabs>
          <w:tab w:val="left" w:pos="567"/>
        </w:tabs>
        <w:ind w:left="0" w:firstLine="0"/>
        <w:jc w:val="both"/>
        <w:rPr>
          <w:sz w:val="22"/>
          <w:szCs w:val="22"/>
          <w:rFonts w:cs="Arial"/>
        </w:rPr>
      </w:pPr>
      <w:r>
        <w:rPr>
          <w:sz w:val="22"/>
        </w:rPr>
        <w:t xml:space="preserve">internetipõhiste piletimüügiplatvormide veebisaidid ja mobiilirakendused, mis haldavad rohkem kui ühte ettevõtet, mille kogumaht on alla 2000 istekoha.</w:t>
      </w:r>
      <w:r>
        <w:rPr>
          <w:sz w:val="22"/>
        </w:rPr>
        <w:t xml:space="preserve"> </w:t>
      </w:r>
    </w:p>
    <w:p w14:paraId="7BECFAB4" w14:textId="77777777" w:rsidR="00E526B5" w:rsidRPr="000F0A63" w:rsidRDefault="00E526B5" w:rsidP="000F4434">
      <w:pPr>
        <w:keepNext/>
        <w:numPr>
          <w:ilvl w:val="0"/>
          <w:numId w:val="34"/>
        </w:numPr>
        <w:tabs>
          <w:tab w:val="left" w:pos="284"/>
        </w:tabs>
        <w:ind w:left="0" w:firstLine="0"/>
        <w:jc w:val="both"/>
        <w:rPr>
          <w:sz w:val="22"/>
          <w:szCs w:val="22"/>
          <w:rFonts w:cs="Arial"/>
        </w:rPr>
      </w:pPr>
      <w:r>
        <w:rPr>
          <w:sz w:val="22"/>
        </w:rPr>
        <w:t xml:space="preserve">Neli aastat pärast käesoleva seadustiku jõustumist:</w:t>
      </w:r>
    </w:p>
    <w:p w14:paraId="4D5AB809" w14:textId="77777777" w:rsidR="00E526B5" w:rsidRPr="000F0A63" w:rsidRDefault="00E526B5" w:rsidP="000F4434">
      <w:pPr>
        <w:numPr>
          <w:ilvl w:val="0"/>
          <w:numId w:val="35"/>
        </w:numPr>
        <w:tabs>
          <w:tab w:val="left" w:pos="567"/>
        </w:tabs>
        <w:ind w:left="0" w:firstLine="0"/>
        <w:jc w:val="both"/>
        <w:rPr>
          <w:sz w:val="22"/>
          <w:szCs w:val="22"/>
          <w:rFonts w:cs="Arial"/>
        </w:rPr>
      </w:pPr>
      <w:r>
        <w:rPr>
          <w:sz w:val="22"/>
        </w:rPr>
        <w:t xml:space="preserve">alla 2000 istekohaga ettevõtete veebisaidid ja mobiilirakendused kogu piirkonnas.</w:t>
      </w:r>
      <w:r>
        <w:rPr>
          <w:sz w:val="22"/>
        </w:rPr>
        <w:t xml:space="preserve">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8" w:name="_Ref505083249"/>
      <w:r>
        <w:rPr>
          <w:sz w:val="22"/>
        </w:rPr>
        <w:t xml:space="preserve">Kommertsteenused</w:t>
      </w:r>
      <w:bookmarkEnd w:id="8"/>
    </w:p>
    <w:p w14:paraId="3609046E" w14:textId="77777777" w:rsidR="00E526B5" w:rsidRPr="000F0A63" w:rsidRDefault="00E526B5" w:rsidP="00E526B5">
      <w:pPr>
        <w:keepLines/>
        <w:tabs>
          <w:tab w:val="left" w:pos="284"/>
        </w:tabs>
        <w:jc w:val="both"/>
        <w:rPr>
          <w:bCs/>
          <w:sz w:val="22"/>
          <w:szCs w:val="22"/>
          <w:rFonts w:cs="Arial"/>
        </w:rPr>
      </w:pPr>
      <w:r>
        <w:rPr>
          <w:sz w:val="22"/>
        </w:rPr>
        <w:t xml:space="preserve">Järgmised lõplikud tähtajad on kehtestatud nii, et veebisaidid ja mobiilirakendused, mis pakuvad võimalust interneti teel oste teha, ning supermarketite kettide, samuti toidu- või segaettevõtetega äriühingute veebisaidid ja mobiilirakendused võivad olla juurdepääsetavad ja vastata artiklis 126 sätestatud tingimustele.</w:t>
      </w:r>
    </w:p>
    <w:p w14:paraId="12FBBAE4"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Kaks aastat pärast käesoleva seadustiku jõustumist:</w:t>
      </w:r>
    </w:p>
    <w:p w14:paraId="5E3D88E1" w14:textId="77777777" w:rsidR="00E526B5" w:rsidRPr="000F0A63" w:rsidRDefault="00E526B5" w:rsidP="000F4434">
      <w:pPr>
        <w:numPr>
          <w:ilvl w:val="1"/>
          <w:numId w:val="34"/>
        </w:numPr>
        <w:tabs>
          <w:tab w:val="clear" w:pos="1440"/>
          <w:tab w:val="num" w:pos="567"/>
        </w:tabs>
        <w:ind w:left="0" w:firstLine="0"/>
        <w:jc w:val="both"/>
        <w:rPr>
          <w:bCs/>
          <w:iCs/>
          <w:sz w:val="22"/>
          <w:szCs w:val="22"/>
          <w:rFonts w:cs="Arial"/>
        </w:rPr>
      </w:pPr>
      <w:r>
        <w:rPr>
          <w:sz w:val="22"/>
        </w:rPr>
        <w:t xml:space="preserve">selliste supermarketite kettide veebisaidid ja rakendused, millel on 10 või enam ettevõtet ja üle 500 m² kasulikku ruumi üldkasutatavaks kasutamiseks.</w:t>
      </w:r>
    </w:p>
    <w:p w14:paraId="79B90796"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Kolm aastat pärast käesoleva seadustiku jõustumist:</w:t>
      </w:r>
    </w:p>
    <w:p w14:paraId="4A64FC41" w14:textId="77777777" w:rsidR="00E526B5" w:rsidRPr="000F0A63" w:rsidRDefault="00E526B5" w:rsidP="000F4434">
      <w:pPr>
        <w:numPr>
          <w:ilvl w:val="0"/>
          <w:numId w:val="37"/>
        </w:numPr>
        <w:tabs>
          <w:tab w:val="left" w:pos="567"/>
        </w:tabs>
        <w:ind w:left="0" w:firstLine="0"/>
        <w:jc w:val="both"/>
        <w:rPr>
          <w:bCs/>
          <w:iCs/>
          <w:sz w:val="22"/>
          <w:szCs w:val="22"/>
          <w:rFonts w:cs="Arial"/>
        </w:rPr>
      </w:pPr>
      <w:r>
        <w:rPr>
          <w:sz w:val="22"/>
        </w:rPr>
        <w:t xml:space="preserve">mobiilseadmete veebisaidid ja rakendused supermarketite kettide jaoks, millel on 5–9 käitist ja üle 500 m² kasulikku ruumi avalikuks kasutamiseks.</w:t>
      </w:r>
    </w:p>
    <w:p w14:paraId="1F2E1FB5" w14:textId="77777777" w:rsidR="00E526B5" w:rsidRPr="000F0A63" w:rsidRDefault="00E526B5" w:rsidP="000F4434">
      <w:pPr>
        <w:numPr>
          <w:ilvl w:val="0"/>
          <w:numId w:val="32"/>
        </w:numPr>
        <w:tabs>
          <w:tab w:val="left" w:pos="284"/>
        </w:tabs>
        <w:ind w:left="0" w:firstLine="0"/>
        <w:jc w:val="both"/>
        <w:rPr>
          <w:sz w:val="22"/>
          <w:szCs w:val="22"/>
          <w:rFonts w:cs="Arial"/>
        </w:rPr>
      </w:pPr>
      <w:r>
        <w:rPr>
          <w:sz w:val="22"/>
        </w:rPr>
        <w:t xml:space="preserve">Neli aastat pärast käesoleva seadustiku jõustumist:</w:t>
      </w:r>
    </w:p>
    <w:p w14:paraId="47833147" w14:textId="77777777" w:rsidR="00E526B5" w:rsidRPr="000F0A63" w:rsidRDefault="00E526B5" w:rsidP="000F4434">
      <w:pPr>
        <w:numPr>
          <w:ilvl w:val="0"/>
          <w:numId w:val="38"/>
        </w:numPr>
        <w:tabs>
          <w:tab w:val="left" w:pos="567"/>
        </w:tabs>
        <w:ind w:left="0" w:firstLine="0"/>
        <w:jc w:val="both"/>
        <w:rPr>
          <w:bCs/>
          <w:iCs/>
          <w:sz w:val="22"/>
          <w:szCs w:val="22"/>
          <w:rFonts w:cs="Arial"/>
        </w:rPr>
      </w:pPr>
      <w:r>
        <w:rPr>
          <w:sz w:val="22"/>
        </w:rPr>
        <w:t xml:space="preserve">mobiilseadmete veebisaidid ja rakendused supermarketite kettide ning toidu- või segaettevõtete jaoks, kus on üle 500 m² kasulikku pinda avalikuks kasutamiseks.</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9" w:name="_Ref505083279"/>
      <w:r>
        <w:rPr>
          <w:sz w:val="22"/>
        </w:rPr>
        <w:t xml:space="preserve">Finants- ja kindlustusteenused</w:t>
      </w:r>
      <w:bookmarkEnd w:id="9"/>
    </w:p>
    <w:p w14:paraId="6258DBF3" w14:textId="77777777" w:rsidR="00E526B5" w:rsidRPr="000F0A63" w:rsidRDefault="00E526B5" w:rsidP="00E526B5">
      <w:pPr>
        <w:keepLines/>
        <w:tabs>
          <w:tab w:val="left" w:pos="284"/>
        </w:tabs>
        <w:jc w:val="both"/>
        <w:rPr>
          <w:sz w:val="22"/>
          <w:szCs w:val="22"/>
          <w:rFonts w:cs="Arial"/>
        </w:rPr>
      </w:pPr>
      <w:r>
        <w:rPr>
          <w:sz w:val="22"/>
        </w:rPr>
        <w:t xml:space="preserve">Järgmised lõplikud tähtajad on kehtestatud nii, et mobiilseadmete veebisaidid ja rakendused, mis võimaldavad teha pangatoiminguid, sõlmida lepinguid, konsulteerida meditsiininõukogudega või mis tahes muud liiki juhtkonnaga või konsulteerida üksusega seoses tellitud toodetega, võivad olla juurdepääsetavad ja vastata artiklis 127 osutatud tingimustele.</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Üks aasta alates käesoleva seadustiku jõustumisest:</w:t>
      </w:r>
    </w:p>
    <w:p w14:paraId="05594252" w14:textId="77777777" w:rsidR="00E526B5" w:rsidRPr="000F0A63" w:rsidRDefault="00E526B5" w:rsidP="000F4434">
      <w:pPr>
        <w:numPr>
          <w:ilvl w:val="0"/>
          <w:numId w:val="40"/>
        </w:numPr>
        <w:tabs>
          <w:tab w:val="clear" w:pos="1440"/>
          <w:tab w:val="num" w:pos="567"/>
        </w:tabs>
        <w:ind w:left="0" w:firstLine="0"/>
        <w:jc w:val="both"/>
        <w:rPr>
          <w:sz w:val="22"/>
          <w:szCs w:val="22"/>
          <w:rFonts w:cs="Arial"/>
        </w:rPr>
      </w:pPr>
      <w:r>
        <w:rPr>
          <w:sz w:val="22"/>
        </w:rPr>
        <w:t xml:space="preserve">veebilehed</w:t>
      </w:r>
      <w:r>
        <w:rPr>
          <w:sz w:val="22"/>
        </w:rPr>
        <w:t xml:space="preserve">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Kaks aastat pärast käesoleva seadustiku jõustumist:</w:t>
      </w:r>
    </w:p>
    <w:p w14:paraId="7D3D57C1" w14:textId="77777777" w:rsidR="00E526B5" w:rsidRPr="000F0A63" w:rsidRDefault="00E526B5" w:rsidP="000F4434">
      <w:pPr>
        <w:numPr>
          <w:ilvl w:val="0"/>
          <w:numId w:val="41"/>
        </w:numPr>
        <w:tabs>
          <w:tab w:val="left" w:pos="567"/>
        </w:tabs>
        <w:ind w:left="0" w:firstLine="0"/>
        <w:jc w:val="both"/>
        <w:rPr>
          <w:sz w:val="22"/>
          <w:szCs w:val="22"/>
          <w:rFonts w:cs="Arial"/>
        </w:rPr>
      </w:pPr>
      <w:r>
        <w:rPr>
          <w:sz w:val="22"/>
        </w:rPr>
        <w:t xml:space="preserve">mobiilseadmete rakendused.</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0" w:name="_Ref505083294"/>
      <w:r>
        <w:rPr>
          <w:sz w:val="22"/>
        </w:rPr>
        <w:t xml:space="preserve">Eratranspordiga seotud teenused</w:t>
      </w:r>
      <w:bookmarkEnd w:id="10"/>
    </w:p>
    <w:p w14:paraId="0C12C9D0" w14:textId="77777777" w:rsidR="00E526B5" w:rsidRPr="000F0A63" w:rsidRDefault="00E526B5" w:rsidP="00E526B5">
      <w:pPr>
        <w:tabs>
          <w:tab w:val="left" w:pos="284"/>
        </w:tabs>
        <w:jc w:val="both"/>
        <w:rPr>
          <w:bCs/>
          <w:sz w:val="22"/>
          <w:szCs w:val="22"/>
          <w:rFonts w:cs="Arial"/>
        </w:rPr>
      </w:pPr>
      <w:r>
        <w:rPr>
          <w:sz w:val="22"/>
        </w:rPr>
        <w:t xml:space="preserve">Järgmised lõplikud tähtajad on kehtestatud nii, et ettevõtjad, kes pakuvad isejuhtivat autorenti rohkem kui 100 sõidukist koosneva sõidukipargiga, ja need, kes pakuvad autojuhiga autorenditeenust, mille sõidukipark on üle 50 sõiduki, võivad täita artiklis 128 sätestatud tingimusi.</w:t>
      </w:r>
      <w:r>
        <w:rPr>
          <w:sz w:val="22"/>
        </w:rPr>
        <w:t xml:space="preserve"> </w:t>
      </w:r>
    </w:p>
    <w:p w14:paraId="47D4E7EF"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Üks aasta alates käesoleva seadustiku jõustumisest:</w:t>
      </w:r>
      <w:r>
        <w:rPr>
          <w:sz w:val="22"/>
        </w:rPr>
        <w:t xml:space="preserve"> </w:t>
      </w:r>
    </w:p>
    <w:p w14:paraId="4DD29E94" w14:textId="37067D80" w:rsidR="00E526B5" w:rsidRPr="000F0A63" w:rsidRDefault="00E526B5" w:rsidP="00E526B5">
      <w:pPr>
        <w:widowControl w:val="0"/>
        <w:tabs>
          <w:tab w:val="left" w:pos="426"/>
        </w:tabs>
        <w:jc w:val="both"/>
        <w:rPr>
          <w:sz w:val="22"/>
          <w:szCs w:val="22"/>
          <w:rFonts w:cs="Arial"/>
        </w:rPr>
      </w:pPr>
      <w:r>
        <w:rPr>
          <w:sz w:val="22"/>
        </w:rPr>
        <w:t xml:space="preserve">a1.</w:t>
      </w:r>
      <w:r>
        <w:rPr>
          <w:sz w:val="22"/>
        </w:rPr>
        <w:tab/>
      </w:r>
      <w:r>
        <w:rPr>
          <w:sz w:val="22"/>
        </w:rPr>
        <w:t xml:space="preserve">Nad peavad olema varustatud sõidukitega, mis on võimelised vedama ratastooliga mittejuhitavaid sõidukeid, mis on vähemalt 1% nende hallatavast sõidukipargist.</w:t>
      </w:r>
      <w:r>
        <w:rPr>
          <w:sz w:val="22"/>
        </w:rPr>
        <w:t xml:space="preserve"> </w:t>
      </w:r>
    </w:p>
    <w:p w14:paraId="241A7D0B" w14:textId="07973EFE" w:rsidR="00E526B5" w:rsidRPr="000F0A63" w:rsidRDefault="00E526B5" w:rsidP="00B670F2">
      <w:pPr>
        <w:widowControl w:val="0"/>
        <w:tabs>
          <w:tab w:val="left" w:pos="426"/>
        </w:tabs>
        <w:jc w:val="both"/>
        <w:rPr>
          <w:sz w:val="22"/>
          <w:szCs w:val="22"/>
          <w:rFonts w:cs="Arial"/>
        </w:rPr>
      </w:pPr>
      <w:r>
        <w:rPr>
          <w:sz w:val="22"/>
        </w:rPr>
        <w:t xml:space="preserve">a2.</w:t>
      </w:r>
      <w:r>
        <w:rPr>
          <w:sz w:val="22"/>
        </w:rPr>
        <w:tab/>
      </w:r>
      <w:r>
        <w:rPr>
          <w:sz w:val="22"/>
        </w:rPr>
        <w:t xml:space="preserve">Neil peab olema piiratud liikumisvõimega juhtidele kohandatud sõidukite varu vähemalt 0,5% nende hallatavast sõidukipargist.</w:t>
      </w:r>
      <w:r>
        <w:rPr>
          <w:sz w:val="22"/>
        </w:rPr>
        <w:t xml:space="preserve"> </w:t>
      </w:r>
    </w:p>
    <w:p w14:paraId="273BCA57" w14:textId="19D21C18" w:rsidR="00E526B5" w:rsidRPr="000F0A63" w:rsidRDefault="00E526B5" w:rsidP="00B670F2">
      <w:pPr>
        <w:widowControl w:val="0"/>
        <w:tabs>
          <w:tab w:val="left" w:pos="426"/>
        </w:tabs>
        <w:jc w:val="both"/>
        <w:rPr>
          <w:sz w:val="22"/>
          <w:szCs w:val="22"/>
          <w:rFonts w:cs="Arial"/>
        </w:rPr>
      </w:pPr>
      <w:r>
        <w:rPr>
          <w:sz w:val="22"/>
        </w:rPr>
        <w:t xml:space="preserve">a3.</w:t>
      </w:r>
      <w:r>
        <w:rPr>
          <w:sz w:val="22"/>
        </w:rPr>
        <w:tab/>
      </w:r>
      <w:r>
        <w:rPr>
          <w:sz w:val="22"/>
        </w:rPr>
        <w:t xml:space="preserve">Eelmistes punktides osutatud tarneid võib pakkuda nende enda sõidukitega või teiste ettevõtjatega sõlmitud kokkulepete kaudu, mis tagavad piisava kättesaadavuse.</w:t>
      </w:r>
    </w:p>
    <w:p w14:paraId="3BCE400D"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Kolm aastat pärast käesoleva seadustiku jõustumist:</w:t>
      </w:r>
      <w:r>
        <w:rPr>
          <w:sz w:val="22"/>
        </w:rPr>
        <w:t xml:space="preserve"> </w:t>
      </w:r>
    </w:p>
    <w:p w14:paraId="727C0165" w14:textId="23D3973D" w:rsidR="00E526B5" w:rsidRPr="000F0A63" w:rsidRDefault="00E526B5" w:rsidP="00B670F2">
      <w:pPr>
        <w:widowControl w:val="0"/>
        <w:tabs>
          <w:tab w:val="left" w:pos="426"/>
        </w:tabs>
        <w:jc w:val="both"/>
        <w:rPr>
          <w:sz w:val="22"/>
          <w:szCs w:val="22"/>
          <w:rFonts w:cs="Arial"/>
        </w:rPr>
      </w:pPr>
      <w:r>
        <w:rPr>
          <w:sz w:val="22"/>
        </w:rPr>
        <w:t xml:space="preserve">b1.</w:t>
      </w:r>
      <w:r>
        <w:rPr>
          <w:sz w:val="22"/>
        </w:rPr>
        <w:tab/>
      </w:r>
      <w:r>
        <w:rPr>
          <w:sz w:val="22"/>
        </w:rPr>
        <w:t xml:space="preserve">Vähemalt 0,5% oma sõidukipargi sõidukitest peab olema võimeline kandma ratastoolita sõitjaid.</w:t>
      </w:r>
      <w:r>
        <w:rPr>
          <w:sz w:val="22"/>
        </w:rPr>
        <w:t xml:space="preserve"> </w:t>
      </w:r>
    </w:p>
    <w:p w14:paraId="1A4E7542" w14:textId="77777777" w:rsidR="00E526B5" w:rsidRPr="000F0A63" w:rsidRDefault="00E526B5" w:rsidP="000F4434">
      <w:pPr>
        <w:keepNext/>
        <w:numPr>
          <w:ilvl w:val="0"/>
          <w:numId w:val="31"/>
        </w:numPr>
        <w:tabs>
          <w:tab w:val="left" w:pos="284"/>
        </w:tabs>
        <w:ind w:left="0" w:firstLine="0"/>
        <w:jc w:val="both"/>
        <w:rPr>
          <w:sz w:val="22"/>
          <w:szCs w:val="22"/>
          <w:rFonts w:cs="Arial"/>
        </w:rPr>
      </w:pPr>
      <w:r>
        <w:rPr>
          <w:sz w:val="22"/>
        </w:rPr>
        <w:t xml:space="preserve">Kuus aastat pärast käesoleva seadustiku jõustumist:</w:t>
      </w:r>
      <w:r>
        <w:rPr>
          <w:sz w:val="22"/>
        </w:rPr>
        <w:t xml:space="preserve"> </w:t>
      </w:r>
    </w:p>
    <w:p w14:paraId="4EF5184D" w14:textId="39EC3E47" w:rsidR="00E526B5" w:rsidRPr="000F0A63" w:rsidRDefault="00E526B5" w:rsidP="00B670F2">
      <w:pPr>
        <w:widowControl w:val="0"/>
        <w:tabs>
          <w:tab w:val="left" w:pos="426"/>
        </w:tabs>
        <w:jc w:val="both"/>
        <w:rPr>
          <w:sz w:val="22"/>
          <w:szCs w:val="22"/>
          <w:rFonts w:cs="Arial"/>
        </w:rPr>
      </w:pPr>
      <w:r>
        <w:rPr>
          <w:sz w:val="22"/>
        </w:rPr>
        <w:t xml:space="preserve">c1.</w:t>
      </w:r>
      <w:r>
        <w:rPr>
          <w:sz w:val="22"/>
        </w:rPr>
        <w:tab/>
      </w:r>
      <w:r>
        <w:rPr>
          <w:sz w:val="22"/>
        </w:rPr>
        <w:t xml:space="preserve">Vähemalt 2% oma sõidukipargi sõidukitest peab olema võimeline kandma ratastoolita sõitjaid.</w:t>
      </w:r>
    </w:p>
    <w:p w14:paraId="2BB22C13" w14:textId="169DA298" w:rsidR="00E526B5" w:rsidRPr="000F0A63" w:rsidRDefault="00E526B5" w:rsidP="00B670F2">
      <w:pPr>
        <w:widowControl w:val="0"/>
        <w:tabs>
          <w:tab w:val="left" w:pos="426"/>
        </w:tabs>
        <w:jc w:val="both"/>
        <w:rPr>
          <w:sz w:val="22"/>
          <w:szCs w:val="22"/>
          <w:rFonts w:cs="Arial"/>
        </w:rPr>
      </w:pPr>
      <w:r>
        <w:rPr>
          <w:sz w:val="22"/>
        </w:rPr>
        <w:t xml:space="preserve">c2.</w:t>
      </w:r>
      <w:r>
        <w:rPr>
          <w:sz w:val="22"/>
        </w:rPr>
        <w:tab/>
      </w:r>
      <w:r>
        <w:rPr>
          <w:sz w:val="22"/>
        </w:rPr>
        <w:t xml:space="preserve">Vähemalt 0,5% oma sõidukipargi sõidukitest tuleb kohandada piiratud liikumisvõimega sõidukijuhtidele.</w:t>
      </w:r>
      <w:r>
        <w:rPr>
          <w:sz w:val="22"/>
        </w:rPr>
        <w:t xml:space="preserve">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1" w:name="_Ref505095784"/>
      <w:r>
        <w:rPr>
          <w:sz w:val="22"/>
        </w:rPr>
        <w:t xml:space="preserve">Turismimajutusega seotud teenused</w:t>
      </w:r>
      <w:bookmarkEnd w:id="11"/>
      <w:r>
        <w:rPr>
          <w:sz w:val="22"/>
        </w:rPr>
        <w:t xml:space="preserve"> </w:t>
      </w:r>
    </w:p>
    <w:p w14:paraId="4E8242D0" w14:textId="77777777" w:rsidR="00E526B5" w:rsidRPr="000F0A63" w:rsidRDefault="00E526B5" w:rsidP="00E526B5">
      <w:pPr>
        <w:tabs>
          <w:tab w:val="left" w:pos="284"/>
        </w:tabs>
        <w:jc w:val="both"/>
        <w:rPr>
          <w:bCs/>
          <w:sz w:val="22"/>
          <w:szCs w:val="22"/>
          <w:rFonts w:cs="Arial"/>
        </w:rPr>
      </w:pPr>
      <w:r>
        <w:rPr>
          <w:sz w:val="22"/>
        </w:rPr>
        <w:t xml:space="preserve">Järgmised lõplikud tähtajad on kehtestatud nii, et rohkem kui 100 toa mahutavusega hotellikettide ja majutusasutuste veebisaidid ja mobiilirakendused, mis võimaldavad majutust ja veebiteenuseid broneerida, võivad olla juurdepääsetavad ja vastata artiklis 130 osutatud tingimustele.</w:t>
      </w:r>
    </w:p>
    <w:p w14:paraId="764A0265"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Kaks aastat pärast käesoleva seadustiku jõustumist:</w:t>
      </w:r>
    </w:p>
    <w:p w14:paraId="104ADEEC" w14:textId="77777777" w:rsidR="00E526B5" w:rsidRPr="000F0A63" w:rsidRDefault="00E526B5" w:rsidP="000F4434">
      <w:pPr>
        <w:numPr>
          <w:ilvl w:val="0"/>
          <w:numId w:val="43"/>
        </w:numPr>
        <w:tabs>
          <w:tab w:val="clear" w:pos="1440"/>
          <w:tab w:val="num" w:pos="567"/>
        </w:tabs>
        <w:ind w:left="0" w:firstLine="0"/>
        <w:jc w:val="both"/>
        <w:rPr>
          <w:bCs/>
          <w:iCs/>
          <w:sz w:val="22"/>
          <w:szCs w:val="22"/>
          <w:rFonts w:cs="Arial"/>
        </w:rPr>
      </w:pPr>
      <w:r>
        <w:rPr>
          <w:sz w:val="22"/>
        </w:rPr>
        <w:t xml:space="preserve">hotellikettide veebisaidid ja mobiilirakendused, millel on viis või enam majutusasutust ja mille ühine pakkumine on üle 500 toa.</w:t>
      </w:r>
    </w:p>
    <w:p w14:paraId="2356AB86"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Kolm aastat pärast käesoleva seadustiku jõustumist:</w:t>
      </w:r>
    </w:p>
    <w:p w14:paraId="4EFEF877"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hotellikettide veebisaidid ja mobiilirakendused, millel on kuni 4 majutusasutust ja mille ühine pakkumine on üle 500 toa.</w:t>
      </w:r>
    </w:p>
    <w:p w14:paraId="268EBD55"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500 või enama ruumiga ettevõtete veebisaidid ja mobiilirakendused.</w:t>
      </w:r>
    </w:p>
    <w:p w14:paraId="4D022006" w14:textId="77777777" w:rsidR="00E526B5" w:rsidRPr="000F0A63" w:rsidRDefault="00E526B5" w:rsidP="000F4434">
      <w:pPr>
        <w:numPr>
          <w:ilvl w:val="0"/>
          <w:numId w:val="42"/>
        </w:numPr>
        <w:tabs>
          <w:tab w:val="left" w:pos="284"/>
        </w:tabs>
        <w:ind w:left="0" w:firstLine="0"/>
        <w:jc w:val="both"/>
        <w:rPr>
          <w:sz w:val="22"/>
          <w:szCs w:val="22"/>
          <w:rFonts w:cs="Arial"/>
        </w:rPr>
      </w:pPr>
      <w:r>
        <w:rPr>
          <w:sz w:val="22"/>
        </w:rPr>
        <w:t xml:space="preserve">Neli aastat pärast käesoleva seadustiku jõustumist:</w:t>
      </w:r>
    </w:p>
    <w:p w14:paraId="65935E38" w14:textId="77777777" w:rsidR="00E526B5" w:rsidRPr="000F0A63" w:rsidRDefault="00E526B5" w:rsidP="000F4434">
      <w:pPr>
        <w:numPr>
          <w:ilvl w:val="0"/>
          <w:numId w:val="45"/>
        </w:numPr>
        <w:tabs>
          <w:tab w:val="left" w:pos="567"/>
        </w:tabs>
        <w:ind w:left="0" w:firstLine="0"/>
        <w:jc w:val="both"/>
        <w:rPr>
          <w:bCs/>
          <w:iCs/>
          <w:sz w:val="22"/>
          <w:szCs w:val="22"/>
          <w:rFonts w:cs="Arial"/>
        </w:rPr>
      </w:pPr>
      <w:r>
        <w:rPr>
          <w:sz w:val="22"/>
        </w:rPr>
        <w:t xml:space="preserve">hotellikettide veebisaidid ja mobiilirakendused, mille ühine pakkumine on 100–500 tuba</w:t>
      </w:r>
    </w:p>
    <w:p w14:paraId="61927497" w14:textId="77777777" w:rsidR="00E526B5" w:rsidRPr="000F0A63" w:rsidRDefault="00E526B5" w:rsidP="000F4434">
      <w:pPr>
        <w:numPr>
          <w:ilvl w:val="0"/>
          <w:numId w:val="45"/>
        </w:numPr>
        <w:tabs>
          <w:tab w:val="left" w:pos="284"/>
          <w:tab w:val="left" w:pos="567"/>
        </w:tabs>
        <w:ind w:left="0" w:firstLine="0"/>
        <w:jc w:val="both"/>
        <w:rPr>
          <w:bCs/>
          <w:iCs/>
          <w:sz w:val="22"/>
          <w:szCs w:val="22"/>
          <w:rFonts w:cs="Arial"/>
        </w:rPr>
      </w:pPr>
      <w:r>
        <w:rPr>
          <w:sz w:val="22"/>
        </w:rPr>
        <w:t xml:space="preserve">50–500 ruumiga majutusasutuste veebisaidid ja rakendused mobiilseadmete jaoks.</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12" w:name="_Ref63848315"/>
      <w:r>
        <w:rPr>
          <w:sz w:val="22"/>
        </w:rPr>
        <w:t xml:space="preserve">Haridusteenused</w:t>
      </w:r>
      <w:bookmarkEnd w:id="12"/>
    </w:p>
    <w:p w14:paraId="355384ED" w14:textId="77777777" w:rsidR="00E526B5" w:rsidRPr="000F0A63" w:rsidRDefault="00E526B5" w:rsidP="00E526B5">
      <w:pPr>
        <w:tabs>
          <w:tab w:val="left" w:pos="284"/>
        </w:tabs>
        <w:jc w:val="both"/>
        <w:rPr>
          <w:bCs/>
          <w:sz w:val="22"/>
          <w:szCs w:val="22"/>
          <w:rFonts w:cs="Arial"/>
        </w:rPr>
      </w:pPr>
      <w:r>
        <w:rPr>
          <w:sz w:val="22"/>
        </w:rPr>
        <w:t xml:space="preserve">Selleks et formaalharidust pakkuvate haridusasutuste veebisaidid ja mobiilirakendused oleksid kättesaadavad ja vastaksid artiklis 135 sätestatud tingimustele, on kehtestatud järgmised lõplikud tähtajad.</w:t>
      </w:r>
    </w:p>
    <w:p w14:paraId="601F3FE1"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Kaks aastat pärast käesoleva seadustiku jõustumist:</w:t>
      </w:r>
    </w:p>
    <w:p w14:paraId="29E27507" w14:textId="77777777" w:rsidR="00E526B5" w:rsidRPr="000F0A63" w:rsidRDefault="00E526B5" w:rsidP="000F4434">
      <w:pPr>
        <w:numPr>
          <w:ilvl w:val="0"/>
          <w:numId w:val="47"/>
        </w:numPr>
        <w:tabs>
          <w:tab w:val="clear" w:pos="1440"/>
          <w:tab w:val="num" w:pos="567"/>
        </w:tabs>
        <w:ind w:left="0" w:firstLine="0"/>
        <w:jc w:val="both"/>
        <w:rPr>
          <w:bCs/>
          <w:iCs/>
          <w:sz w:val="22"/>
          <w:szCs w:val="22"/>
          <w:rFonts w:cs="Arial"/>
        </w:rPr>
      </w:pPr>
      <w:r>
        <w:rPr>
          <w:sz w:val="22"/>
        </w:rPr>
        <w:t xml:space="preserve">mobiilseadmete veebilehed ja rakendused, mis võimaldavad otsida akadeemilisi dokumente, arvete haldamist või muid veebiprotsesse.</w:t>
      </w:r>
    </w:p>
    <w:p w14:paraId="6FB062A9"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Kolm aastat pärast käesoleva seadustiku jõustumist:</w:t>
      </w:r>
    </w:p>
    <w:p w14:paraId="5CC5D46B" w14:textId="77777777" w:rsidR="00E526B5" w:rsidRPr="000F0A63" w:rsidRDefault="00E526B5" w:rsidP="000F4434">
      <w:pPr>
        <w:numPr>
          <w:ilvl w:val="0"/>
          <w:numId w:val="48"/>
        </w:numPr>
        <w:tabs>
          <w:tab w:val="clear" w:pos="1440"/>
          <w:tab w:val="num" w:pos="567"/>
        </w:tabs>
        <w:ind w:left="0" w:firstLine="0"/>
        <w:jc w:val="both"/>
        <w:rPr>
          <w:bCs/>
          <w:sz w:val="22"/>
          <w:szCs w:val="22"/>
          <w:rFonts w:cs="Arial"/>
        </w:rPr>
      </w:pPr>
      <w:r>
        <w:rPr>
          <w:sz w:val="22"/>
        </w:rPr>
        <w:t xml:space="preserve">mobiilseadmete veebisaidid ja rakendused, mis annavad teavet kooli, rajatiste ja haridusalaste pakkumiste kohta.</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r>
        <w:rPr>
          <w:sz w:val="22"/>
        </w:rPr>
        <w:t xml:space="preserve">Tervishoiuteenused</w:t>
      </w:r>
    </w:p>
    <w:p w14:paraId="62E28D59" w14:textId="77777777" w:rsidR="00E526B5" w:rsidRPr="000F0A63" w:rsidRDefault="00E526B5" w:rsidP="00E526B5">
      <w:pPr>
        <w:tabs>
          <w:tab w:val="left" w:pos="284"/>
        </w:tabs>
        <w:jc w:val="both"/>
        <w:rPr>
          <w:bCs/>
          <w:sz w:val="22"/>
          <w:szCs w:val="22"/>
          <w:rFonts w:cs="Arial"/>
        </w:rPr>
      </w:pPr>
      <w:r>
        <w:rPr>
          <w:sz w:val="22"/>
        </w:rPr>
        <w:t xml:space="preserve">Tervisekeskused, mille voodikohtade arv on võrdne või suurem kui 50, peavad vastama järgmistele tähtaegadele ja tingimustele.</w:t>
      </w:r>
      <w:r>
        <w:rPr>
          <w:sz w:val="22"/>
        </w:rPr>
        <w:t xml:space="preserve"> </w:t>
      </w:r>
    </w:p>
    <w:p w14:paraId="28557BD4" w14:textId="77777777" w:rsidR="00E526B5" w:rsidRPr="000F0A63" w:rsidRDefault="00E526B5" w:rsidP="000F4434">
      <w:pPr>
        <w:numPr>
          <w:ilvl w:val="0"/>
          <w:numId w:val="49"/>
        </w:numPr>
        <w:tabs>
          <w:tab w:val="left" w:pos="284"/>
        </w:tabs>
        <w:ind w:left="0" w:firstLine="0"/>
        <w:jc w:val="both"/>
        <w:rPr>
          <w:bCs/>
          <w:iCs/>
          <w:sz w:val="22"/>
          <w:szCs w:val="22"/>
          <w:rFonts w:cs="Arial"/>
        </w:rPr>
      </w:pPr>
      <w:r>
        <w:rPr>
          <w:sz w:val="22"/>
        </w:rPr>
        <w:t xml:space="preserve">Kolm aastat pärast käesoleva seadustiku jõustumist:</w:t>
      </w:r>
    </w:p>
    <w:p w14:paraId="727C4E74" w14:textId="77777777" w:rsidR="00E526B5" w:rsidRPr="000F0A63" w:rsidRDefault="00E526B5" w:rsidP="00E526B5">
      <w:pPr>
        <w:tabs>
          <w:tab w:val="left" w:pos="284"/>
        </w:tabs>
        <w:jc w:val="both"/>
        <w:rPr>
          <w:sz w:val="22"/>
          <w:szCs w:val="22"/>
          <w:rFonts w:cs="Arial"/>
        </w:rPr>
      </w:pPr>
      <w:r>
        <w:rPr>
          <w:sz w:val="22"/>
        </w:rPr>
        <w:t xml:space="preserve">omama infrastruktuuri, mobiilseid seadmeid ja protokolle kurtide teenindamiseks katalaani viipekeele kaudu kaugtõlke tehnoloogia abil, mahuga vähemalt 2% vooditest.</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3</cp:revision>
  <dcterms:created xsi:type="dcterms:W3CDTF">2023-04-26T07:42:00Z</dcterms:created>
  <dcterms:modified xsi:type="dcterms:W3CDTF">2023-05-02T16:13:00Z</dcterms:modified>
</cp:coreProperties>
</file>