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F774" w14:textId="7DEFCC7F" w:rsidR="00E526B5" w:rsidRDefault="00B670F2" w:rsidP="00CC0ADF">
      <w:pPr>
        <w:ind w:left="709" w:hanging="720"/>
        <w:jc w:val="both"/>
        <w:outlineLvl w:val="3"/>
      </w:pPr>
      <w:r>
        <w:rPr>
          <w:sz w:val="22"/>
        </w:rPr>
        <w:t xml:space="preserve">HOOFDSTUK 4:</w:t>
      </w:r>
      <w:r>
        <w:rPr>
          <w:sz w:val="22"/>
        </w:rPr>
        <w:t xml:space="preserve"> </w:t>
      </w:r>
      <w:r>
        <w:rPr>
          <w:sz w:val="22"/>
        </w:rPr>
        <w:t xml:space="preserve">Toegankelijkheid tot transportmiddelen</w:t>
      </w:r>
    </w:p>
    <w:p w14:paraId="456422CC" w14:textId="551AF3E3" w:rsidR="00CC0ADF" w:rsidRPr="00CC0ADF" w:rsidRDefault="00CC0ADF" w:rsidP="000F4434">
      <w:pPr>
        <w:pStyle w:val="ListParagraph"/>
        <w:numPr>
          <w:ilvl w:val="1"/>
          <w:numId w:val="2"/>
        </w:numPr>
        <w:ind w:left="709"/>
        <w:jc w:val="both"/>
        <w:outlineLvl w:val="3"/>
        <w:rPr>
          <w:bCs/>
          <w:sz w:val="22"/>
          <w:szCs w:val="22"/>
          <w:rFonts w:cs="Arial"/>
        </w:rPr>
      </w:pPr>
      <w:r>
        <w:rPr>
          <w:sz w:val="22"/>
        </w:rPr>
        <w:t xml:space="preserve">Wanneer een taxidienst wordt aangeboden via telefonische boekingen, dient deze dienst de aanvraagmethoden uit te breiden met behulp van nieuwe technologieën, applicaties, het internet, sms-berichten, fax-berichten en soortgelijke middelen, zodat alle gebruikers, inclusief degenen met gehoorstoornissen, de dienst zelfstandig kunnen aanvragen.</w:t>
      </w:r>
    </w:p>
    <w:p w14:paraId="2D97C4D3" w14:textId="77777777" w:rsidR="00CC0ADF" w:rsidRPr="000F0A63" w:rsidRDefault="00CC0ADF" w:rsidP="000F4434">
      <w:pPr>
        <w:pStyle w:val="ListParagraph"/>
        <w:numPr>
          <w:ilvl w:val="1"/>
          <w:numId w:val="2"/>
        </w:numPr>
        <w:ind w:left="709"/>
        <w:jc w:val="both"/>
        <w:outlineLvl w:val="3"/>
        <w:rPr>
          <w:bCs/>
          <w:sz w:val="22"/>
          <w:szCs w:val="22"/>
          <w:rFonts w:cs="Arial"/>
        </w:rPr>
      </w:pPr>
      <w:r>
        <w:rPr>
          <w:sz w:val="22"/>
        </w:rPr>
        <w:t xml:space="preserve">Wanneer de “taxi-op-aanvraag”-dienst een website heeft, moet deze toegankelijk zijn, ten minste op het AA-niveau van de WCAG 2.1-richtsnoeren.</w:t>
      </w:r>
      <w:r>
        <w:rPr>
          <w:sz w:val="22"/>
        </w:rPr>
        <w:t xml:space="preserve"> </w:t>
      </w:r>
    </w:p>
    <w:p w14:paraId="4AEFA1EE" w14:textId="2FEB6DE3" w:rsidR="00CC0ADF" w:rsidRDefault="00CC0ADF" w:rsidP="000F4434">
      <w:pPr>
        <w:pStyle w:val="ListParagraph"/>
        <w:numPr>
          <w:ilvl w:val="1"/>
          <w:numId w:val="3"/>
        </w:numPr>
        <w:ind w:left="709" w:hanging="709"/>
        <w:jc w:val="both"/>
        <w:outlineLvl w:val="3"/>
        <w:rPr>
          <w:bCs/>
          <w:sz w:val="22"/>
          <w:szCs w:val="22"/>
          <w:rFonts w:cs="Arial"/>
        </w:rPr>
      </w:pPr>
      <w:r>
        <w:rPr>
          <w:sz w:val="22"/>
        </w:rPr>
        <w:t xml:space="preserve">Het huren van een taxi die toegankelijk is voor mensen met beperkte mobiliteit per telefoon, internet of mobiele applicatie kan niet worden onderworpen aan een verwachte vraagtoeslag.</w:t>
      </w:r>
      <w:r>
        <w:rPr>
          <w:sz w:val="22"/>
        </w:rPr>
        <w:t xml:space="preserve"> </w:t>
      </w:r>
      <w:r>
        <w:rPr>
          <w:sz w:val="22"/>
        </w:rPr>
        <w:t xml:space="preserve">De invaliditeitskaart dient als bewijs voor het geval dit wordt verzocht.</w:t>
      </w:r>
    </w:p>
    <w:p w14:paraId="3615AB3D" w14:textId="77777777" w:rsidR="00E526B5" w:rsidRPr="00CC0ADF" w:rsidRDefault="00E526B5" w:rsidP="00E526B5">
      <w:pPr>
        <w:pStyle w:val="ListParagraph"/>
        <w:ind w:left="709"/>
        <w:jc w:val="both"/>
        <w:outlineLvl w:val="3"/>
        <w:rPr>
          <w:rFonts w:cs="Arial"/>
          <w:bCs/>
          <w:sz w:val="22"/>
          <w:szCs w:val="22"/>
          <w:lang w:val="es-ES"/>
        </w:rPr>
      </w:pPr>
    </w:p>
    <w:p w14:paraId="7A0F7A5F" w14:textId="6B83C219" w:rsidR="000B6FCF" w:rsidRDefault="00B670F2">
      <w:r>
        <w:rPr>
          <w:sz w:val="22"/>
        </w:rPr>
        <w:t xml:space="preserve">HOOFDSTUK 5:</w:t>
      </w:r>
      <w:r>
        <w:rPr>
          <w:sz w:val="22"/>
        </w:rPr>
        <w:t xml:space="preserve"> </w:t>
      </w:r>
      <w:r>
        <w:rPr>
          <w:sz w:val="22"/>
        </w:rPr>
        <w:t xml:space="preserve">Toegankelijkheid bij producten</w:t>
      </w:r>
    </w:p>
    <w:p w14:paraId="183BC7CF" w14:textId="76471CF5" w:rsidR="00CC0ADF" w:rsidRPr="000F0A63" w:rsidRDefault="00CC0ADF" w:rsidP="00CC0ADF">
      <w:pPr>
        <w:keepNext/>
        <w:jc w:val="both"/>
        <w:outlineLvl w:val="2"/>
        <w:rPr>
          <w:bCs/>
          <w:sz w:val="22"/>
          <w:szCs w:val="22"/>
          <w:rFonts w:cs="Arial"/>
        </w:rPr>
      </w:pPr>
      <w:bookmarkStart w:id="0" w:name="_Ref447791242"/>
      <w:r>
        <w:rPr>
          <w:sz w:val="22"/>
        </w:rPr>
        <w:t xml:space="preserve">Artikel 116.</w:t>
      </w:r>
      <w:r>
        <w:rPr>
          <w:sz w:val="22"/>
        </w:rPr>
        <w:tab/>
      </w:r>
      <w:r>
        <w:rPr>
          <w:sz w:val="22"/>
        </w:rPr>
        <w:t xml:space="preserve">Consumentenproducten</w:t>
      </w:r>
      <w:bookmarkEnd w:id="0"/>
      <w:r>
        <w:rPr>
          <w:sz w:val="22"/>
        </w:rPr>
        <w:t xml:space="preserve"> </w:t>
      </w:r>
    </w:p>
    <w:p w14:paraId="486D059F" w14:textId="75EDE98D" w:rsidR="00CC0ADF" w:rsidRPr="00CC0ADF" w:rsidRDefault="00CC0ADF" w:rsidP="000F4434">
      <w:pPr>
        <w:pStyle w:val="ListParagraph"/>
        <w:numPr>
          <w:ilvl w:val="1"/>
          <w:numId w:val="8"/>
        </w:numPr>
        <w:jc w:val="both"/>
        <w:outlineLvl w:val="3"/>
        <w:rPr>
          <w:bCs/>
          <w:sz w:val="22"/>
          <w:szCs w:val="22"/>
          <w:rFonts w:cs="Arial"/>
        </w:rPr>
      </w:pPr>
      <w:r>
        <w:rPr>
          <w:sz w:val="22"/>
        </w:rPr>
        <w:t xml:space="preserve">Een product wordt als toegankelijk beschouwd wanneer het aan de volgende voorwaarden voldoet:</w:t>
      </w:r>
    </w:p>
    <w:p w14:paraId="197D9229"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Het heeft een toegankelijk etiket dat past bij de kenmerken ervan, waardoor het kan worden geïdentificeerd, met de naam ervan en de meest relevante informatie.</w:t>
      </w:r>
    </w:p>
    <w:p w14:paraId="015CE9DE"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Het ontwerp volgt universele ontwerpcriteria, met passende gebruiksvoorwaarden en veiligheidsvoorwaarden voor alle gebruikers.</w:t>
      </w:r>
    </w:p>
    <w:p w14:paraId="64849B40"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Aanvullende informatie, instructies of prospectussen kunnen worden geraadpleegd via het internet, applicaties op apparaten en het gebruik van nieuwe technologieën, met toegankelijke inhoud die voldoet aan de voorwaarden van de leden 25 en 26 van bijlage 5a.</w:t>
      </w:r>
    </w:p>
    <w:p w14:paraId="4E44C98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Bedrijven die een product op de markt brengen, zijn verantwoordelijk voor het voldoen aan de toegankelijkheidsvoorwaarden die daarop van toepassing zijn.</w:t>
      </w:r>
    </w:p>
    <w:p w14:paraId="3FF43F32"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Geneesmiddelen en gevaarlijke producten dienen gegevenselementen en -systemen te bevatten, zodat blinden of doofblinden toegang hebben tot de volgende informatie:</w:t>
      </w:r>
      <w:r>
        <w:rPr>
          <w:sz w:val="22"/>
        </w:rPr>
        <w:t xml:space="preserve"> </w:t>
      </w:r>
    </w:p>
    <w:p w14:paraId="1829445F"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De identificatie van de naam van het product op de verpakking door middel van braille en iconografie.</w:t>
      </w:r>
    </w:p>
    <w:p w14:paraId="0230B6E0"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De vervaldatum op de verpakking door middel van braille en iconografie of andere alternatieve hulpbronnen die dezelfde kenmerken bieden.</w:t>
      </w:r>
      <w:r>
        <w:rPr>
          <w:sz w:val="22"/>
        </w:rPr>
        <w:t xml:space="preserve"> </w:t>
      </w:r>
    </w:p>
    <w:p w14:paraId="21E451FE" w14:textId="77777777" w:rsidR="00CC0ADF" w:rsidRPr="000F0A63" w:rsidRDefault="00CC0ADF" w:rsidP="000F4434">
      <w:pPr>
        <w:numPr>
          <w:ilvl w:val="0"/>
          <w:numId w:val="5"/>
        </w:numPr>
        <w:tabs>
          <w:tab w:val="clear" w:pos="372"/>
          <w:tab w:val="left" w:pos="284"/>
          <w:tab w:val="num" w:pos="426"/>
        </w:tabs>
        <w:ind w:left="0" w:firstLine="0"/>
        <w:jc w:val="both"/>
        <w:rPr>
          <w:i/>
          <w:sz w:val="22"/>
          <w:szCs w:val="22"/>
          <w:rFonts w:cs="Arial"/>
        </w:rPr>
      </w:pPr>
      <w:r>
        <w:rPr>
          <w:sz w:val="22"/>
        </w:rPr>
        <w:t xml:space="preserve">De belangrijkste kenmerken van het product, zoals de samenstelling en het behoud ervan, onder meer door het zoeken naar audio via het internet of op andere manieren die nieuwe technologieën met dezelfde effectiviteit mogelijk maken, op verzoek van verenigingen voor mensen met visuele beperkingen.</w:t>
      </w:r>
      <w:r>
        <w:rPr>
          <w:sz w:val="22"/>
        </w:rPr>
        <w:t xml:space="preserve"> </w:t>
      </w:r>
    </w:p>
    <w:p w14:paraId="4F2A53F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Supermarktketens en bedrijven met levensmiddelen- of gemengde inrichtingen, op alle locaties waar zij beschikken over een pand van meer dan 250 m² nuttige ruimte voor openbaar gebruik, dienen op verzoek van een blinde persoon of een familielid van die blinde persoon, de volgende voorwaarden te garanderen:</w:t>
      </w:r>
    </w:p>
    <w:p w14:paraId="25E421A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Ten minste één van de inrichtingen in de lokaliteit voert de etikettering van de namen en vervaldatums, in braille, uit op bederfelijke producten of producten die verwarring kunnen veroorzaken, door middel van printers of systemen die een dergelijke etikettering in braille mogelijk maken, in de inrichting zelf.</w:t>
      </w:r>
    </w:p>
    <w:p w14:paraId="3BEB7488"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Dat producten die online worden verkocht en aan woningen worden geleverd, ook in braille zijn geëtiketteerd, zoals eerder vermeld in het bovenstaande punt.</w:t>
      </w:r>
    </w:p>
    <w:p w14:paraId="52E26B1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De commerciële verspreiding via het internet of met andere middelen verschaft informatie, in een toegankelijke vorm, over welke bedrijfsruimten de mogelijkheid bieden om producten in braille te etiketteren.</w:t>
      </w:r>
    </w:p>
    <w:p w14:paraId="5332F12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In gemeenten met meer dan 50 000 inwoners wordt elke wijk beschouwd als een ander territoriaal gebied en gelijkgesteld met een lokaliteit met het oog op de toepassing van het vorige lid.</w:t>
      </w:r>
      <w:r>
        <w:rPr>
          <w:sz w:val="22"/>
        </w:rPr>
        <w:t xml:space="preserve"> </w:t>
      </w:r>
    </w:p>
    <w:p w14:paraId="6459331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De administratie van de Generalitat dient geleidelijk technische instructies te ontwikkelen die nieuwe technologische vooruitgang omvatten, en de specificaties, termijnen, kenmerken en criteria van toegankelijke etikettering vaststellen, evenals de universele ontwerprichtlijnen die van toepassing zijn op de producten in de verschillende commerciële sectoren.</w:t>
      </w:r>
      <w:r>
        <w:rPr>
          <w:sz w:val="22"/>
        </w:rPr>
        <w:t xml:space="preserve"> </w:t>
      </w:r>
    </w:p>
    <w:p w14:paraId="4D08CFD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Consumenten met visuele beperkingen en doofblindheid hebben recht op toegang tot dezelfde productinformatie die alle consumenten en gebruikers op hun etikettering hebben, onafhankelijk, normaal, gemakkelijk, onmiddellijk en onder gelijke omstandigheden.</w:t>
      </w:r>
      <w:r>
        <w:rPr>
          <w:sz w:val="22"/>
        </w:rPr>
        <w:t xml:space="preserve"> </w:t>
      </w:r>
      <w:r>
        <w:rPr>
          <w:sz w:val="22"/>
        </w:rPr>
        <w:t xml:space="preserve">Daartoe dient de toegankelijke etikettering aan de volgende voorwaarden te voldoen:</w:t>
      </w:r>
    </w:p>
    <w:p w14:paraId="661B566E"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Het dient zoveel mogelijk informatie te verstrekken en consumenten met een handicap gelijke omstandigheden te bieden als andere consumenten.</w:t>
      </w:r>
    </w:p>
    <w:p w14:paraId="41CFB18C"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Het moet het mogelijk maken dat informatie onafhankelijk, snel, gemakkelijk, rechtstreeks en op gestandaardiseerde wijze wordt verkregen, zonder dat grote technische kennis of het gebruik van technologische middelen vereist is.</w:t>
      </w:r>
    </w:p>
    <w:p w14:paraId="57DB1DC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Dit mag geen extra kosten met zich meebrengen voor gehandicapte consumenten.</w:t>
      </w:r>
    </w:p>
    <w:p w14:paraId="0C13286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Het hoeft geen onbetaalbare kosten te genereren voor bedrijven.</w:t>
      </w:r>
    </w:p>
    <w:p w14:paraId="5602A71A"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De aan verplichtingen gebonden bedrijven die elektronische verkoopdiensten aanbieden, dienen op de betreffende website de mogelijkheid op te nemen dat producten die op deze manier worden gekocht, met de toegankelijke etikettering worden geleverd.</w:t>
      </w:r>
    </w:p>
    <w:p w14:paraId="3ED1718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Het arbitragesysteem voor consumenten en de procedures en processen daarvan dienen toegankelijk te zijn gehandicapten.</w:t>
      </w:r>
    </w:p>
    <w:p w14:paraId="03FE17A7"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Openbare en particuliere bureaus voor consumentendiensten dienen maatregelen te nemen om de toegankelijkheid van communicatie te vergemakkelijken, voor doven die in gebarentaal en mondeling communiceren, met voldoende ondersteuningsmiddelen.</w:t>
      </w:r>
      <w:r>
        <w:rPr>
          <w:sz w:val="22"/>
        </w:rPr>
        <w:t xml:space="preserve"> </w:t>
      </w:r>
      <w:r>
        <w:rPr>
          <w:sz w:val="22"/>
        </w:rPr>
        <w:t xml:space="preserve">Bovendien dienen zij een ringleiding te hebben geïnstalleerd in 20 % van de openbare dienstbureaus, en hun personeel dient bereid te zijn om informatie te verstrekken aan personen met een handicap van welke aard dan ook, binnen een periode van maximaal 3 jaar na de inwerkingtreding van deze wet.</w:t>
      </w:r>
    </w:p>
    <w:p w14:paraId="178D066A" w14:textId="77777777" w:rsidR="00CC0ADF" w:rsidRDefault="00CC0ADF">
      <w:pPr>
        <w:rPr>
          <w:lang w:val="es-ES"/>
        </w:rPr>
      </w:pPr>
    </w:p>
    <w:p w14:paraId="3EF53236" w14:textId="476D7F11" w:rsidR="00E526B5" w:rsidRDefault="00B670F2">
      <w:r>
        <w:rPr>
          <w:sz w:val="22"/>
        </w:rPr>
        <w:t xml:space="preserve">HOOFDSTUK 6:</w:t>
      </w:r>
      <w:r>
        <w:rPr>
          <w:sz w:val="22"/>
        </w:rPr>
        <w:t xml:space="preserve"> </w:t>
      </w:r>
      <w:r>
        <w:rPr>
          <w:sz w:val="22"/>
        </w:rPr>
        <w:t xml:space="preserve">Toegankelijkheid tot diensten</w:t>
      </w:r>
    </w:p>
    <w:p w14:paraId="7DEC37FB" w14:textId="27CCD605" w:rsidR="00CC0ADF" w:rsidRPr="00CC0ADF" w:rsidRDefault="00CC0ADF" w:rsidP="000F4434">
      <w:pPr>
        <w:pStyle w:val="ListParagraph"/>
        <w:numPr>
          <w:ilvl w:val="1"/>
          <w:numId w:val="9"/>
        </w:numPr>
        <w:ind w:left="0" w:firstLine="0"/>
        <w:jc w:val="both"/>
        <w:outlineLvl w:val="3"/>
        <w:rPr>
          <w:bCs/>
          <w:sz w:val="22"/>
          <w:szCs w:val="22"/>
          <w:rFonts w:cs="Arial"/>
        </w:rPr>
      </w:pPr>
      <w:r>
        <w:rPr>
          <w:sz w:val="22"/>
        </w:rPr>
        <w:t xml:space="preserve">Openbare diensten met websites die voor het publiek toegankelijk zijn, dienen informatie te verstrekken over de toegankelijkheid van deze diensten en die van hun afhankelijkheden, faciliteiten en procedures.</w:t>
      </w:r>
    </w:p>
    <w:p w14:paraId="6A2C95FC" w14:textId="77777777" w:rsidR="00CC0ADF" w:rsidRPr="000F0A63" w:rsidRDefault="00CC0ADF" w:rsidP="000F4434">
      <w:pPr>
        <w:pStyle w:val="ListParagraph"/>
        <w:numPr>
          <w:ilvl w:val="1"/>
          <w:numId w:val="9"/>
        </w:numPr>
        <w:ind w:left="0" w:firstLine="0"/>
        <w:jc w:val="both"/>
        <w:outlineLvl w:val="3"/>
        <w:rPr>
          <w:bCs/>
          <w:sz w:val="22"/>
          <w:szCs w:val="22"/>
          <w:rFonts w:cs="Arial"/>
        </w:rPr>
      </w:pPr>
      <w:r>
        <w:rPr>
          <w:sz w:val="22"/>
        </w:rPr>
        <w:t xml:space="preserve">De websites, applicaties voor mobiele apparaten en andere informatie- en communicatietechnologieproducten en -diensten die door openbare diensten worden aangeboden, dienen te voldoen aan de voorwaarden van bijlage 5a van deze wet en aan de norm UNE-EN 301549:2022 of die welke deze vervangt, overeenkomstig Richtlijn (EU) 2016/2102 van het Europees Parlement en de Raad en de omzetting van Koninklijk Besluit 112/2018 van 7 september 2018 betreffende de toegankelijkheid van websites en toepassingen voor mobiele apparaten in de openbare sector, onverminderd de regelgeving van de bevoegde instantie ter zake in Catalonië.</w:t>
      </w:r>
      <w:r>
        <w:rPr>
          <w:sz w:val="22"/>
        </w:rPr>
        <w:t xml:space="preserve"> </w:t>
      </w:r>
    </w:p>
    <w:p w14:paraId="452D824A" w14:textId="77777777" w:rsidR="00CC0ADF" w:rsidRDefault="00CC0ADF">
      <w:pPr>
        <w:rPr>
          <w:lang w:val="es-ES"/>
        </w:rPr>
      </w:pPr>
    </w:p>
    <w:p w14:paraId="0F5A1CE0" w14:textId="332F976A" w:rsidR="003920DF" w:rsidRPr="003920DF" w:rsidRDefault="003920DF" w:rsidP="000F4434">
      <w:pPr>
        <w:pStyle w:val="ListParagraph"/>
        <w:numPr>
          <w:ilvl w:val="1"/>
          <w:numId w:val="11"/>
        </w:numPr>
        <w:ind w:left="0" w:firstLine="0"/>
        <w:jc w:val="both"/>
        <w:outlineLvl w:val="3"/>
        <w:rPr>
          <w:sz w:val="22"/>
          <w:szCs w:val="22"/>
          <w:rFonts w:cs="Arial"/>
        </w:rPr>
      </w:pPr>
      <w:r>
        <w:rPr>
          <w:sz w:val="22"/>
        </w:rPr>
        <w:t xml:space="preserve">De websites en mobiele applicaties van supermarktketens en levensmiddelen- of gemengde inrichtingen met een nuttige ruimte voor openbaar gebruik van meer dan 500 m², die de mogelijkheid bieden om producten online te kopen en te ontvangen via thuisbezorging, dienen toegankelijk te zijn, overeenkomstig de voorwaarden van de leden 25 en 26 van bijlage 5a, en dienen in de volgende situaties ten minste het toegankelijkheidsniveau van de dubbele A (AA) te bereiken overeenkomstig de WCAG 2.1-richtsnoeren:</w:t>
      </w:r>
    </w:p>
    <w:p w14:paraId="0F1270C7"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Als het gaat om nieuw aangemaakte pagina’s of applicaties;</w:t>
      </w:r>
      <w:r>
        <w:rPr>
          <w:sz w:val="22"/>
        </w:rPr>
        <w:t xml:space="preserve"> </w:t>
      </w:r>
    </w:p>
    <w:p w14:paraId="517D4CFF"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Wanneer de bestaande pagina’s of applicaties worden gewijzigd;</w:t>
      </w:r>
    </w:p>
    <w:p w14:paraId="4EFFB026"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Wanneer de in lid 4 van bijlage 6b vastgestelde termijnen worden gehaald door de bestaande pagina's en applicaties aan te passen.</w:t>
      </w:r>
    </w:p>
    <w:p w14:paraId="5888B379" w14:textId="77777777" w:rsidR="003920DF" w:rsidRDefault="003920DF">
      <w:pPr>
        <w:rPr>
          <w:lang w:val="es-ES"/>
        </w:rPr>
      </w:pPr>
    </w:p>
    <w:p w14:paraId="2D93A064" w14:textId="707F6457" w:rsidR="003920DF" w:rsidRPr="003920DF" w:rsidRDefault="003920DF" w:rsidP="000F4434">
      <w:pPr>
        <w:pStyle w:val="ListParagraph"/>
        <w:numPr>
          <w:ilvl w:val="1"/>
          <w:numId w:val="13"/>
        </w:numPr>
        <w:ind w:left="0" w:firstLine="0"/>
        <w:jc w:val="both"/>
        <w:outlineLvl w:val="3"/>
        <w:rPr>
          <w:bCs/>
          <w:sz w:val="22"/>
          <w:szCs w:val="22"/>
          <w:rFonts w:cs="Arial"/>
        </w:rPr>
      </w:pPr>
      <w:r>
        <w:rPr>
          <w:sz w:val="22"/>
        </w:rPr>
        <w:t xml:space="preserve">Webpagina’s en applicaties voor mobiele apparaten die bankieren, contracteren of andere vormen van beheer of raadpleging mogelijk maken met betrekking tot producten die in een fysiek kantoor zijn gecontracteerd, dienen toegankelijk te zijn, overeenkomstig de voorwaarden van de leden 25 en 26 van bijlage 5a, en ten minste het toegankelijkheidsniveau dubbele A (AA) te bereiken overeenkomstig de WCAG 2.1-richtsnoeren, in de volgende situaties:</w:t>
      </w:r>
    </w:p>
    <w:p w14:paraId="137CE6E3"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Als het gaat om nieuw aangemaakte pagina’s of applicaties.</w:t>
      </w:r>
      <w:r>
        <w:rPr>
          <w:sz w:val="22"/>
        </w:rPr>
        <w:t xml:space="preserve"> </w:t>
      </w:r>
    </w:p>
    <w:p w14:paraId="39B23BAD"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Wanneer de bestaande pagina’s of applicaties worden gewijzigd;</w:t>
      </w:r>
    </w:p>
    <w:p w14:paraId="05A831F2"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Wanneer de in lid 5 van bijlage 6b vastgestelde termijnen worden gehaald door de bestaande pagina's en applicaties aan te passen.</w:t>
      </w:r>
    </w:p>
    <w:p w14:paraId="23C18109" w14:textId="77777777" w:rsidR="003920DF" w:rsidRDefault="003920DF">
      <w:pPr>
        <w:rPr>
          <w:lang w:val="es-ES"/>
        </w:rPr>
      </w:pPr>
    </w:p>
    <w:p w14:paraId="202F2283" w14:textId="6CDFB804" w:rsidR="003920DF" w:rsidRPr="003920DF" w:rsidRDefault="003920DF" w:rsidP="000F4434">
      <w:pPr>
        <w:pStyle w:val="ListParagraph"/>
        <w:numPr>
          <w:ilvl w:val="1"/>
          <w:numId w:val="15"/>
        </w:numPr>
        <w:ind w:left="0" w:firstLine="0"/>
        <w:jc w:val="both"/>
        <w:outlineLvl w:val="3"/>
        <w:rPr>
          <w:bCs/>
          <w:sz w:val="22"/>
          <w:szCs w:val="22"/>
          <w:rFonts w:cs="Arial"/>
        </w:rPr>
      </w:pPr>
      <w:r>
        <w:rPr>
          <w:sz w:val="22"/>
        </w:rPr>
        <w:t xml:space="preserve">De websites en mobiele applicaties van hotelketens en -inrichtingen met een capaciteit van meer dan 100 plaatsen, die het contracteren van accommodaties en online diensten mogelijk maken, dienen toegankelijk te zijn, overeenkomstig de voorwaarden van de leden 25 en 26 van bijlage 5a, en ten minste het nalevingsniveau voor toegankelijkheid van dubbele A (AA) overeenkomstig de richtsnoeren WCAG 2.1 te bereiken, in de volgende situaties:</w:t>
      </w:r>
    </w:p>
    <w:p w14:paraId="4B4BC252"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Als het gaat om nieuw aangemaakte pagina’s of applicaties.</w:t>
      </w:r>
      <w:r>
        <w:rPr>
          <w:sz w:val="22"/>
        </w:rPr>
        <w:t xml:space="preserve"> </w:t>
      </w:r>
    </w:p>
    <w:p w14:paraId="346AAF9D"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Wanneer de bestaande pagina’s of applicaties worden gewijzigd.</w:t>
      </w:r>
    </w:p>
    <w:p w14:paraId="7BDFDC1E"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Wanneer de in lid 7 van bijlage 6b vastgestelde termijnen voor de aanpassing van bestaande bladzijden en applicaties worden gehaald.</w:t>
      </w:r>
    </w:p>
    <w:p w14:paraId="16B5C42E" w14:textId="77777777" w:rsidR="003920DF" w:rsidRDefault="003920DF">
      <w:pPr>
        <w:rPr>
          <w:lang w:val="es-ES"/>
        </w:rPr>
      </w:pPr>
    </w:p>
    <w:p w14:paraId="7EEF18CE" w14:textId="6C8336B5" w:rsidR="003920DF" w:rsidRPr="003920DF" w:rsidRDefault="003920DF" w:rsidP="000F4434">
      <w:pPr>
        <w:pStyle w:val="ListParagraph"/>
        <w:keepLines/>
        <w:numPr>
          <w:ilvl w:val="1"/>
          <w:numId w:val="17"/>
        </w:numPr>
        <w:ind w:left="0" w:firstLine="0"/>
        <w:jc w:val="both"/>
        <w:outlineLvl w:val="3"/>
        <w:rPr>
          <w:sz w:val="22"/>
          <w:szCs w:val="22"/>
          <w:rFonts w:cs="Arial"/>
        </w:rPr>
      </w:pPr>
      <w:r>
        <w:rPr>
          <w:sz w:val="22"/>
        </w:rPr>
        <w:t xml:space="preserve">De websites en mobiele applicaties van inrichtingen of verenigingen van inrichtingen dienen toegankelijk te zijn overeenkomstig de voorwaarden van de leden 25 en 26 van bijlage 5a;</w:t>
      </w:r>
      <w:r>
        <w:rPr>
          <w:sz w:val="22"/>
        </w:rPr>
        <w:t xml:space="preserve"> </w:t>
      </w:r>
      <w:r>
        <w:rPr>
          <w:sz w:val="22"/>
        </w:rPr>
        <w:t xml:space="preserve">het bereiken van ten minste het toegankelijkheidsniveau dubbele A (AA) overeenkomstig de WCAG 2.1-richtsnoeren, en het verstrekken van de in de voorgaande leden vermelde informatie, in de volgende situaties:</w:t>
      </w:r>
    </w:p>
    <w:p w14:paraId="3597983D"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Als het gaat om nieuw aangemaakte pagina’s of applicaties.</w:t>
      </w:r>
      <w:r>
        <w:rPr>
          <w:sz w:val="22"/>
        </w:rPr>
        <w:t xml:space="preserve"> </w:t>
      </w:r>
    </w:p>
    <w:p w14:paraId="13B82A50"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Wanneer de bestaande pagina’s of applicaties worden gewijzigd.</w:t>
      </w:r>
    </w:p>
    <w:p w14:paraId="1B3C03D9"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Wanneer de in lid 3 van bijlage 6b vastgestelde termijnen voor de aanpassing van bestaande bladzijden en applicaties worden gehaald.</w:t>
      </w:r>
    </w:p>
    <w:p w14:paraId="0BFDF341" w14:textId="77777777" w:rsidR="003920DF" w:rsidRDefault="003920DF">
      <w:pPr>
        <w:rPr>
          <w:lang w:val="es-ES"/>
        </w:rPr>
      </w:pPr>
    </w:p>
    <w:p w14:paraId="14B92CA4" w14:textId="6C4DF49D" w:rsidR="003920DF" w:rsidRPr="003920DF" w:rsidRDefault="003920DF" w:rsidP="000F4434">
      <w:pPr>
        <w:pStyle w:val="ListParagraph"/>
        <w:keepLines/>
        <w:numPr>
          <w:ilvl w:val="1"/>
          <w:numId w:val="18"/>
        </w:numPr>
        <w:ind w:left="0" w:firstLine="0"/>
        <w:jc w:val="both"/>
        <w:outlineLvl w:val="3"/>
        <w:rPr>
          <w:bCs/>
          <w:sz w:val="22"/>
          <w:szCs w:val="22"/>
          <w:rFonts w:cs="Arial"/>
        </w:rPr>
      </w:pPr>
      <w:r>
        <w:rPr>
          <w:sz w:val="22"/>
        </w:rPr>
        <w:t xml:space="preserve">De websites en mobiele applicaties van sportinstellingen en -clubs die de kaartverkoop voor shows op hun locatie aanbieden, dienen toegankelijk te zijn en de nodige informatie te verstrekken onder dezelfde voorwaarden als bepaald in artikel 133 voor diensten in verband met podiumkunsten.</w:t>
      </w:r>
    </w:p>
    <w:p w14:paraId="01221CD8" w14:textId="77777777" w:rsidR="003920DF" w:rsidRDefault="003920DF">
      <w:pPr>
        <w:rPr>
          <w:lang w:val="es-ES"/>
        </w:rPr>
      </w:pPr>
    </w:p>
    <w:p w14:paraId="5122FB6C" w14:textId="3D7CFC92" w:rsidR="003920DF" w:rsidRPr="003920DF" w:rsidRDefault="003920DF" w:rsidP="000F4434">
      <w:pPr>
        <w:pStyle w:val="ListParagraph"/>
        <w:numPr>
          <w:ilvl w:val="1"/>
          <w:numId w:val="20"/>
        </w:numPr>
        <w:ind w:left="0" w:firstLine="0"/>
        <w:jc w:val="both"/>
        <w:outlineLvl w:val="3"/>
        <w:rPr>
          <w:bCs/>
          <w:sz w:val="22"/>
          <w:szCs w:val="22"/>
          <w:rFonts w:cs="Arial"/>
        </w:rPr>
      </w:pPr>
      <w:r>
        <w:rPr>
          <w:sz w:val="22"/>
        </w:rPr>
        <w:t xml:space="preserve">De websites en mobiele applicaties van onderwijsinstellingen die formeel onderwijs aanbieden, dienen toegankelijk te zijn, overeenkomstig de voorwaarden van de leden 25 en 26 van bijlage 5a, en ten minste het toegankelijkheidsniveau dubbele A (AA) te bereiken overeenkomstig de WCAG 2.1-richtsnoeren, in de volgende situaties:</w:t>
      </w:r>
    </w:p>
    <w:p w14:paraId="46144290"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Als het gaat om nieuw aangemaakte pagina’s of applicaties.</w:t>
      </w:r>
      <w:r>
        <w:rPr>
          <w:sz w:val="22"/>
        </w:rPr>
        <w:t xml:space="preserve"> </w:t>
      </w:r>
    </w:p>
    <w:p w14:paraId="124A7079"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Wanneer de bestaande pagina’s of applicaties worden gewijzigd;</w:t>
      </w:r>
    </w:p>
    <w:p w14:paraId="4CC9837C"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Wanneer de in lid 8 van bijlage 6b vastgestelde termijnen worden gehaald door de bestaande pagina's en applicaties aan te passen.</w:t>
      </w:r>
    </w:p>
    <w:p w14:paraId="64EC1D0A" w14:textId="77777777" w:rsidR="003920DF" w:rsidRDefault="003920DF">
      <w:pPr>
        <w:rPr>
          <w:lang w:val="es-ES"/>
        </w:rPr>
      </w:pPr>
    </w:p>
    <w:p w14:paraId="2CF98FEF" w14:textId="37293E06" w:rsidR="003920DF" w:rsidRPr="000F0A63" w:rsidRDefault="003920DF" w:rsidP="003920DF">
      <w:pPr>
        <w:keepNext/>
        <w:jc w:val="both"/>
        <w:outlineLvl w:val="2"/>
        <w:rPr>
          <w:bCs/>
          <w:sz w:val="22"/>
          <w:szCs w:val="22"/>
          <w:rFonts w:cs="Arial"/>
        </w:rPr>
      </w:pPr>
      <w:bookmarkStart w:id="1" w:name="_Ref447800574"/>
      <w:r>
        <w:rPr>
          <w:sz w:val="22"/>
        </w:rPr>
        <w:t xml:space="preserve">Artikel 138.</w:t>
      </w:r>
      <w:r>
        <w:rPr>
          <w:sz w:val="22"/>
        </w:rPr>
        <w:tab/>
      </w:r>
      <w:r>
        <w:rPr>
          <w:sz w:val="22"/>
        </w:rPr>
        <w:t xml:space="preserve">Essentiële diensten, diensten van algemeen belang of door de overheid gefinancierde diensten</w:t>
      </w:r>
      <w:r>
        <w:rPr>
          <w:sz w:val="22"/>
        </w:rPr>
        <w:t xml:space="preserve"> </w:t>
      </w:r>
      <w:bookmarkEnd w:id="1"/>
    </w:p>
    <w:p w14:paraId="7D137DE4" w14:textId="752BD128" w:rsidR="003920DF" w:rsidRPr="003920DF" w:rsidRDefault="003920DF" w:rsidP="000F4434">
      <w:pPr>
        <w:pStyle w:val="ListParagraph"/>
        <w:numPr>
          <w:ilvl w:val="1"/>
          <w:numId w:val="23"/>
        </w:numPr>
        <w:ind w:left="0" w:firstLine="0"/>
        <w:jc w:val="both"/>
        <w:outlineLvl w:val="3"/>
        <w:rPr>
          <w:bCs/>
          <w:sz w:val="22"/>
          <w:szCs w:val="22"/>
          <w:rFonts w:cs="Arial"/>
        </w:rPr>
      </w:pPr>
      <w:r>
        <w:rPr>
          <w:sz w:val="22"/>
        </w:rPr>
        <w:t xml:space="preserve">De websites van de Catalaanse overheidssector en publiekrechtelijke ondernemingen, alsmede alle websites die worden opgestart met financiering vanuit de overheidsdienst en die van entiteiten of bedrijven die openbare diensten verlenen via concessie of op contractbasis met de overheidsdienst, dienen te voldoen aan de vereisten van lid 25 van bijlage 5a en het toegankelijkheidsniveau dubbele A (AA) te bereiken overeenkomstig de WCAG 2.1-richtsnoeren, onverminderd de regelgeving die door de bevoegde instantie ter zake in Catalonië is vastgesteld overeenkomstig Koninklijk Besluit 1112/2018 van 7 september 2018 betreffende de toegankelijkheid van websites en applicaties voor mobiele apparaten in de openbare sector.</w:t>
      </w:r>
    </w:p>
    <w:p w14:paraId="6FD18B43"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Websites van particuliere entiteiten die essentiële diensten of diensten van algemeen belang leveren, met inbegrip van elektriciteit, water of gas en telecommunicatie, alsmede gezondheidszorg-, post- en bankdiensten, dienen ook te voldoen aan de vereisten van lid 25 van bijlage 5a en het toegankelijkheidsniveau dubbele A (AA) overeenkomstig de WCAG 2.1-richtsnoeren.</w:t>
      </w:r>
      <w:r>
        <w:rPr>
          <w:sz w:val="22"/>
        </w:rPr>
        <w:t xml:space="preserve"> </w:t>
      </w:r>
    </w:p>
    <w:p w14:paraId="54D877DC" w14:textId="68D622D4"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De applicaties van mobiele apparaten in de openbare sector en de in de leden 138.1 en 138.2 hierboven genoemde entiteiten dienen te voldoen aan de toegankelijkheidseisen van lid 26 van bijlage 5a, onverminderd de regelgeving die de bevoegde instantie ter zake in Catalonië heeft vastgesteld.</w:t>
      </w:r>
    </w:p>
    <w:p w14:paraId="0F7B09C4" w14:textId="77777777" w:rsidR="003920DF" w:rsidRPr="000F0A63" w:rsidRDefault="003920DF" w:rsidP="000F4434">
      <w:pPr>
        <w:pStyle w:val="ListParagraph"/>
        <w:numPr>
          <w:ilvl w:val="1"/>
          <w:numId w:val="23"/>
        </w:numPr>
        <w:ind w:left="0" w:firstLine="0"/>
        <w:jc w:val="both"/>
        <w:outlineLvl w:val="3"/>
        <w:rPr>
          <w:sz w:val="22"/>
          <w:szCs w:val="22"/>
          <w:rFonts w:cs="Arial"/>
        </w:rPr>
      </w:pPr>
      <w:r>
        <w:rPr>
          <w:sz w:val="22"/>
        </w:rPr>
        <w:t xml:space="preserve">De in dit artikel vastgestelde toegankelijkheidseisen voor websites en mobiele applicaties zijn van toepassing op voorwaarde dat zij voor de entiteit die ze dient toe te passen, geen onevenredige last met zich meebrengen, in overeenstemming met de volgende omstandigheden:</w:t>
      </w:r>
    </w:p>
    <w:p w14:paraId="7E326BAE"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De afmetingen, middelen en aard van de specifieke entiteit;</w:t>
      </w:r>
    </w:p>
    <w:p w14:paraId="6F59FD5A"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De kosten en baten van de entiteit en de geraamde voordelen voor de gebruikers, rekening houdend met de frequentie en duur van het gebruik van die website of applicatie</w:t>
      </w:r>
      <w:r>
        <w:rPr>
          <w:sz w:val="22"/>
        </w:rPr>
        <w:t xml:space="preserve"> </w:t>
      </w:r>
    </w:p>
    <w:p w14:paraId="6A594B5F"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De discriminerende gevolgen voor personen met een handicap als de website of applicatie niet toegankelijk is in het geval dat er websites of alternatieve applicaties op de markt aanwezig zijn die dezelfde functionaliteit en omstandigheden bieden.</w:t>
      </w:r>
    </w:p>
    <w:p w14:paraId="7EAD681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De openbare sector of entiteit die gebruik maakt van de in lid 138.4 bedoelde vrijstelling, dient uit te leggen aan welke toegankelijkheidseisen niet kon worden voldaan in de toegankelijkheidsverklaring van de website of applicatie, en dient binnen de mogelijkheden toegankelijke alternatieven te bieden.</w:t>
      </w:r>
    </w:p>
    <w:p w14:paraId="5D7ECF09"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Webpagina’s en mobiele applicaties dienen vóór de in lid 2 van bijlage 6b vermelde uiterste termijnen te voldoen aan de in de vorige leden vastgestelde toegankelijkheidsvoorwaarden.</w:t>
      </w:r>
    </w:p>
    <w:p w14:paraId="64D96B3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Dienstverleners en fabrikanten die IT-apparatuur en -software leveren aan de Catalaanse overheidssector en de in lid 138.1 bedoelde entiteiten dienen de aanvullende toegankelijkheidselementen en -kenmerken te bevatten die noodzakelijk zijn om toegang tot digitale inhoud voor personen met een handicap mogelijk te maken.</w:t>
      </w:r>
      <w:r>
        <w:rPr>
          <w:sz w:val="22"/>
        </w:rPr>
        <w:t xml:space="preserve"> </w:t>
      </w:r>
    </w:p>
    <w:p w14:paraId="03F2890E"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Openbare en particuliere televisienetwerken in Catalonië dienen plannen te ontwikkelen voor de toegankelijkheid van hun inhoud om hun programma’s geleidelijk toegankelijk te maken voor mensen met zintuiglijke en intellectuele beperkingen.</w:t>
      </w:r>
      <w:r>
        <w:rPr>
          <w:sz w:val="22"/>
        </w:rPr>
        <w:t xml:space="preserve"> </w:t>
      </w:r>
      <w:r>
        <w:rPr>
          <w:sz w:val="22"/>
        </w:rPr>
        <w:t xml:space="preserve">Deze plannen dienen het mogelijk te maken binnen een periode van maximaal 3 jaar na de inwerkingtreding van deze wet de volgende doelstellingen te bereiken:</w:t>
      </w:r>
    </w:p>
    <w:p w14:paraId="0A80856D"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Openbare televisienetwerken:</w:t>
      </w:r>
      <w:r>
        <w:rPr>
          <w:sz w:val="22"/>
        </w:rPr>
        <w:t xml:space="preserve"> </w:t>
      </w:r>
      <w:r>
        <w:rPr>
          <w:sz w:val="22"/>
        </w:rPr>
        <w:t xml:space="preserve">Ze dienen 100 % van de programmering ondertiteld te hebben en een minimum van 15 wekelijkse uren inhoud met audiobeschrijving en 10 wekelijkse uren in de Catalaanse gebarentaal te verstrekken.</w:t>
      </w:r>
    </w:p>
    <w:p w14:paraId="7F8B67EE"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Particuliere televisienetwerken:</w:t>
      </w:r>
      <w:r>
        <w:rPr>
          <w:sz w:val="22"/>
        </w:rPr>
        <w:t xml:space="preserve"> </w:t>
      </w:r>
      <w:r>
        <w:rPr>
          <w:sz w:val="22"/>
        </w:rPr>
        <w:t xml:space="preserve">Ze dienen 75 % van de programmering ondertiteld te hebben en een minimum van 10 wekelijkse uren inhoud met audiobeschrijving en 7 wekelijkse uren in de Catalaanse gebarentaal te verstrekken.</w:t>
      </w:r>
    </w:p>
    <w:p w14:paraId="221F24A7"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Programmering in de Catalaanse gebarentaal dient nieuwsprogramma’s en kinderprogramma’s te bevatten die beschikbaar zijn in het aanbod van vooraf opgenomen weergave wanneer deze dienst beschikbaar is.</w:t>
      </w:r>
      <w:r>
        <w:rPr>
          <w:sz w:val="22"/>
        </w:rPr>
        <w:t xml:space="preserve"> </w:t>
      </w:r>
      <w:r>
        <w:rPr>
          <w:sz w:val="22"/>
        </w:rPr>
        <w:t xml:space="preserve">Deze programmering dient elke dag van de week te bestrijken.</w:t>
      </w:r>
      <w:r>
        <w:rPr>
          <w:sz w:val="22"/>
        </w:rPr>
        <w:t xml:space="preserve"> </w:t>
      </w:r>
    </w:p>
    <w:p w14:paraId="1FCDD2A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Bedrijven die cinematografische en audiovisuele werken distribueren, dienen ondertitelings-, audiobeschrijvings- en audionavigatiesystemen op te nemen, bij voorkeur voor buitenlandse en binnenlandse films die een beter kassasucces hebben of nationale of internationale bekroningen hebben ontvangen, om ze beschikbaar te stellen via dvd-ondersteuning of soortgelijke systemen met deze kenmerken.</w:t>
      </w:r>
    </w:p>
    <w:p w14:paraId="0F3986EB" w14:textId="77777777" w:rsidR="003920DF" w:rsidRDefault="003920DF">
      <w:pPr>
        <w:rPr>
          <w:lang w:val="es-ES"/>
        </w:rPr>
      </w:pPr>
    </w:p>
    <w:p w14:paraId="44244122" w14:textId="3BAB5CCF" w:rsidR="00E526B5" w:rsidRDefault="00B670F2">
      <w:r>
        <w:rPr>
          <w:sz w:val="22"/>
        </w:rPr>
        <w:t xml:space="preserve">HOOFDSTUK 11:</w:t>
      </w:r>
      <w:r>
        <w:rPr>
          <w:sz w:val="22"/>
        </w:rPr>
        <w:t xml:space="preserve"> </w:t>
      </w:r>
      <w:r>
        <w:rPr>
          <w:sz w:val="22"/>
        </w:rPr>
        <w:t xml:space="preserve">Kwaliteitsbadge voor toegankelijkheid</w:t>
      </w:r>
    </w:p>
    <w:p w14:paraId="5E23591F" w14:textId="30E33DFC" w:rsidR="00E526B5" w:rsidRPr="000F0A63" w:rsidRDefault="00E526B5" w:rsidP="000F4434">
      <w:pPr>
        <w:pStyle w:val="Heading4"/>
        <w:keepNext w:val="0"/>
        <w:numPr>
          <w:ilvl w:val="1"/>
          <w:numId w:val="24"/>
        </w:numPr>
        <w:spacing w:before="0" w:after="0"/>
        <w:ind w:left="0" w:firstLine="0"/>
        <w:jc w:val="both"/>
        <w:rPr>
          <w:sz w:val="22"/>
          <w:szCs w:val="22"/>
          <w:rFonts w:cs="Arial"/>
        </w:rPr>
      </w:pPr>
      <w:r>
        <w:rPr>
          <w:sz w:val="22"/>
        </w:rPr>
        <w:t xml:space="preserve">Openbare raadpleging van inrichtingen, gebouwen en openbare lichamen die over de kwaliteitsbadge beschikken, dient ten minste via het internet mogelijk te zijn, onverminderd andere middelen die als passend kunnen worden beschouwd.</w:t>
      </w:r>
    </w:p>
    <w:p w14:paraId="6CBE5DDA" w14:textId="77777777" w:rsidR="00E526B5" w:rsidRDefault="00E526B5">
      <w:pPr>
        <w:rPr>
          <w:lang w:val="es-ES"/>
        </w:rPr>
      </w:pPr>
    </w:p>
    <w:p w14:paraId="3BFAD248" w14:textId="66A7955A" w:rsidR="00E526B5" w:rsidRDefault="00CF1E0D">
      <w:r>
        <w:rPr>
          <w:sz w:val="22"/>
        </w:rPr>
        <w:t xml:space="preserve">Bijlage 5a:</w:t>
      </w:r>
      <w:r>
        <w:rPr>
          <w:sz w:val="22"/>
        </w:rPr>
        <w:t xml:space="preserve"> </w:t>
      </w:r>
      <w:r>
        <w:rPr>
          <w:sz w:val="22"/>
        </w:rPr>
        <w:t xml:space="preserve">Producttoegankelijkheidsstandaarden</w:t>
      </w:r>
    </w:p>
    <w:p w14:paraId="3A59E424" w14:textId="22C29E85" w:rsidR="00E526B5" w:rsidRPr="00E526B5" w:rsidRDefault="00E526B5" w:rsidP="000F4434">
      <w:pPr>
        <w:pStyle w:val="ListParagraph"/>
        <w:keepNext/>
        <w:numPr>
          <w:ilvl w:val="0"/>
          <w:numId w:val="27"/>
        </w:numPr>
        <w:tabs>
          <w:tab w:val="left" w:pos="426"/>
        </w:tabs>
        <w:ind w:left="0" w:firstLine="0"/>
        <w:jc w:val="both"/>
        <w:outlineLvl w:val="1"/>
        <w:rPr>
          <w:bCs/>
          <w:iCs/>
          <w:sz w:val="22"/>
          <w:szCs w:val="22"/>
          <w:rFonts w:cs="Arial"/>
        </w:rPr>
      </w:pPr>
      <w:bookmarkStart w:id="2" w:name="_Ref447796406"/>
      <w:r>
        <w:rPr>
          <w:sz w:val="22"/>
        </w:rPr>
        <w:t xml:space="preserve">Toegankelijke webpagina’s</w:t>
      </w:r>
      <w:bookmarkEnd w:id="2"/>
      <w:r>
        <w:rPr>
          <w:sz w:val="22"/>
        </w:rPr>
        <w:t xml:space="preserve"> </w:t>
      </w:r>
    </w:p>
    <w:p w14:paraId="2592043C" w14:textId="77777777" w:rsidR="00E526B5" w:rsidRPr="000F0A63" w:rsidRDefault="00E526B5" w:rsidP="00E526B5">
      <w:pPr>
        <w:tabs>
          <w:tab w:val="num" w:pos="0"/>
          <w:tab w:val="left" w:pos="284"/>
        </w:tabs>
        <w:jc w:val="both"/>
        <w:rPr>
          <w:sz w:val="22"/>
          <w:szCs w:val="22"/>
          <w:rFonts w:cs="Arial"/>
        </w:rPr>
      </w:pPr>
      <w:r>
        <w:rPr>
          <w:sz w:val="22"/>
        </w:rPr>
        <w:t xml:space="preserve">De richtlijnen die bij het ontwerp en de oprichting van een website dienen te worden gevolgd en de voorwaarden om ze toegankelijk te maken, zijn als volgt:</w:t>
      </w:r>
      <w:r>
        <w:rPr>
          <w:sz w:val="22"/>
        </w:rPr>
        <w:t xml:space="preserve"> </w:t>
      </w:r>
    </w:p>
    <w:p w14:paraId="6DB92C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Configureer de inhoud zodanig dat deze kan worden aangepast aan verschillende software, apparaten en ondersteuningsproducten zonder informatie of structuur te verliezen.</w:t>
      </w:r>
      <w:r>
        <w:rPr>
          <w:sz w:val="22"/>
        </w:rPr>
        <w:t xml:space="preserve"> </w:t>
      </w:r>
    </w:p>
    <w:p w14:paraId="73E8D3D0"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Verstrek tekstuele alternatieven of een beschrijvende identificatie voor niet-tekstuele inhoud (afbeeldingen, grafische afbeeldingen, multimedia-inhoud).</w:t>
      </w:r>
      <w:r>
        <w:rPr>
          <w:sz w:val="22"/>
        </w:rPr>
        <w:t xml:space="preserve"> </w:t>
      </w:r>
    </w:p>
    <w:p w14:paraId="4612CA86"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Voeg ondertitels en audiobeschrijving toe voor multimedia-inhoud wanneer dit nodig is voor een goed begrip van het bericht.</w:t>
      </w:r>
      <w:r>
        <w:rPr>
          <w:sz w:val="22"/>
        </w:rPr>
        <w:t xml:space="preserve"> </w:t>
      </w:r>
    </w:p>
    <w:p w14:paraId="59F0492D"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Zorg voor mechanismen die het mogelijk maken om het volume van de audio te dempen en te reguleren.</w:t>
      </w:r>
      <w:r>
        <w:rPr>
          <w:sz w:val="22"/>
        </w:rPr>
        <w:t xml:space="preserve"> </w:t>
      </w:r>
    </w:p>
    <w:p w14:paraId="72341CA9"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Gebruik geen kleur als enige middel om informatie over te brengen, een actie aan te geven of een element te onderscheiden.</w:t>
      </w:r>
      <w:r>
        <w:rPr>
          <w:sz w:val="22"/>
        </w:rPr>
        <w:t xml:space="preserve"> </w:t>
      </w:r>
    </w:p>
    <w:p w14:paraId="543C6D04"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De tekst en afbeeldingen dienen voldoende contrast te hebben met de achtergrond en een formaat waarmee ze comfortabel kunnen worden gelezen.</w:t>
      </w:r>
      <w:r>
        <w:rPr>
          <w:sz w:val="22"/>
        </w:rPr>
        <w:t xml:space="preserve"> </w:t>
      </w:r>
    </w:p>
    <w:p w14:paraId="2D2F0267"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De grootte van de tekst dient te kunnen worden aangepast vanaf de pagina zelf zonder de hulp van ondersteunende producten en zonder verlies van inhoud of functionaliteit.</w:t>
      </w:r>
      <w:r>
        <w:rPr>
          <w:sz w:val="22"/>
        </w:rPr>
        <w:t xml:space="preserve"> </w:t>
      </w:r>
    </w:p>
    <w:p w14:paraId="7F7BFBFC" w14:textId="14BC9BD4"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Verstrek toegang tot alle functionaliteiten van de pagina per toetsenbord, met een oplossing die niet in strijd is met schermlezers en vergrootglazen.</w:t>
      </w:r>
    </w:p>
    <w:p w14:paraId="527EF9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Sta de gebruiker toe om de informatie of objecten die automatisch worden verplaatst of bijgewerkt, te regelen, in staat te zijn deze stop te zetten, verbergen of de frequentie ervan te regelen.</w:t>
      </w:r>
      <w:r>
        <w:rPr>
          <w:sz w:val="22"/>
        </w:rPr>
        <w:t xml:space="preserve"> </w:t>
      </w:r>
    </w:p>
    <w:p w14:paraId="6C2AB65F"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bookmarkStart w:id="3" w:name="_Ref488129626"/>
      <w:r>
        <w:rPr>
          <w:sz w:val="22"/>
        </w:rPr>
        <w:t xml:space="preserve">Vergemakkelijk de navigatie door de inhoud in een coherente volgorde te structureren en duidelijke navigatiemechanismen te bieden.</w:t>
      </w:r>
      <w:r>
        <w:rPr>
          <w:sz w:val="22"/>
        </w:rPr>
        <w:t xml:space="preserve"> </w:t>
      </w:r>
    </w:p>
    <w:p w14:paraId="3DA35818"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Voeg begeleidingsinformatie toe om gebruikers te helpen complexe elementen te begrijpen en verstrek mechanismen om fouten bij de gegevensinvoer door gebruikers te detecteren en voorkomen.</w:t>
      </w:r>
      <w:r>
        <w:rPr>
          <w:sz w:val="22"/>
        </w:rPr>
        <w:t xml:space="preserve"> </w:t>
      </w:r>
    </w:p>
    <w:p w14:paraId="3E7754AE"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Identificeer de taal die in elke alinea of document van de website wordt gebruikt, zodat schermlezers en spraaksynthesizers de taal automatisch kunnen detecteren en wijzigen.</w:t>
      </w:r>
      <w:r>
        <w:rPr>
          <w:sz w:val="22"/>
        </w:rPr>
        <w:t xml:space="preserve"> </w:t>
      </w:r>
    </w:p>
    <w:p w14:paraId="02F867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Gebruik duidelijke en begrijpelijke taal om de inhoud gemakkelijk begrijpbaar te maken en neem de definitie op van de meest ongebruikelijke woorden, evenals de betekenis van initialisaties en afkortingen.</w:t>
      </w:r>
      <w:r>
        <w:rPr>
          <w:sz w:val="22"/>
        </w:rPr>
        <w:t xml:space="preserve"> </w:t>
      </w:r>
    </w:p>
    <w:p w14:paraId="0EA30215"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Maximaliseer de compatibiliteit met applicaties, software en apparaten die gebruikers kunnen hebben, inclusief ondersteuningsproducten.</w:t>
      </w:r>
    </w:p>
    <w:p w14:paraId="1E938D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Zorg ervoor dat documenten die op het web worden gepubliceerd, ook toegankelijk en leesbaar zijn voor schermlezers.</w:t>
      </w:r>
    </w:p>
    <w:p w14:paraId="1D9C45B4" w14:textId="70A58EB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Voorzie in andere communicatiekanalen dan telefoon via e-mail, sms of formulieren, met een verwerkingstijd die niet discriminerend is ten opzichte van die van een telefoongesprek.</w:t>
      </w:r>
    </w:p>
    <w:p w14:paraId="0F2AC703" w14:textId="7777777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Voldoe aan de criteria in overeenstemming met de WCAG 2.1-richtsnoeren op een van de niveaus ervan, met de voorwaarden die zijn vastgesteld in norm UNE 139803:2012 of die welke deze vervangt, behalve in die situaties waarin deze wet een hoger niveau vereist.</w:t>
      </w:r>
      <w:r>
        <w:rPr>
          <w:sz w:val="22"/>
        </w:rPr>
        <w:t xml:space="preserve"> </w:t>
      </w:r>
    </w:p>
    <w:p w14:paraId="77216F8A" w14:textId="77777777" w:rsidR="00E526B5" w:rsidRPr="000F0A63" w:rsidRDefault="00E526B5" w:rsidP="00E526B5">
      <w:pPr>
        <w:tabs>
          <w:tab w:val="left" w:pos="284"/>
          <w:tab w:val="num" w:pos="567"/>
        </w:tabs>
        <w:jc w:val="both"/>
        <w:rPr>
          <w:rFonts w:cs="Arial"/>
          <w:sz w:val="22"/>
          <w:szCs w:val="22"/>
          <w:lang w:val="es-ES"/>
        </w:rPr>
      </w:pPr>
    </w:p>
    <w:p w14:paraId="58C0FCD7" w14:textId="77777777" w:rsidR="00E526B5" w:rsidRPr="000F0A63" w:rsidRDefault="00E526B5" w:rsidP="000F4434">
      <w:pPr>
        <w:pStyle w:val="ListParagraph"/>
        <w:keepNext/>
        <w:numPr>
          <w:ilvl w:val="0"/>
          <w:numId w:val="27"/>
        </w:numPr>
        <w:tabs>
          <w:tab w:val="left" w:pos="426"/>
        </w:tabs>
        <w:ind w:left="0" w:firstLine="0"/>
        <w:jc w:val="both"/>
        <w:outlineLvl w:val="1"/>
        <w:rPr>
          <w:sz w:val="22"/>
          <w:szCs w:val="22"/>
          <w:rFonts w:cs="Arial"/>
        </w:rPr>
      </w:pPr>
      <w:bookmarkStart w:id="4" w:name="_Ref504990560"/>
      <w:r>
        <w:rPr>
          <w:sz w:val="22"/>
        </w:rPr>
        <w:t xml:space="preserve">Toegankelijke apps</w:t>
      </w:r>
      <w:bookmarkEnd w:id="3"/>
      <w:bookmarkEnd w:id="4"/>
    </w:p>
    <w:p w14:paraId="7EB099BF" w14:textId="77777777" w:rsidR="00E526B5" w:rsidRPr="000F0A63" w:rsidRDefault="00E526B5" w:rsidP="00E526B5">
      <w:pPr>
        <w:tabs>
          <w:tab w:val="left" w:pos="284"/>
          <w:tab w:val="left" w:pos="426"/>
        </w:tabs>
        <w:jc w:val="both"/>
        <w:rPr>
          <w:sz w:val="22"/>
          <w:szCs w:val="22"/>
          <w:rFonts w:cs="Arial"/>
        </w:rPr>
      </w:pPr>
      <w:r>
        <w:rPr>
          <w:sz w:val="22"/>
        </w:rPr>
        <w:t xml:space="preserve">Mobiel toegankelijke applicaties dienen te voldoen aan de voorwaarden van norm UNE 139803:2012 of die welke deze vervangt en aan de volgende algemene criteria:</w:t>
      </w:r>
      <w:r>
        <w:rPr>
          <w:sz w:val="22"/>
        </w:rPr>
        <w:t xml:space="preserve"> </w:t>
      </w:r>
    </w:p>
    <w:p w14:paraId="580725D4"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Alle berichten, hulpsystemen en teksten dienen in duidelijke en eenvoudige taal te worden geschreven;</w:t>
      </w:r>
    </w:p>
    <w:p w14:paraId="2543102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De tekst dient begrijpelijk te zijn, met een formaat en lettertype dat het lezen vergemakkelijkt;</w:t>
      </w:r>
    </w:p>
    <w:p w14:paraId="18CF95B7"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Het kleurcontrast van de elementen met de achtergrond dient voldoende te zijn;</w:t>
      </w:r>
      <w:r>
        <w:rPr>
          <w:sz w:val="22"/>
        </w:rPr>
        <w:t xml:space="preserve"> </w:t>
      </w:r>
    </w:p>
    <w:p w14:paraId="6EAF5662"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Bedieningselementen, objecten, pictogrammen en afbeeldingen dienen identificeerbaar en gebruiksvriendelijk te zijn en alternatieve tekst te hebben die hun functie of betekenis aangeeft;</w:t>
      </w:r>
      <w:r>
        <w:rPr>
          <w:sz w:val="22"/>
        </w:rPr>
        <w:t xml:space="preserve"> </w:t>
      </w:r>
    </w:p>
    <w:p w14:paraId="5791E3B0"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Waarschuwingsgeluiden dienen visuele of trillingsalternatieven te hebben;</w:t>
      </w:r>
      <w:r>
        <w:rPr>
          <w:sz w:val="22"/>
        </w:rPr>
        <w:t xml:space="preserve"> </w:t>
      </w:r>
    </w:p>
    <w:p w14:paraId="12D8BAF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Het proces voor toegang tot de dienst dient soepel en snel te verlopen;</w:t>
      </w:r>
    </w:p>
    <w:p w14:paraId="1F898261"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De applicatie dient compatibel te zijn met ondersteuningsproducten zoals schermlezers, vergrootglazen en spraakopdrachten;</w:t>
      </w:r>
    </w:p>
    <w:p w14:paraId="795B853F"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De applicatie dient compatibel te zijn met de toegankelijkheidsprogramma's van het besturingssysteem.</w:t>
      </w:r>
    </w:p>
    <w:p w14:paraId="56E59187" w14:textId="77777777" w:rsidR="00E526B5" w:rsidRDefault="00E526B5">
      <w:pPr>
        <w:rPr>
          <w:lang w:val="es-ES"/>
        </w:rPr>
      </w:pPr>
    </w:p>
    <w:p w14:paraId="53BF94FB" w14:textId="30F32856" w:rsidR="00E526B5" w:rsidRPr="000F0A63" w:rsidRDefault="00E526B5" w:rsidP="005917F0">
      <w:pPr>
        <w:keepNext/>
        <w:keepLines/>
        <w:tabs>
          <w:tab w:val="left" w:pos="284"/>
        </w:tabs>
        <w:jc w:val="both"/>
        <w:outlineLvl w:val="1"/>
        <w:rPr>
          <w:bCs/>
          <w:sz w:val="22"/>
          <w:szCs w:val="22"/>
          <w:rFonts w:cs="Arial"/>
        </w:rPr>
      </w:pPr>
      <w:r>
        <w:rPr>
          <w:sz w:val="22"/>
        </w:rPr>
        <w:t xml:space="preserve">Bijlage 6b:</w:t>
      </w:r>
      <w:r>
        <w:rPr>
          <w:sz w:val="22"/>
        </w:rPr>
        <w:t xml:space="preserve"> </w:t>
      </w:r>
      <w:r>
        <w:rPr>
          <w:sz w:val="22"/>
        </w:rPr>
        <w:t xml:space="preserve">Termijnen voor aanpassing van bestaande diensten conform de gestelde voorwaarden</w:t>
      </w:r>
    </w:p>
    <w:p w14:paraId="77C3480F" w14:textId="43B01EF3" w:rsidR="00E526B5" w:rsidRPr="000F0A63" w:rsidRDefault="00E526B5" w:rsidP="005917F0">
      <w:pPr>
        <w:keepNext/>
        <w:keepLines/>
        <w:tabs>
          <w:tab w:val="left" w:pos="284"/>
        </w:tabs>
        <w:jc w:val="both"/>
        <w:rPr>
          <w:rFonts w:cs="Arial"/>
          <w:bCs/>
          <w:sz w:val="22"/>
          <w:szCs w:val="22"/>
          <w:lang w:val="es-ES"/>
        </w:rPr>
      </w:pPr>
    </w:p>
    <w:p w14:paraId="19B0505A"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5" w:name="_Ref505083170"/>
      <w:r>
        <w:rPr>
          <w:sz w:val="22"/>
        </w:rPr>
        <w:t xml:space="preserve">Compatibiliteit met andere vereiste voorwaarden</w:t>
      </w:r>
      <w:bookmarkEnd w:id="5"/>
      <w:r>
        <w:rPr>
          <w:sz w:val="22"/>
        </w:rPr>
        <w:t xml:space="preserve"> </w:t>
      </w:r>
    </w:p>
    <w:p w14:paraId="1C074B90" w14:textId="77777777" w:rsidR="00E526B5" w:rsidRPr="000F0A63" w:rsidRDefault="00E526B5" w:rsidP="00E526B5">
      <w:pPr>
        <w:keepNext/>
        <w:keepLines/>
        <w:tabs>
          <w:tab w:val="left" w:pos="284"/>
        </w:tabs>
        <w:jc w:val="both"/>
        <w:rPr>
          <w:sz w:val="22"/>
          <w:szCs w:val="22"/>
          <w:rFonts w:cs="Arial"/>
        </w:rPr>
      </w:pPr>
      <w:r>
        <w:rPr>
          <w:sz w:val="22"/>
        </w:rPr>
        <w:t xml:space="preserve">De voorwaarden van deze bijlage 6b laten de verplichting tot naleving vóór de aangegeven termijnen van de vereiste toegankelijkheidsvoorwaarden in geval van wijziging van bestaande elementen of middelen onverlet.</w:t>
      </w:r>
      <w:r>
        <w:rPr>
          <w:sz w:val="22"/>
        </w:rPr>
        <w:t xml:space="preserve"> </w:t>
      </w:r>
    </w:p>
    <w:p w14:paraId="5EEA95FF" w14:textId="77777777" w:rsidR="00E526B5" w:rsidRPr="000F0A63" w:rsidRDefault="00E526B5" w:rsidP="00E526B5">
      <w:pPr>
        <w:keepNext/>
        <w:keepLines/>
        <w:tabs>
          <w:tab w:val="left" w:pos="284"/>
        </w:tabs>
        <w:jc w:val="both"/>
        <w:rPr>
          <w:rFonts w:cs="Arial"/>
          <w:sz w:val="22"/>
          <w:szCs w:val="22"/>
          <w:lang w:val="es-ES" w:eastAsia="x-none"/>
        </w:rPr>
      </w:pPr>
    </w:p>
    <w:p w14:paraId="68894ACD"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6" w:name="_Ref505083210"/>
      <w:r>
        <w:rPr>
          <w:sz w:val="22"/>
        </w:rPr>
        <w:t xml:space="preserve">Catalaanse openbare sector, publiekrechtondernemingen en entiteiten die openbare diensten verlenen</w:t>
      </w:r>
      <w:bookmarkEnd w:id="6"/>
    </w:p>
    <w:p w14:paraId="76077B47" w14:textId="77777777" w:rsidR="00E526B5" w:rsidRPr="000F0A63" w:rsidRDefault="00E526B5" w:rsidP="00E526B5">
      <w:pPr>
        <w:tabs>
          <w:tab w:val="left" w:pos="284"/>
        </w:tabs>
        <w:jc w:val="both"/>
        <w:rPr>
          <w:bCs/>
          <w:iCs/>
          <w:sz w:val="22"/>
          <w:szCs w:val="22"/>
          <w:rFonts w:cs="Arial"/>
        </w:rPr>
      </w:pPr>
      <w:r>
        <w:rPr>
          <w:sz w:val="22"/>
        </w:rPr>
        <w:t xml:space="preserve">De volgende uiterste termijnen worden vastgesteld voor de websites en mobiele applicaties van de Catalaanse overheidssector, publiekrechtelijke ondernemingen en entiteiten of ondernemingen die openbare diensten verlenen via concessie of op contractuele basis met de overheidsdienst om toegankelijk te zijn en aan de voorwaarden van artikel 138 te voldoen:</w:t>
      </w:r>
    </w:p>
    <w:p w14:paraId="181146B6"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1 jaar na de inwerkingtreding van deze wet:</w:t>
      </w:r>
    </w:p>
    <w:p w14:paraId="69D26797" w14:textId="77777777" w:rsidR="00E526B5" w:rsidRPr="000F0A63" w:rsidRDefault="00E526B5" w:rsidP="000F4434">
      <w:pPr>
        <w:numPr>
          <w:ilvl w:val="1"/>
          <w:numId w:val="30"/>
        </w:numPr>
        <w:tabs>
          <w:tab w:val="clear" w:pos="1440"/>
          <w:tab w:val="left" w:pos="284"/>
          <w:tab w:val="num" w:pos="426"/>
          <w:tab w:val="num" w:pos="993"/>
        </w:tabs>
        <w:ind w:left="0" w:firstLine="0"/>
        <w:jc w:val="both"/>
        <w:rPr>
          <w:sz w:val="22"/>
          <w:szCs w:val="22"/>
          <w:rFonts w:cs="Arial"/>
        </w:rPr>
      </w:pPr>
      <w:r>
        <w:rPr>
          <w:sz w:val="22"/>
        </w:rPr>
        <w:t xml:space="preserve">websites van de Catalaanse overheidssector en publiekrechtelijke ondernemingen.</w:t>
      </w:r>
    </w:p>
    <w:p w14:paraId="47DD03E4"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2 jaar na de inwerkingtreding van deze wet:</w:t>
      </w:r>
    </w:p>
    <w:p w14:paraId="04EB1B39" w14:textId="77777777" w:rsidR="00E526B5" w:rsidRPr="000F0A63" w:rsidRDefault="00E526B5" w:rsidP="000F4434">
      <w:pPr>
        <w:numPr>
          <w:ilvl w:val="0"/>
          <w:numId w:val="33"/>
        </w:numPr>
        <w:tabs>
          <w:tab w:val="left" w:pos="426"/>
        </w:tabs>
        <w:ind w:left="0" w:firstLine="0"/>
        <w:jc w:val="both"/>
        <w:rPr>
          <w:sz w:val="22"/>
          <w:szCs w:val="22"/>
          <w:rFonts w:cs="Arial"/>
        </w:rPr>
      </w:pPr>
      <w:r>
        <w:rPr>
          <w:sz w:val="22"/>
        </w:rPr>
        <w:t xml:space="preserve">applicaties voor mobiele apparaten in de Catalaanse openbare sector en publiekrechtelijke ondernemingen.</w:t>
      </w:r>
    </w:p>
    <w:p w14:paraId="4A800192" w14:textId="77777777" w:rsidR="00E526B5" w:rsidRPr="000F0A63" w:rsidRDefault="00E526B5" w:rsidP="000F4434">
      <w:pPr>
        <w:keepNext/>
        <w:keepLines/>
        <w:numPr>
          <w:ilvl w:val="0"/>
          <w:numId w:val="29"/>
        </w:numPr>
        <w:tabs>
          <w:tab w:val="left" w:pos="284"/>
          <w:tab w:val="num" w:pos="426"/>
          <w:tab w:val="num" w:pos="567"/>
        </w:tabs>
        <w:ind w:left="0" w:firstLine="0"/>
        <w:jc w:val="both"/>
        <w:rPr>
          <w:bCs/>
          <w:sz w:val="22"/>
          <w:szCs w:val="22"/>
          <w:rFonts w:cs="Arial"/>
        </w:rPr>
      </w:pPr>
      <w:r>
        <w:rPr>
          <w:sz w:val="22"/>
        </w:rPr>
        <w:t xml:space="preserve">3 jaar na de inwerkingtreding van deze wet:</w:t>
      </w:r>
      <w:r>
        <w:rPr>
          <w:sz w:val="22"/>
        </w:rPr>
        <w:t xml:space="preserve"> </w:t>
      </w:r>
    </w:p>
    <w:p w14:paraId="2BC909CB" w14:textId="77777777" w:rsidR="00E526B5" w:rsidRPr="000F0A63" w:rsidRDefault="00E526B5" w:rsidP="000F4434">
      <w:pPr>
        <w:numPr>
          <w:ilvl w:val="0"/>
          <w:numId w:val="50"/>
        </w:numPr>
        <w:tabs>
          <w:tab w:val="left" w:pos="426"/>
        </w:tabs>
        <w:ind w:left="0" w:firstLine="0"/>
        <w:jc w:val="both"/>
        <w:rPr>
          <w:sz w:val="22"/>
          <w:szCs w:val="22"/>
          <w:rFonts w:cs="Arial"/>
        </w:rPr>
      </w:pPr>
      <w:r>
        <w:rPr>
          <w:sz w:val="22"/>
        </w:rPr>
        <w:t xml:space="preserve">websites en applicaties voor mobiele apparaten van entiteiten of bedrijven die openbare diensten verlenen via concessie of op contractuele basis met de overheidsdienst.</w:t>
      </w:r>
    </w:p>
    <w:p w14:paraId="5A897CB9" w14:textId="77777777" w:rsidR="00E526B5" w:rsidRPr="000F0A63" w:rsidRDefault="00E526B5" w:rsidP="00E526B5">
      <w:pPr>
        <w:tabs>
          <w:tab w:val="left" w:pos="284"/>
          <w:tab w:val="num" w:pos="426"/>
        </w:tabs>
        <w:jc w:val="both"/>
        <w:rPr>
          <w:sz w:val="22"/>
          <w:szCs w:val="22"/>
          <w:rFonts w:cs="Arial"/>
        </w:rPr>
      </w:pPr>
      <w:r>
        <w:rPr>
          <w:sz w:val="22"/>
        </w:rPr>
        <w:t xml:space="preserve">De aangegeven termijnen worden vastgesteld onverminderd de naleving van de meest veeleisende termijnen die worden vereist door de kenmerken van de dienst in overeenstemming met de rest van de leden van deze bijlage of andere voorschriften die de dienst reguleren.</w:t>
      </w:r>
      <w:r>
        <w:rPr>
          <w:sz w:val="22"/>
        </w:rPr>
        <w:t xml:space="preserve"> </w:t>
      </w:r>
    </w:p>
    <w:p w14:paraId="6782A616" w14:textId="77777777" w:rsidR="00E526B5" w:rsidRPr="000F0A63" w:rsidRDefault="00E526B5" w:rsidP="00E526B5">
      <w:pPr>
        <w:tabs>
          <w:tab w:val="left" w:pos="284"/>
          <w:tab w:val="num" w:pos="426"/>
        </w:tabs>
        <w:jc w:val="both"/>
        <w:rPr>
          <w:rFonts w:cs="Arial"/>
          <w:sz w:val="22"/>
          <w:szCs w:val="22"/>
          <w:lang w:val="es-ES"/>
        </w:rPr>
      </w:pPr>
    </w:p>
    <w:p w14:paraId="1A2A94E1"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7" w:name="_Ref505083224"/>
      <w:r>
        <w:rPr>
          <w:sz w:val="22"/>
        </w:rPr>
        <w:t xml:space="preserve">Diensten in verband met podiumkunsten, bioscopen en sportevenementen</w:t>
      </w:r>
      <w:bookmarkEnd w:id="7"/>
    </w:p>
    <w:p w14:paraId="6E9E2B04" w14:textId="77777777" w:rsidR="00E526B5" w:rsidRPr="000F0A63" w:rsidRDefault="00E526B5" w:rsidP="00E526B5">
      <w:pPr>
        <w:tabs>
          <w:tab w:val="left" w:pos="284"/>
        </w:tabs>
        <w:jc w:val="both"/>
        <w:rPr>
          <w:bCs/>
          <w:sz w:val="22"/>
          <w:szCs w:val="22"/>
          <w:rFonts w:cs="Arial"/>
        </w:rPr>
      </w:pPr>
      <w:r>
        <w:rPr>
          <w:sz w:val="22"/>
        </w:rPr>
        <w:t xml:space="preserve">De volgende uiterste termijnen worden vastgesteld, zodat de websites van de inrichting en de verkoopkanalen voor elektronische kaartjes toegankelijk kunnen zijn en aan de voorwaarden van artikel 133 kunnen voldoen:</w:t>
      </w:r>
    </w:p>
    <w:p w14:paraId="44E529E5"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2 jaar na de inwerkingtreding van deze wet:</w:t>
      </w:r>
    </w:p>
    <w:p w14:paraId="26851055"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websites en mobiele applicaties van inrichtingen met een capaciteit van 2 000 zitplaatsen of meer in het gehele gebied.</w:t>
      </w:r>
    </w:p>
    <w:p w14:paraId="59D0540F"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websites en mobiele applicaties van online ticketplatforms die meer dan één vestiging beheren met een gecombineerde capaciteit van 2 000 zitplaatsen of meer.</w:t>
      </w:r>
    </w:p>
    <w:p w14:paraId="2835B2B8"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3 jaar na de inwerkingtreding van deze wet:</w:t>
      </w:r>
    </w:p>
    <w:p w14:paraId="2F160C92" w14:textId="77777777" w:rsidR="00E526B5" w:rsidRPr="000F0A63" w:rsidRDefault="00E526B5" w:rsidP="000F4434">
      <w:pPr>
        <w:numPr>
          <w:ilvl w:val="0"/>
          <w:numId w:val="36"/>
        </w:numPr>
        <w:tabs>
          <w:tab w:val="left" w:pos="567"/>
        </w:tabs>
        <w:ind w:left="0" w:firstLine="0"/>
        <w:jc w:val="both"/>
        <w:rPr>
          <w:sz w:val="22"/>
          <w:szCs w:val="22"/>
          <w:rFonts w:cs="Arial"/>
        </w:rPr>
      </w:pPr>
      <w:r>
        <w:rPr>
          <w:sz w:val="22"/>
        </w:rPr>
        <w:t xml:space="preserve">websites en mobiele applicaties van online ticketplatforms die meer dan één vestiging beheren met een gecombineerde capaciteit van minder dan 2 000 zitplaatsen.</w:t>
      </w:r>
      <w:r>
        <w:rPr>
          <w:sz w:val="22"/>
        </w:rPr>
        <w:t xml:space="preserve"> </w:t>
      </w:r>
    </w:p>
    <w:p w14:paraId="7BECFAB4" w14:textId="77777777" w:rsidR="00E526B5" w:rsidRPr="000F0A63" w:rsidRDefault="00E526B5" w:rsidP="000F4434">
      <w:pPr>
        <w:keepNext/>
        <w:numPr>
          <w:ilvl w:val="0"/>
          <w:numId w:val="34"/>
        </w:numPr>
        <w:tabs>
          <w:tab w:val="left" w:pos="284"/>
        </w:tabs>
        <w:ind w:left="0" w:firstLine="0"/>
        <w:jc w:val="both"/>
        <w:rPr>
          <w:sz w:val="22"/>
          <w:szCs w:val="22"/>
          <w:rFonts w:cs="Arial"/>
        </w:rPr>
      </w:pPr>
      <w:r>
        <w:rPr>
          <w:sz w:val="22"/>
        </w:rPr>
        <w:t xml:space="preserve">4 jaar na de inwerkingtreding van deze wet:</w:t>
      </w:r>
    </w:p>
    <w:p w14:paraId="4D5AB809" w14:textId="77777777" w:rsidR="00E526B5" w:rsidRPr="000F0A63" w:rsidRDefault="00E526B5" w:rsidP="000F4434">
      <w:pPr>
        <w:numPr>
          <w:ilvl w:val="0"/>
          <w:numId w:val="35"/>
        </w:numPr>
        <w:tabs>
          <w:tab w:val="left" w:pos="567"/>
        </w:tabs>
        <w:ind w:left="0" w:firstLine="0"/>
        <w:jc w:val="both"/>
        <w:rPr>
          <w:sz w:val="22"/>
          <w:szCs w:val="22"/>
          <w:rFonts w:cs="Arial"/>
        </w:rPr>
      </w:pPr>
      <w:r>
        <w:rPr>
          <w:sz w:val="22"/>
        </w:rPr>
        <w:t xml:space="preserve">websites en mobiele applicaties van inrichtingen met een capaciteit van minder dan 2 000 zitplaatsen in het hele gebied.</w:t>
      </w:r>
      <w:r>
        <w:rPr>
          <w:sz w:val="22"/>
        </w:rPr>
        <w:t xml:space="preserve">  </w:t>
      </w:r>
    </w:p>
    <w:p w14:paraId="2C5319CC" w14:textId="77777777" w:rsidR="00E526B5" w:rsidRPr="000F0A63" w:rsidRDefault="00E526B5" w:rsidP="00E526B5">
      <w:pPr>
        <w:tabs>
          <w:tab w:val="left" w:pos="284"/>
        </w:tabs>
        <w:jc w:val="both"/>
        <w:rPr>
          <w:rFonts w:cs="Arial"/>
          <w:sz w:val="22"/>
          <w:szCs w:val="22"/>
          <w:lang w:val="es-ES"/>
        </w:rPr>
      </w:pPr>
    </w:p>
    <w:p w14:paraId="0B116980"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8" w:name="_Ref505083249"/>
      <w:r>
        <w:rPr>
          <w:sz w:val="22"/>
        </w:rPr>
        <w:t xml:space="preserve">Commerciële diensten</w:t>
      </w:r>
      <w:bookmarkEnd w:id="8"/>
    </w:p>
    <w:p w14:paraId="3609046E" w14:textId="77777777" w:rsidR="00E526B5" w:rsidRPr="000F0A63" w:rsidRDefault="00E526B5" w:rsidP="00E526B5">
      <w:pPr>
        <w:keepLines/>
        <w:tabs>
          <w:tab w:val="left" w:pos="284"/>
        </w:tabs>
        <w:jc w:val="both"/>
        <w:rPr>
          <w:bCs/>
          <w:sz w:val="22"/>
          <w:szCs w:val="22"/>
          <w:rFonts w:cs="Arial"/>
        </w:rPr>
      </w:pPr>
      <w:r>
        <w:rPr>
          <w:sz w:val="22"/>
        </w:rPr>
        <w:t xml:space="preserve">De volgende uiterste termijnen worden vastgesteld zodat websites en mobiele applicaties die de mogelijkheid bieden om online te winkelen en die van supermarktketens en bedrijven met levensmiddelen- of gemengde inrichtingen toegankelijk kunnen zijn en aan de voorwaarden van artikel 126 kunnen voldoen:</w:t>
      </w:r>
    </w:p>
    <w:p w14:paraId="12FBBAE4"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2 jaar na de inwerkingtreding van deze wet:</w:t>
      </w:r>
    </w:p>
    <w:p w14:paraId="5E3D88E1" w14:textId="77777777" w:rsidR="00E526B5" w:rsidRPr="000F0A63" w:rsidRDefault="00E526B5" w:rsidP="000F4434">
      <w:pPr>
        <w:numPr>
          <w:ilvl w:val="1"/>
          <w:numId w:val="34"/>
        </w:numPr>
        <w:tabs>
          <w:tab w:val="clear" w:pos="1440"/>
          <w:tab w:val="num" w:pos="567"/>
        </w:tabs>
        <w:ind w:left="0" w:firstLine="0"/>
        <w:jc w:val="both"/>
        <w:rPr>
          <w:bCs/>
          <w:iCs/>
          <w:sz w:val="22"/>
          <w:szCs w:val="22"/>
          <w:rFonts w:cs="Arial"/>
        </w:rPr>
      </w:pPr>
      <w:r>
        <w:rPr>
          <w:sz w:val="22"/>
        </w:rPr>
        <w:t xml:space="preserve">websites en applicaties, voor mobiele apparaten, van supermarktketens met 10 of meer vestigingen en panden met meer dan 500 m² nuttige ruimte voor openbaar gebruik.</w:t>
      </w:r>
    </w:p>
    <w:p w14:paraId="79B90796"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3 jaar na de inwerkingtreding van deze wet:</w:t>
      </w:r>
    </w:p>
    <w:p w14:paraId="4A64FC41" w14:textId="77777777" w:rsidR="00E526B5" w:rsidRPr="000F0A63" w:rsidRDefault="00E526B5" w:rsidP="000F4434">
      <w:pPr>
        <w:numPr>
          <w:ilvl w:val="0"/>
          <w:numId w:val="37"/>
        </w:numPr>
        <w:tabs>
          <w:tab w:val="left" w:pos="567"/>
        </w:tabs>
        <w:ind w:left="0" w:firstLine="0"/>
        <w:jc w:val="both"/>
        <w:rPr>
          <w:bCs/>
          <w:iCs/>
          <w:sz w:val="22"/>
          <w:szCs w:val="22"/>
          <w:rFonts w:cs="Arial"/>
        </w:rPr>
      </w:pPr>
      <w:r>
        <w:rPr>
          <w:sz w:val="22"/>
        </w:rPr>
        <w:t xml:space="preserve">websites en applicaties, voor mobiele apparaten, van supermarktketens met tussen de 5 en 9 vestigingen en panden met meer dan 500 m² nuttige ruimte voor openbaar gebruik.</w:t>
      </w:r>
    </w:p>
    <w:p w14:paraId="1F2E1FB5" w14:textId="77777777" w:rsidR="00E526B5" w:rsidRPr="000F0A63" w:rsidRDefault="00E526B5" w:rsidP="000F4434">
      <w:pPr>
        <w:numPr>
          <w:ilvl w:val="0"/>
          <w:numId w:val="32"/>
        </w:numPr>
        <w:tabs>
          <w:tab w:val="left" w:pos="284"/>
        </w:tabs>
        <w:ind w:left="0" w:firstLine="0"/>
        <w:jc w:val="both"/>
        <w:rPr>
          <w:sz w:val="22"/>
          <w:szCs w:val="22"/>
          <w:rFonts w:cs="Arial"/>
        </w:rPr>
      </w:pPr>
      <w:r>
        <w:rPr>
          <w:sz w:val="22"/>
        </w:rPr>
        <w:t xml:space="preserve">4 jaar na de inwerkingtreding van deze wet:</w:t>
      </w:r>
    </w:p>
    <w:p w14:paraId="47833147" w14:textId="77777777" w:rsidR="00E526B5" w:rsidRPr="000F0A63" w:rsidRDefault="00E526B5" w:rsidP="000F4434">
      <w:pPr>
        <w:numPr>
          <w:ilvl w:val="0"/>
          <w:numId w:val="38"/>
        </w:numPr>
        <w:tabs>
          <w:tab w:val="left" w:pos="567"/>
        </w:tabs>
        <w:ind w:left="0" w:firstLine="0"/>
        <w:jc w:val="both"/>
        <w:rPr>
          <w:bCs/>
          <w:iCs/>
          <w:sz w:val="22"/>
          <w:szCs w:val="22"/>
          <w:rFonts w:cs="Arial"/>
        </w:rPr>
      </w:pPr>
      <w:r>
        <w:rPr>
          <w:sz w:val="22"/>
        </w:rPr>
        <w:t xml:space="preserve">websites en applicaties, voor mobiele apparaten, van supermarktketens en levensmiddelen- of gemengde inrichtingen met panden met meer dan 500 m² nuttige ruimte voor openbaar gebruik.</w:t>
      </w:r>
    </w:p>
    <w:p w14:paraId="0F06586C" w14:textId="77777777" w:rsidR="00E526B5" w:rsidRPr="000F0A63" w:rsidRDefault="00E526B5" w:rsidP="00E526B5">
      <w:pPr>
        <w:tabs>
          <w:tab w:val="left" w:pos="284"/>
        </w:tabs>
        <w:jc w:val="both"/>
        <w:rPr>
          <w:rFonts w:cs="Arial"/>
          <w:bCs/>
          <w:iCs/>
          <w:sz w:val="22"/>
          <w:szCs w:val="22"/>
          <w:lang w:val="es-ES" w:eastAsia="x-none"/>
        </w:rPr>
      </w:pPr>
    </w:p>
    <w:p w14:paraId="017AE2BB"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9" w:name="_Ref505083279"/>
      <w:r>
        <w:rPr>
          <w:sz w:val="22"/>
        </w:rPr>
        <w:t xml:space="preserve">Financiële en verzekeringsdiensten</w:t>
      </w:r>
      <w:bookmarkEnd w:id="9"/>
    </w:p>
    <w:p w14:paraId="6258DBF3" w14:textId="77777777" w:rsidR="00E526B5" w:rsidRPr="000F0A63" w:rsidRDefault="00E526B5" w:rsidP="00E526B5">
      <w:pPr>
        <w:keepLines/>
        <w:tabs>
          <w:tab w:val="left" w:pos="284"/>
        </w:tabs>
        <w:jc w:val="both"/>
        <w:rPr>
          <w:sz w:val="22"/>
          <w:szCs w:val="22"/>
          <w:rFonts w:cs="Arial"/>
        </w:rPr>
      </w:pPr>
      <w:r>
        <w:rPr>
          <w:sz w:val="22"/>
        </w:rPr>
        <w:t xml:space="preserve">De volgende uiterste termijnen worden zo vastgesteld dat de websites en applicaties voor mobiele apparaten die bancaire diensten, contracten, raadplegingen van medische raden of enige andere vorm van beheer of raadpleging van de met de entiteit gecontracteerde producten mogelijk maken, toegankelijk kunnen zijn en voldoen aan de voorwaarden van artikel 127:</w:t>
      </w:r>
    </w:p>
    <w:p w14:paraId="05FAE614"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1 jaar na de inwerkingtreding van deze wet:</w:t>
      </w:r>
    </w:p>
    <w:p w14:paraId="05594252" w14:textId="77777777" w:rsidR="00E526B5" w:rsidRPr="000F0A63" w:rsidRDefault="00E526B5" w:rsidP="000F4434">
      <w:pPr>
        <w:numPr>
          <w:ilvl w:val="0"/>
          <w:numId w:val="40"/>
        </w:numPr>
        <w:tabs>
          <w:tab w:val="clear" w:pos="1440"/>
          <w:tab w:val="num" w:pos="567"/>
        </w:tabs>
        <w:ind w:left="0" w:firstLine="0"/>
        <w:jc w:val="both"/>
        <w:rPr>
          <w:sz w:val="22"/>
          <w:szCs w:val="22"/>
          <w:rFonts w:cs="Arial"/>
        </w:rPr>
      </w:pPr>
      <w:r>
        <w:rPr>
          <w:sz w:val="22"/>
        </w:rPr>
        <w:t xml:space="preserve">websites.</w:t>
      </w:r>
      <w:r>
        <w:rPr>
          <w:sz w:val="22"/>
        </w:rPr>
        <w:t xml:space="preserve"> </w:t>
      </w:r>
    </w:p>
    <w:p w14:paraId="4C51E7FB"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2 jaar na de inwerkingtreding van deze wet:</w:t>
      </w:r>
    </w:p>
    <w:p w14:paraId="7D3D57C1" w14:textId="77777777" w:rsidR="00E526B5" w:rsidRPr="000F0A63" w:rsidRDefault="00E526B5" w:rsidP="000F4434">
      <w:pPr>
        <w:numPr>
          <w:ilvl w:val="0"/>
          <w:numId w:val="41"/>
        </w:numPr>
        <w:tabs>
          <w:tab w:val="left" w:pos="567"/>
        </w:tabs>
        <w:ind w:left="0" w:firstLine="0"/>
        <w:jc w:val="both"/>
        <w:rPr>
          <w:sz w:val="22"/>
          <w:szCs w:val="22"/>
          <w:rFonts w:cs="Arial"/>
        </w:rPr>
      </w:pPr>
      <w:r>
        <w:rPr>
          <w:sz w:val="22"/>
        </w:rPr>
        <w:t xml:space="preserve">applicaties voor mobiele apparaten.</w:t>
      </w:r>
    </w:p>
    <w:p w14:paraId="355C8392" w14:textId="77777777" w:rsidR="00E526B5" w:rsidRPr="000F0A63" w:rsidRDefault="00E526B5" w:rsidP="00E526B5">
      <w:pPr>
        <w:tabs>
          <w:tab w:val="left" w:pos="284"/>
        </w:tabs>
        <w:jc w:val="both"/>
        <w:rPr>
          <w:rFonts w:cs="Arial"/>
          <w:sz w:val="22"/>
          <w:szCs w:val="22"/>
          <w:lang w:val="es-ES"/>
        </w:rPr>
      </w:pPr>
    </w:p>
    <w:p w14:paraId="393046A4"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0" w:name="_Ref505083294"/>
      <w:r>
        <w:rPr>
          <w:sz w:val="22"/>
        </w:rPr>
        <w:t xml:space="preserve">Diensten in verband met particulier vervoer</w:t>
      </w:r>
      <w:bookmarkEnd w:id="10"/>
    </w:p>
    <w:p w14:paraId="0C12C9D0" w14:textId="77777777" w:rsidR="00E526B5" w:rsidRPr="000F0A63" w:rsidRDefault="00E526B5" w:rsidP="00E526B5">
      <w:pPr>
        <w:tabs>
          <w:tab w:val="left" w:pos="284"/>
        </w:tabs>
        <w:jc w:val="both"/>
        <w:rPr>
          <w:bCs/>
          <w:sz w:val="22"/>
          <w:szCs w:val="22"/>
          <w:rFonts w:cs="Arial"/>
        </w:rPr>
      </w:pPr>
      <w:r>
        <w:rPr>
          <w:sz w:val="22"/>
        </w:rPr>
        <w:t xml:space="preserve">De volgende uiterste termijnen worden zo vastgesteld dat bedrijven die een autoverhuurdienst voor zelf-besturing aanbieden, met een vloot van meer dan 100 voertuigen, en bedrijven die een door een chauffeur bestuurde autoverhuurdienst aanbieden, met een vloot van meer dan 50 voertuigen, kunnen voldoen aan de voorwaarden van artikel 128:</w:t>
      </w:r>
      <w:r>
        <w:rPr>
          <w:sz w:val="22"/>
        </w:rPr>
        <w:t xml:space="preserve"> </w:t>
      </w:r>
    </w:p>
    <w:p w14:paraId="47D4E7EF"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1 jaar na de inwerkingtreding van deze wet:</w:t>
      </w:r>
      <w:r>
        <w:rPr>
          <w:sz w:val="22"/>
        </w:rPr>
        <w:t xml:space="preserve"> </w:t>
      </w:r>
    </w:p>
    <w:p w14:paraId="4DD29E94" w14:textId="37067D80" w:rsidR="00E526B5" w:rsidRPr="000F0A63" w:rsidRDefault="00E526B5" w:rsidP="00E526B5">
      <w:pPr>
        <w:widowControl w:val="0"/>
        <w:tabs>
          <w:tab w:val="left" w:pos="426"/>
        </w:tabs>
        <w:jc w:val="both"/>
        <w:rPr>
          <w:sz w:val="22"/>
          <w:szCs w:val="22"/>
          <w:rFonts w:cs="Arial"/>
        </w:rPr>
      </w:pPr>
      <w:r>
        <w:rPr>
          <w:sz w:val="22"/>
        </w:rPr>
        <w:t xml:space="preserve">a1.</w:t>
      </w:r>
      <w:r>
        <w:rPr>
          <w:sz w:val="22"/>
        </w:rPr>
        <w:tab/>
      </w:r>
      <w:r>
        <w:rPr>
          <w:sz w:val="22"/>
        </w:rPr>
        <w:t xml:space="preserve">Zij dienen te beschikken over voertuigen die niet-bestuurders in rolstoelen kunnen vervoeren die gelijk zijn aan of groter zijn dan 1 % van het door hen beheerde wagenpark.</w:t>
      </w:r>
      <w:r>
        <w:rPr>
          <w:sz w:val="22"/>
        </w:rPr>
        <w:t xml:space="preserve"> </w:t>
      </w:r>
    </w:p>
    <w:p w14:paraId="241A7D0B" w14:textId="07973EFE" w:rsidR="00E526B5" w:rsidRPr="000F0A63" w:rsidRDefault="00E526B5" w:rsidP="00B670F2">
      <w:pPr>
        <w:widowControl w:val="0"/>
        <w:tabs>
          <w:tab w:val="left" w:pos="426"/>
        </w:tabs>
        <w:jc w:val="both"/>
        <w:rPr>
          <w:sz w:val="22"/>
          <w:szCs w:val="22"/>
          <w:rFonts w:cs="Arial"/>
        </w:rPr>
      </w:pPr>
      <w:r>
        <w:rPr>
          <w:sz w:val="22"/>
        </w:rPr>
        <w:t xml:space="preserve">a2.</w:t>
      </w:r>
      <w:r>
        <w:rPr>
          <w:sz w:val="22"/>
        </w:rPr>
        <w:tab/>
      </w:r>
      <w:r>
        <w:rPr>
          <w:sz w:val="22"/>
        </w:rPr>
        <w:t xml:space="preserve">Zij dienen te beschikken over aangepaste voertuigen voor bestuurders met beperkte mobiliteit, gelijk aan of groter dan 0,5 % van het door hen beheerde wagenpark.</w:t>
      </w:r>
      <w:r>
        <w:rPr>
          <w:sz w:val="22"/>
        </w:rPr>
        <w:t xml:space="preserve"> </w:t>
      </w:r>
    </w:p>
    <w:p w14:paraId="273BCA57" w14:textId="19D21C18" w:rsidR="00E526B5" w:rsidRPr="000F0A63" w:rsidRDefault="00E526B5" w:rsidP="00B670F2">
      <w:pPr>
        <w:widowControl w:val="0"/>
        <w:tabs>
          <w:tab w:val="left" w:pos="426"/>
        </w:tabs>
        <w:jc w:val="both"/>
        <w:rPr>
          <w:sz w:val="22"/>
          <w:szCs w:val="22"/>
          <w:rFonts w:cs="Arial"/>
        </w:rPr>
      </w:pPr>
      <w:r>
        <w:rPr>
          <w:sz w:val="22"/>
        </w:rPr>
        <w:t xml:space="preserve">a3.</w:t>
      </w:r>
      <w:r>
        <w:rPr>
          <w:sz w:val="22"/>
        </w:rPr>
        <w:tab/>
      </w:r>
      <w:r>
        <w:rPr>
          <w:sz w:val="22"/>
        </w:rPr>
        <w:t xml:space="preserve">Het in de vorige punten vermelde aanbod kan worden geleverd door middel van eigen voertuigen of via overeenkomsten met andere exploitanten die voldoende beschikbaarheid garanderen.</w:t>
      </w:r>
    </w:p>
    <w:p w14:paraId="3BCE400D"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3 jaar na de inwerkingtreding van deze wet:</w:t>
      </w:r>
      <w:r>
        <w:rPr>
          <w:sz w:val="22"/>
        </w:rPr>
        <w:t xml:space="preserve"> </w:t>
      </w:r>
    </w:p>
    <w:p w14:paraId="727C0165" w14:textId="23D3973D" w:rsidR="00E526B5" w:rsidRPr="000F0A63" w:rsidRDefault="00E526B5" w:rsidP="00B670F2">
      <w:pPr>
        <w:widowControl w:val="0"/>
        <w:tabs>
          <w:tab w:val="left" w:pos="426"/>
        </w:tabs>
        <w:jc w:val="both"/>
        <w:rPr>
          <w:sz w:val="22"/>
          <w:szCs w:val="22"/>
          <w:rFonts w:cs="Arial"/>
        </w:rPr>
      </w:pPr>
      <w:r>
        <w:rPr>
          <w:sz w:val="22"/>
        </w:rPr>
        <w:t xml:space="preserve">b1.</w:t>
      </w:r>
      <w:r>
        <w:rPr>
          <w:sz w:val="22"/>
        </w:rPr>
        <w:tab/>
      </w:r>
      <w:r>
        <w:rPr>
          <w:sz w:val="22"/>
        </w:rPr>
        <w:t xml:space="preserve">Ten minste 0,5 % van de voertuigen in hun eigen wagenpark dient in staat te zijn om niet-bestuurders in rolstoelen te vervoeren.</w:t>
      </w:r>
      <w:r>
        <w:rPr>
          <w:sz w:val="22"/>
        </w:rPr>
        <w:t xml:space="preserve"> </w:t>
      </w:r>
    </w:p>
    <w:p w14:paraId="1A4E7542" w14:textId="77777777" w:rsidR="00E526B5" w:rsidRPr="000F0A63" w:rsidRDefault="00E526B5" w:rsidP="000F4434">
      <w:pPr>
        <w:keepNext/>
        <w:numPr>
          <w:ilvl w:val="0"/>
          <w:numId w:val="31"/>
        </w:numPr>
        <w:tabs>
          <w:tab w:val="left" w:pos="284"/>
        </w:tabs>
        <w:ind w:left="0" w:firstLine="0"/>
        <w:jc w:val="both"/>
        <w:rPr>
          <w:sz w:val="22"/>
          <w:szCs w:val="22"/>
          <w:rFonts w:cs="Arial"/>
        </w:rPr>
      </w:pPr>
      <w:r>
        <w:rPr>
          <w:sz w:val="22"/>
        </w:rPr>
        <w:t xml:space="preserve">6 jaar na de inwerkingtreding van deze wet:</w:t>
      </w:r>
      <w:r>
        <w:rPr>
          <w:sz w:val="22"/>
        </w:rPr>
        <w:t xml:space="preserve"> </w:t>
      </w:r>
    </w:p>
    <w:p w14:paraId="4EF5184D" w14:textId="39EC3E47" w:rsidR="00E526B5" w:rsidRPr="000F0A63" w:rsidRDefault="00E526B5" w:rsidP="00B670F2">
      <w:pPr>
        <w:widowControl w:val="0"/>
        <w:tabs>
          <w:tab w:val="left" w:pos="426"/>
        </w:tabs>
        <w:jc w:val="both"/>
        <w:rPr>
          <w:sz w:val="22"/>
          <w:szCs w:val="22"/>
          <w:rFonts w:cs="Arial"/>
        </w:rPr>
      </w:pPr>
      <w:r>
        <w:rPr>
          <w:sz w:val="22"/>
        </w:rPr>
        <w:t xml:space="preserve">c1.</w:t>
      </w:r>
      <w:r>
        <w:rPr>
          <w:sz w:val="22"/>
        </w:rPr>
        <w:tab/>
      </w:r>
      <w:r>
        <w:rPr>
          <w:sz w:val="22"/>
        </w:rPr>
        <w:t xml:space="preserve">Ten minste 2 % van de voertuigen in hun eigen wagenpark dient in staat te zijn om niet-bestuurders in rolstoelen te vervoeren.</w:t>
      </w:r>
    </w:p>
    <w:p w14:paraId="2BB22C13" w14:textId="169DA298" w:rsidR="00E526B5" w:rsidRPr="000F0A63" w:rsidRDefault="00E526B5" w:rsidP="00B670F2">
      <w:pPr>
        <w:widowControl w:val="0"/>
        <w:tabs>
          <w:tab w:val="left" w:pos="426"/>
        </w:tabs>
        <w:jc w:val="both"/>
        <w:rPr>
          <w:sz w:val="22"/>
          <w:szCs w:val="22"/>
          <w:rFonts w:cs="Arial"/>
        </w:rPr>
      </w:pPr>
      <w:r>
        <w:rPr>
          <w:sz w:val="22"/>
        </w:rPr>
        <w:t xml:space="preserve">c2.</w:t>
      </w:r>
      <w:r>
        <w:rPr>
          <w:sz w:val="22"/>
        </w:rPr>
        <w:tab/>
      </w:r>
      <w:r>
        <w:rPr>
          <w:sz w:val="22"/>
        </w:rPr>
        <w:t xml:space="preserve">Ten minste 0,5 % van de voertuigen in hun eigen wagenpark dient te worden aangepast aan bestuurders met beperkte mobiliteit.</w:t>
      </w:r>
      <w:r>
        <w:rPr>
          <w:sz w:val="22"/>
        </w:rPr>
        <w:t xml:space="preserve"> </w:t>
      </w:r>
    </w:p>
    <w:p w14:paraId="6D51902B" w14:textId="77777777" w:rsidR="00E526B5" w:rsidRPr="000F0A63" w:rsidRDefault="00E526B5" w:rsidP="00E526B5">
      <w:pPr>
        <w:tabs>
          <w:tab w:val="left" w:pos="284"/>
        </w:tabs>
        <w:jc w:val="both"/>
        <w:rPr>
          <w:rFonts w:cs="Arial"/>
          <w:sz w:val="22"/>
          <w:szCs w:val="22"/>
          <w:lang w:val="es-ES"/>
        </w:rPr>
      </w:pPr>
    </w:p>
    <w:p w14:paraId="6D14B575"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1" w:name="_Ref505095784"/>
      <w:r>
        <w:rPr>
          <w:sz w:val="22"/>
        </w:rPr>
        <w:t xml:space="preserve">Diensten in verband met toeristische accommodaties</w:t>
      </w:r>
      <w:bookmarkEnd w:id="11"/>
      <w:r>
        <w:rPr>
          <w:sz w:val="22"/>
        </w:rPr>
        <w:t xml:space="preserve"> </w:t>
      </w:r>
    </w:p>
    <w:p w14:paraId="4E8242D0" w14:textId="77777777" w:rsidR="00E526B5" w:rsidRPr="000F0A63" w:rsidRDefault="00E526B5" w:rsidP="00E526B5">
      <w:pPr>
        <w:tabs>
          <w:tab w:val="left" w:pos="284"/>
        </w:tabs>
        <w:jc w:val="both"/>
        <w:rPr>
          <w:bCs/>
          <w:sz w:val="22"/>
          <w:szCs w:val="22"/>
          <w:rFonts w:cs="Arial"/>
        </w:rPr>
      </w:pPr>
      <w:r>
        <w:rPr>
          <w:sz w:val="22"/>
        </w:rPr>
        <w:t xml:space="preserve">De volgende uiterste termijnen worden zo vastgesteld dat de websites en mobiele applicaties van hotelketens en -inrichtingen met een capaciteit van meer dan 100 kamers, die het boeken van accommodatie en online diensten mogelijk maken, toegankelijk kunnen zijn en voldoen aan de voorwaarden van artikel 130:</w:t>
      </w:r>
    </w:p>
    <w:p w14:paraId="764A0265"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2 jaar na de inwerkingtreding van deze wet:</w:t>
      </w:r>
    </w:p>
    <w:p w14:paraId="104ADEEC" w14:textId="77777777" w:rsidR="00E526B5" w:rsidRPr="000F0A63" w:rsidRDefault="00E526B5" w:rsidP="000F4434">
      <w:pPr>
        <w:numPr>
          <w:ilvl w:val="0"/>
          <w:numId w:val="43"/>
        </w:numPr>
        <w:tabs>
          <w:tab w:val="clear" w:pos="1440"/>
          <w:tab w:val="num" w:pos="567"/>
        </w:tabs>
        <w:ind w:left="0" w:firstLine="0"/>
        <w:jc w:val="both"/>
        <w:rPr>
          <w:bCs/>
          <w:iCs/>
          <w:sz w:val="22"/>
          <w:szCs w:val="22"/>
          <w:rFonts w:cs="Arial"/>
        </w:rPr>
      </w:pPr>
      <w:r>
        <w:rPr>
          <w:sz w:val="22"/>
        </w:rPr>
        <w:t xml:space="preserve">websites en mobiele applicaties van hotelketens met 5 of meer vestigingen en een gezamenlijk aanbod van meer dan 500 kamers.</w:t>
      </w:r>
    </w:p>
    <w:p w14:paraId="2356AB86"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3 jaar na de inwerkingtreding van deze wet:</w:t>
      </w:r>
    </w:p>
    <w:p w14:paraId="4EFEF877"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websites en mobiele applicaties van hotelketens met maximaal 4 vestigingen en een gezamenlijk aanbod van meer dan 500 kamers.</w:t>
      </w:r>
    </w:p>
    <w:p w14:paraId="268EBD55"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websites en mobiele applicaties van vestigingen met 500 of meer kamers.</w:t>
      </w:r>
    </w:p>
    <w:p w14:paraId="4D022006" w14:textId="77777777" w:rsidR="00E526B5" w:rsidRPr="000F0A63" w:rsidRDefault="00E526B5" w:rsidP="000F4434">
      <w:pPr>
        <w:numPr>
          <w:ilvl w:val="0"/>
          <w:numId w:val="42"/>
        </w:numPr>
        <w:tabs>
          <w:tab w:val="left" w:pos="284"/>
        </w:tabs>
        <w:ind w:left="0" w:firstLine="0"/>
        <w:jc w:val="both"/>
        <w:rPr>
          <w:sz w:val="22"/>
          <w:szCs w:val="22"/>
          <w:rFonts w:cs="Arial"/>
        </w:rPr>
      </w:pPr>
      <w:r>
        <w:rPr>
          <w:sz w:val="22"/>
        </w:rPr>
        <w:t xml:space="preserve">4 jaar na de inwerkingtreding van deze wet:</w:t>
      </w:r>
    </w:p>
    <w:p w14:paraId="65935E38" w14:textId="77777777" w:rsidR="00E526B5" w:rsidRPr="000F0A63" w:rsidRDefault="00E526B5" w:rsidP="000F4434">
      <w:pPr>
        <w:numPr>
          <w:ilvl w:val="0"/>
          <w:numId w:val="45"/>
        </w:numPr>
        <w:tabs>
          <w:tab w:val="left" w:pos="567"/>
        </w:tabs>
        <w:ind w:left="0" w:firstLine="0"/>
        <w:jc w:val="both"/>
        <w:rPr>
          <w:bCs/>
          <w:iCs/>
          <w:sz w:val="22"/>
          <w:szCs w:val="22"/>
          <w:rFonts w:cs="Arial"/>
        </w:rPr>
      </w:pPr>
      <w:r>
        <w:rPr>
          <w:sz w:val="22"/>
        </w:rPr>
        <w:t xml:space="preserve">websites en mobiele applicaties van hotelketens met een gezamenlijk aanbod van tussen de 100 en 500 kamers.</w:t>
      </w:r>
    </w:p>
    <w:p w14:paraId="61927497" w14:textId="77777777" w:rsidR="00E526B5" w:rsidRPr="000F0A63" w:rsidRDefault="00E526B5" w:rsidP="000F4434">
      <w:pPr>
        <w:numPr>
          <w:ilvl w:val="0"/>
          <w:numId w:val="45"/>
        </w:numPr>
        <w:tabs>
          <w:tab w:val="left" w:pos="284"/>
          <w:tab w:val="left" w:pos="567"/>
        </w:tabs>
        <w:ind w:left="0" w:firstLine="0"/>
        <w:jc w:val="both"/>
        <w:rPr>
          <w:bCs/>
          <w:iCs/>
          <w:sz w:val="22"/>
          <w:szCs w:val="22"/>
          <w:rFonts w:cs="Arial"/>
        </w:rPr>
      </w:pPr>
      <w:r>
        <w:rPr>
          <w:sz w:val="22"/>
        </w:rPr>
        <w:t xml:space="preserve">Websites en applicaties voor mobiele apparaten van bedrijven met tussen de 50 en 500 kamers.</w:t>
      </w:r>
    </w:p>
    <w:p w14:paraId="4A8FB46C" w14:textId="77777777" w:rsidR="00E526B5" w:rsidRPr="000F0A63" w:rsidRDefault="00E526B5" w:rsidP="00E526B5">
      <w:pPr>
        <w:tabs>
          <w:tab w:val="left" w:pos="284"/>
        </w:tabs>
        <w:jc w:val="both"/>
        <w:rPr>
          <w:rFonts w:cs="Arial"/>
          <w:bCs/>
          <w:iCs/>
          <w:sz w:val="22"/>
          <w:szCs w:val="22"/>
          <w:lang w:val="es-ES" w:eastAsia="x-none"/>
        </w:rPr>
      </w:pPr>
    </w:p>
    <w:p w14:paraId="06097ED6"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12" w:name="_Ref63848315"/>
      <w:r>
        <w:rPr>
          <w:sz w:val="22"/>
        </w:rPr>
        <w:t xml:space="preserve">Onderwijsdiensten</w:t>
      </w:r>
      <w:bookmarkEnd w:id="12"/>
    </w:p>
    <w:p w14:paraId="355384ED" w14:textId="77777777" w:rsidR="00E526B5" w:rsidRPr="000F0A63" w:rsidRDefault="00E526B5" w:rsidP="00E526B5">
      <w:pPr>
        <w:tabs>
          <w:tab w:val="left" w:pos="284"/>
        </w:tabs>
        <w:jc w:val="both"/>
        <w:rPr>
          <w:bCs/>
          <w:sz w:val="22"/>
          <w:szCs w:val="22"/>
          <w:rFonts w:cs="Arial"/>
        </w:rPr>
      </w:pPr>
      <w:r>
        <w:rPr>
          <w:sz w:val="22"/>
        </w:rPr>
        <w:t xml:space="preserve">De volgende uiterste termijnen worden vastgesteld zodat de websites en mobiele applicaties van onderwijsinstellingen die formeel onderwijs verstrekken, toegankelijk kunnen zijn en voldoen aan de voorwaarden van artikel 135:</w:t>
      </w:r>
    </w:p>
    <w:p w14:paraId="601F3FE1"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2 jaar na de inwerkingtreding van deze wet:</w:t>
      </w:r>
    </w:p>
    <w:p w14:paraId="29E27507" w14:textId="77777777" w:rsidR="00E526B5" w:rsidRPr="000F0A63" w:rsidRDefault="00E526B5" w:rsidP="000F4434">
      <w:pPr>
        <w:numPr>
          <w:ilvl w:val="0"/>
          <w:numId w:val="47"/>
        </w:numPr>
        <w:tabs>
          <w:tab w:val="clear" w:pos="1440"/>
          <w:tab w:val="num" w:pos="567"/>
        </w:tabs>
        <w:ind w:left="0" w:firstLine="0"/>
        <w:jc w:val="both"/>
        <w:rPr>
          <w:bCs/>
          <w:iCs/>
          <w:sz w:val="22"/>
          <w:szCs w:val="22"/>
          <w:rFonts w:cs="Arial"/>
        </w:rPr>
      </w:pPr>
      <w:r>
        <w:rPr>
          <w:sz w:val="22"/>
        </w:rPr>
        <w:t xml:space="preserve">webpagina’s en applicaties voor mobiele apparaten die het zoeken naar academische gegevens, factuurbeheer of andere online processen mogelijk maken.</w:t>
      </w:r>
    </w:p>
    <w:p w14:paraId="6FB062A9"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3 jaar na de inwerkingtreding van deze wet:</w:t>
      </w:r>
    </w:p>
    <w:p w14:paraId="5CC5D46B" w14:textId="77777777" w:rsidR="00E526B5" w:rsidRPr="000F0A63" w:rsidRDefault="00E526B5" w:rsidP="000F4434">
      <w:pPr>
        <w:numPr>
          <w:ilvl w:val="0"/>
          <w:numId w:val="48"/>
        </w:numPr>
        <w:tabs>
          <w:tab w:val="clear" w:pos="1440"/>
          <w:tab w:val="num" w:pos="567"/>
        </w:tabs>
        <w:ind w:left="0" w:firstLine="0"/>
        <w:jc w:val="both"/>
        <w:rPr>
          <w:bCs/>
          <w:sz w:val="22"/>
          <w:szCs w:val="22"/>
          <w:rFonts w:cs="Arial"/>
        </w:rPr>
      </w:pPr>
      <w:r>
        <w:rPr>
          <w:sz w:val="22"/>
        </w:rPr>
        <w:t xml:space="preserve">websites en applicaties voor mobiele apparaten die informatie geven over de school, de faciliteiten en het onderwijsaanbod.</w:t>
      </w:r>
    </w:p>
    <w:p w14:paraId="2C7303C9" w14:textId="77777777" w:rsidR="00E526B5" w:rsidRPr="000F0A63" w:rsidRDefault="00E526B5" w:rsidP="00E526B5">
      <w:pPr>
        <w:tabs>
          <w:tab w:val="left" w:pos="284"/>
        </w:tabs>
        <w:jc w:val="both"/>
        <w:rPr>
          <w:rFonts w:cs="Arial"/>
          <w:bCs/>
          <w:sz w:val="22"/>
          <w:szCs w:val="22"/>
          <w:lang w:val="es-ES"/>
        </w:rPr>
      </w:pPr>
    </w:p>
    <w:p w14:paraId="5364F39C"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r>
        <w:rPr>
          <w:sz w:val="22"/>
        </w:rPr>
        <w:t xml:space="preserve">Gezondheidsdiensten</w:t>
      </w:r>
    </w:p>
    <w:p w14:paraId="62E28D59" w14:textId="77777777" w:rsidR="00E526B5" w:rsidRPr="000F0A63" w:rsidRDefault="00E526B5" w:rsidP="00E526B5">
      <w:pPr>
        <w:tabs>
          <w:tab w:val="left" w:pos="284"/>
        </w:tabs>
        <w:jc w:val="both"/>
        <w:rPr>
          <w:bCs/>
          <w:sz w:val="22"/>
          <w:szCs w:val="22"/>
          <w:rFonts w:cs="Arial"/>
        </w:rPr>
      </w:pPr>
      <w:r>
        <w:rPr>
          <w:sz w:val="22"/>
        </w:rPr>
        <w:t xml:space="preserve">Gezondheidscentra met een aantal bedden gelijk aan of groter dan 50 dienen te voldoen aan de volgende termijnen en voorwaarden:</w:t>
      </w:r>
      <w:r>
        <w:rPr>
          <w:sz w:val="22"/>
        </w:rPr>
        <w:t xml:space="preserve"> </w:t>
      </w:r>
    </w:p>
    <w:p w14:paraId="28557BD4" w14:textId="77777777" w:rsidR="00E526B5" w:rsidRPr="000F0A63" w:rsidRDefault="00E526B5" w:rsidP="000F4434">
      <w:pPr>
        <w:numPr>
          <w:ilvl w:val="0"/>
          <w:numId w:val="49"/>
        </w:numPr>
        <w:tabs>
          <w:tab w:val="left" w:pos="284"/>
        </w:tabs>
        <w:ind w:left="0" w:firstLine="0"/>
        <w:jc w:val="both"/>
        <w:rPr>
          <w:bCs/>
          <w:iCs/>
          <w:sz w:val="22"/>
          <w:szCs w:val="22"/>
          <w:rFonts w:cs="Arial"/>
        </w:rPr>
      </w:pPr>
      <w:r>
        <w:rPr>
          <w:sz w:val="22"/>
        </w:rPr>
        <w:t xml:space="preserve">3 jaar na de inwerkingtreding van deze wet:</w:t>
      </w:r>
    </w:p>
    <w:p w14:paraId="727C4E74" w14:textId="77777777" w:rsidR="00E526B5" w:rsidRPr="000F0A63" w:rsidRDefault="00E526B5" w:rsidP="00E526B5">
      <w:pPr>
        <w:tabs>
          <w:tab w:val="left" w:pos="284"/>
        </w:tabs>
        <w:jc w:val="both"/>
        <w:rPr>
          <w:sz w:val="22"/>
          <w:szCs w:val="22"/>
          <w:rFonts w:cs="Arial"/>
        </w:rPr>
      </w:pPr>
      <w:r>
        <w:rPr>
          <w:sz w:val="22"/>
        </w:rPr>
        <w:t xml:space="preserve">beschikken over infrastructuur, mobiele apparaten en protocollen om doven te helpen via Catalaanse gebarentaal door middel van vertolkingstechnologie op afstand, met een capaciteit van niet minder dan 2 % van de bedden.</w:t>
      </w:r>
    </w:p>
    <w:p w14:paraId="3ECFE7A1" w14:textId="77777777" w:rsidR="00E526B5" w:rsidRPr="00CC0ADF" w:rsidRDefault="00E526B5">
      <w:pPr>
        <w:rPr>
          <w:lang w:val="es-ES"/>
        </w:rPr>
      </w:pPr>
    </w:p>
    <w:sectPr w:rsidR="00E526B5" w:rsidRPr="00CC0A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6F3"/>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01E2605A"/>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 w15:restartNumberingAfterBreak="0">
    <w:nsid w:val="06A33B58"/>
    <w:multiLevelType w:val="multilevel"/>
    <w:tmpl w:val="E1D402DA"/>
    <w:lvl w:ilvl="0">
      <w:start w:val="130"/>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3B4DF6"/>
    <w:multiLevelType w:val="multilevel"/>
    <w:tmpl w:val="1D50C8A4"/>
    <w:lvl w:ilvl="0">
      <w:start w:val="126"/>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3D921D0"/>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15:restartNumberingAfterBreak="0">
    <w:nsid w:val="18EC5445"/>
    <w:multiLevelType w:val="multilevel"/>
    <w:tmpl w:val="23D628B2"/>
    <w:lvl w:ilvl="0">
      <w:start w:val="13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AC23A12"/>
    <w:multiLevelType w:val="hybridMultilevel"/>
    <w:tmpl w:val="CC961E28"/>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7" w15:restartNumberingAfterBreak="0">
    <w:nsid w:val="215D326C"/>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60598B"/>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834F6A"/>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0" w15:restartNumberingAfterBreak="0">
    <w:nsid w:val="27BA5079"/>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8946E26"/>
    <w:multiLevelType w:val="multilevel"/>
    <w:tmpl w:val="131C83AE"/>
    <w:lvl w:ilvl="0">
      <w:start w:val="135"/>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C573874"/>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15:restartNumberingAfterBreak="0">
    <w:nsid w:val="2CA0323F"/>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14" w15:restartNumberingAfterBreak="0">
    <w:nsid w:val="2CAE52EE"/>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2D2E0181"/>
    <w:multiLevelType w:val="hybridMultilevel"/>
    <w:tmpl w:val="4B2EB646"/>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A1DDB"/>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7" w15:restartNumberingAfterBreak="0">
    <w:nsid w:val="324416A9"/>
    <w:multiLevelType w:val="multilevel"/>
    <w:tmpl w:val="329032A2"/>
    <w:lvl w:ilvl="0">
      <w:start w:val="134"/>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3544EB2"/>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9" w15:restartNumberingAfterBreak="0">
    <w:nsid w:val="36B90793"/>
    <w:multiLevelType w:val="multilevel"/>
    <w:tmpl w:val="C7549A48"/>
    <w:lvl w:ilvl="0">
      <w:start w:val="1"/>
      <w:numFmt w:val="lowerLetter"/>
      <w:lvlText w:val="%1)"/>
      <w:lvlJc w:val="left"/>
      <w:pPr>
        <w:tabs>
          <w:tab w:val="num" w:pos="372"/>
        </w:tabs>
        <w:ind w:left="1080" w:hanging="360"/>
      </w:pPr>
      <w:rPr>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E92ABC"/>
    <w:multiLevelType w:val="multilevel"/>
    <w:tmpl w:val="D00CEA98"/>
    <w:lvl w:ilvl="0">
      <w:start w:val="1"/>
      <w:numFmt w:val="decimal"/>
      <w:lvlText w:val="%1."/>
      <w:lvlJc w:val="left"/>
      <w:pPr>
        <w:ind w:left="360" w:hanging="360"/>
      </w:pPr>
      <w:rPr>
        <w:rFonts w:hint="default"/>
        <w:b w:val="0"/>
        <w:sz w:val="22"/>
        <w:szCs w:val="22"/>
      </w:rPr>
    </w:lvl>
    <w:lvl w:ilvl="1">
      <w:start w:val="1"/>
      <w:numFmt w:val="decimal"/>
      <w:lvlText w:val="%1.%2."/>
      <w:lvlJc w:val="left"/>
      <w:pPr>
        <w:ind w:left="1218" w:hanging="792"/>
      </w:pPr>
      <w:rPr>
        <w:rFonts w:hint="default"/>
        <w:b/>
        <w:i w:val="0"/>
        <w:sz w:val="22"/>
      </w:rPr>
    </w:lvl>
    <w:lvl w:ilvl="2">
      <w:start w:val="1"/>
      <w:numFmt w:val="decimal"/>
      <w:lvlText w:val="%1.%2.%3."/>
      <w:lvlJc w:val="left"/>
      <w:pPr>
        <w:ind w:left="1224" w:hanging="1224"/>
      </w:pPr>
      <w:rPr>
        <w:rFonts w:hint="default"/>
        <w:b/>
        <w:strike w:val="0"/>
        <w:dstrike w:val="0"/>
        <w:sz w:val="22"/>
        <w:szCs w:val="22"/>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401BDB"/>
    <w:multiLevelType w:val="multilevel"/>
    <w:tmpl w:val="7CDC686E"/>
    <w:lvl w:ilvl="0">
      <w:start w:val="1"/>
      <w:numFmt w:val="lowerLetter"/>
      <w:lvlText w:val="%1)"/>
      <w:lvlJc w:val="left"/>
      <w:pPr>
        <w:tabs>
          <w:tab w:val="num" w:pos="-168"/>
        </w:tabs>
        <w:ind w:left="540" w:hanging="360"/>
      </w:pPr>
    </w:lvl>
    <w:lvl w:ilvl="1">
      <w:start w:val="1"/>
      <w:numFmt w:val="lowerLetter"/>
      <w:lvlText w:val="%2)"/>
      <w:lvlJc w:val="left"/>
      <w:pPr>
        <w:tabs>
          <w:tab w:val="num" w:pos="360"/>
        </w:tabs>
        <w:ind w:left="360" w:hanging="360"/>
      </w:pPr>
      <w:rPr>
        <w:rFonts w:ascii="Arial" w:hAnsi="Arial" w:cs="Arial" w:hint="default"/>
      </w:rPr>
    </w:lvl>
    <w:lvl w:ilvl="2">
      <w:start w:val="1"/>
      <w:numFmt w:val="lowerRoman"/>
      <w:lvlText w:val="%3)"/>
      <w:lvlJc w:val="left"/>
      <w:pPr>
        <w:tabs>
          <w:tab w:val="num" w:pos="540"/>
        </w:tabs>
        <w:ind w:left="54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260"/>
        </w:tabs>
        <w:ind w:left="1260" w:hanging="360"/>
      </w:pPr>
    </w:lvl>
    <w:lvl w:ilvl="5">
      <w:start w:val="1"/>
      <w:numFmt w:val="lowerRoman"/>
      <w:lvlText w:val="(%6)"/>
      <w:lvlJc w:val="left"/>
      <w:pPr>
        <w:tabs>
          <w:tab w:val="num" w:pos="1620"/>
        </w:tabs>
        <w:ind w:left="1620" w:hanging="360"/>
      </w:pPr>
    </w:lvl>
    <w:lvl w:ilvl="6">
      <w:start w:val="1"/>
      <w:numFmt w:val="decimal"/>
      <w:lvlText w:val="%7."/>
      <w:lvlJc w:val="left"/>
      <w:pPr>
        <w:tabs>
          <w:tab w:val="num" w:pos="1980"/>
        </w:tabs>
        <w:ind w:left="1980" w:hanging="360"/>
      </w:pPr>
      <w:rPr>
        <w:i w:val="0"/>
        <w:color w:val="auto"/>
      </w:rPr>
    </w:lvl>
    <w:lvl w:ilvl="7">
      <w:start w:val="1"/>
      <w:numFmt w:val="lowerLetter"/>
      <w:lvlText w:val="%8."/>
      <w:lvlJc w:val="left"/>
      <w:pPr>
        <w:tabs>
          <w:tab w:val="num" w:pos="2340"/>
        </w:tabs>
        <w:ind w:left="2340" w:hanging="360"/>
      </w:pPr>
    </w:lvl>
    <w:lvl w:ilvl="8">
      <w:start w:val="1"/>
      <w:numFmt w:val="lowerRoman"/>
      <w:lvlText w:val="%9."/>
      <w:lvlJc w:val="left"/>
      <w:pPr>
        <w:tabs>
          <w:tab w:val="num" w:pos="2700"/>
        </w:tabs>
        <w:ind w:left="2700" w:hanging="360"/>
      </w:pPr>
    </w:lvl>
  </w:abstractNum>
  <w:abstractNum w:abstractNumId="22" w15:restartNumberingAfterBreak="0">
    <w:nsid w:val="3AC73415"/>
    <w:multiLevelType w:val="multilevel"/>
    <w:tmpl w:val="9EA805DC"/>
    <w:lvl w:ilvl="0">
      <w:start w:val="1"/>
      <w:numFmt w:val="upperLetter"/>
      <w:pStyle w:val="Heading1"/>
      <w:lvlText w:val="%1"/>
      <w:lvlJc w:val="left"/>
      <w:pPr>
        <w:tabs>
          <w:tab w:val="num" w:pos="3411"/>
        </w:tabs>
        <w:ind w:left="3411" w:hanging="432"/>
      </w:pPr>
      <w:rPr>
        <w:rFonts w:hint="default"/>
      </w:rPr>
    </w:lvl>
    <w:lvl w:ilvl="1">
      <w:start w:val="1"/>
      <w:numFmt w:val="decimal"/>
      <w:pStyle w:val="Heading2"/>
      <w:lvlText w:val="%1.%2"/>
      <w:lvlJc w:val="left"/>
      <w:pPr>
        <w:tabs>
          <w:tab w:val="num" w:pos="3555"/>
        </w:tabs>
        <w:ind w:left="3555" w:hanging="576"/>
      </w:pPr>
      <w:rPr>
        <w:rFonts w:hint="default"/>
      </w:rPr>
    </w:lvl>
    <w:lvl w:ilvl="2">
      <w:start w:val="1"/>
      <w:numFmt w:val="decimal"/>
      <w:pStyle w:val="Heading3"/>
      <w:lvlText w:val="Artículo %3."/>
      <w:lvlJc w:val="left"/>
      <w:pPr>
        <w:tabs>
          <w:tab w:val="num" w:pos="4692"/>
        </w:tabs>
        <w:ind w:left="4692" w:hanging="720"/>
      </w:pPr>
      <w:rPr>
        <w:rFonts w:hint="default"/>
        <w:b w:val="0"/>
        <w:strike w:val="0"/>
        <w:color w:val="auto"/>
        <w:sz w:val="22"/>
        <w:szCs w:val="22"/>
      </w:rPr>
    </w:lvl>
    <w:lvl w:ilvl="3">
      <w:start w:val="1"/>
      <w:numFmt w:val="decimal"/>
      <w:pStyle w:val="Heading4"/>
      <w:lvlText w:val="%3.%4"/>
      <w:lvlJc w:val="left"/>
      <w:pPr>
        <w:tabs>
          <w:tab w:val="num" w:pos="4269"/>
        </w:tabs>
        <w:ind w:left="4269" w:hanging="864"/>
      </w:pPr>
      <w:rPr>
        <w:rFonts w:ascii="Arial" w:hAnsi="Arial" w:cs="Arial" w:hint="default"/>
        <w:b w:val="0"/>
        <w:i w:val="0"/>
        <w:strike w:val="0"/>
        <w:color w:val="auto"/>
        <w:sz w:val="22"/>
        <w:szCs w:val="22"/>
      </w:rPr>
    </w:lvl>
    <w:lvl w:ilvl="4">
      <w:start w:val="1"/>
      <w:numFmt w:val="decimal"/>
      <w:pStyle w:val="Heading5"/>
      <w:lvlText w:val="%1.%2.%3.%4.%5"/>
      <w:lvlJc w:val="left"/>
      <w:pPr>
        <w:tabs>
          <w:tab w:val="num" w:pos="3987"/>
        </w:tabs>
        <w:ind w:left="3987" w:hanging="1008"/>
      </w:pPr>
      <w:rPr>
        <w:rFonts w:hint="default"/>
      </w:rPr>
    </w:lvl>
    <w:lvl w:ilvl="5">
      <w:start w:val="1"/>
      <w:numFmt w:val="decimal"/>
      <w:pStyle w:val="Heading6"/>
      <w:lvlText w:val="%1.%2.%3.%4.%5.%6"/>
      <w:lvlJc w:val="left"/>
      <w:pPr>
        <w:tabs>
          <w:tab w:val="num" w:pos="4131"/>
        </w:tabs>
        <w:ind w:left="4131" w:hanging="1152"/>
      </w:pPr>
      <w:rPr>
        <w:rFonts w:hint="default"/>
      </w:rPr>
    </w:lvl>
    <w:lvl w:ilvl="6">
      <w:start w:val="1"/>
      <w:numFmt w:val="decimal"/>
      <w:pStyle w:val="Heading7"/>
      <w:lvlText w:val="%1.%2.%3.%4.%5.%6.%7"/>
      <w:lvlJc w:val="left"/>
      <w:pPr>
        <w:tabs>
          <w:tab w:val="num" w:pos="4275"/>
        </w:tabs>
        <w:ind w:left="4275" w:hanging="1296"/>
      </w:pPr>
      <w:rPr>
        <w:rFonts w:hint="default"/>
      </w:rPr>
    </w:lvl>
    <w:lvl w:ilvl="7">
      <w:start w:val="1"/>
      <w:numFmt w:val="decimal"/>
      <w:pStyle w:val="Heading8"/>
      <w:lvlText w:val="%1.%2.%3.%4.%5.%6.%7.%8"/>
      <w:lvlJc w:val="left"/>
      <w:pPr>
        <w:tabs>
          <w:tab w:val="num" w:pos="4419"/>
        </w:tabs>
        <w:ind w:left="4419" w:hanging="1440"/>
      </w:pPr>
      <w:rPr>
        <w:rFonts w:hint="default"/>
      </w:rPr>
    </w:lvl>
    <w:lvl w:ilvl="8">
      <w:start w:val="1"/>
      <w:numFmt w:val="decimal"/>
      <w:pStyle w:val="Heading9"/>
      <w:suff w:val="space"/>
      <w:lvlText w:val="Artículo%9."/>
      <w:lvlJc w:val="left"/>
      <w:pPr>
        <w:ind w:left="2979" w:firstLine="0"/>
      </w:pPr>
      <w:rPr>
        <w:rFonts w:hint="default"/>
        <w:sz w:val="22"/>
        <w:szCs w:val="22"/>
      </w:rPr>
    </w:lvl>
  </w:abstractNum>
  <w:abstractNum w:abstractNumId="23" w15:restartNumberingAfterBreak="0">
    <w:nsid w:val="40CD4004"/>
    <w:multiLevelType w:val="hybridMultilevel"/>
    <w:tmpl w:val="E4D09A10"/>
    <w:lvl w:ilvl="0" w:tplc="555049A8">
      <w:start w:val="1"/>
      <w:numFmt w:val="decimal"/>
      <w:lvlText w:val="c%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24" w15:restartNumberingAfterBreak="0">
    <w:nsid w:val="422C517C"/>
    <w:multiLevelType w:val="multilevel"/>
    <w:tmpl w:val="9D60F7D8"/>
    <w:lvl w:ilvl="0">
      <w:start w:val="197"/>
      <w:numFmt w:val="decimal"/>
      <w:lvlText w:val="%1"/>
      <w:lvlJc w:val="left"/>
      <w:pPr>
        <w:ind w:left="540" w:hanging="540"/>
      </w:pPr>
      <w:rPr>
        <w:rFonts w:hint="default"/>
      </w:rPr>
    </w:lvl>
    <w:lvl w:ilvl="1">
      <w:start w:val="3"/>
      <w:numFmt w:val="decimal"/>
      <w:lvlText w:val="%1.%2"/>
      <w:lvlJc w:val="left"/>
      <w:pPr>
        <w:ind w:left="3945" w:hanging="540"/>
      </w:pPr>
      <w:rPr>
        <w:rFonts w:hint="default"/>
      </w:rPr>
    </w:lvl>
    <w:lvl w:ilvl="2">
      <w:start w:val="1"/>
      <w:numFmt w:val="decimal"/>
      <w:lvlText w:val="%1.%2.%3"/>
      <w:lvlJc w:val="left"/>
      <w:pPr>
        <w:ind w:left="7530" w:hanging="720"/>
      </w:pPr>
      <w:rPr>
        <w:rFonts w:hint="default"/>
      </w:rPr>
    </w:lvl>
    <w:lvl w:ilvl="3">
      <w:start w:val="1"/>
      <w:numFmt w:val="decimal"/>
      <w:lvlText w:val="%1.%2.%3.%4"/>
      <w:lvlJc w:val="left"/>
      <w:pPr>
        <w:ind w:left="10935" w:hanging="720"/>
      </w:pPr>
      <w:rPr>
        <w:rFonts w:hint="default"/>
      </w:rPr>
    </w:lvl>
    <w:lvl w:ilvl="4">
      <w:start w:val="1"/>
      <w:numFmt w:val="decimal"/>
      <w:lvlText w:val="%1.%2.%3.%4.%5"/>
      <w:lvlJc w:val="left"/>
      <w:pPr>
        <w:ind w:left="14700" w:hanging="1080"/>
      </w:pPr>
      <w:rPr>
        <w:rFonts w:hint="default"/>
      </w:rPr>
    </w:lvl>
    <w:lvl w:ilvl="5">
      <w:start w:val="1"/>
      <w:numFmt w:val="decimal"/>
      <w:lvlText w:val="%1.%2.%3.%4.%5.%6"/>
      <w:lvlJc w:val="left"/>
      <w:pPr>
        <w:ind w:left="18105" w:hanging="1080"/>
      </w:pPr>
      <w:rPr>
        <w:rFonts w:hint="default"/>
      </w:rPr>
    </w:lvl>
    <w:lvl w:ilvl="6">
      <w:start w:val="1"/>
      <w:numFmt w:val="decimal"/>
      <w:lvlText w:val="%1.%2.%3.%4.%5.%6.%7"/>
      <w:lvlJc w:val="left"/>
      <w:pPr>
        <w:ind w:left="21870" w:hanging="1440"/>
      </w:pPr>
      <w:rPr>
        <w:rFonts w:hint="default"/>
      </w:rPr>
    </w:lvl>
    <w:lvl w:ilvl="7">
      <w:start w:val="1"/>
      <w:numFmt w:val="decimal"/>
      <w:lvlText w:val="%1.%2.%3.%4.%5.%6.%7.%8"/>
      <w:lvlJc w:val="left"/>
      <w:pPr>
        <w:ind w:left="25275" w:hanging="1440"/>
      </w:pPr>
      <w:rPr>
        <w:rFonts w:hint="default"/>
      </w:rPr>
    </w:lvl>
    <w:lvl w:ilvl="8">
      <w:start w:val="1"/>
      <w:numFmt w:val="decimal"/>
      <w:lvlText w:val="%1.%2.%3.%4.%5.%6.%7.%8.%9"/>
      <w:lvlJc w:val="left"/>
      <w:pPr>
        <w:ind w:left="29040" w:hanging="1800"/>
      </w:pPr>
      <w:rPr>
        <w:rFonts w:hint="default"/>
      </w:rPr>
    </w:lvl>
  </w:abstractNum>
  <w:abstractNum w:abstractNumId="25" w15:restartNumberingAfterBreak="0">
    <w:nsid w:val="43030EC9"/>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26" w15:restartNumberingAfterBreak="0">
    <w:nsid w:val="452010D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7" w15:restartNumberingAfterBreak="0">
    <w:nsid w:val="45E0782C"/>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8" w15:restartNumberingAfterBreak="0">
    <w:nsid w:val="529F5C81"/>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9" w15:restartNumberingAfterBreak="0">
    <w:nsid w:val="55143B0E"/>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0" w15:restartNumberingAfterBreak="0">
    <w:nsid w:val="5D14104A"/>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31" w15:restartNumberingAfterBreak="0">
    <w:nsid w:val="5D4858AE"/>
    <w:multiLevelType w:val="multilevel"/>
    <w:tmpl w:val="A106E34C"/>
    <w:lvl w:ilvl="0">
      <w:start w:val="127"/>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ECE4537"/>
    <w:multiLevelType w:val="multilevel"/>
    <w:tmpl w:val="02560046"/>
    <w:lvl w:ilvl="0">
      <w:start w:val="119"/>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13915AA"/>
    <w:multiLevelType w:val="multilevel"/>
    <w:tmpl w:val="B344D3D6"/>
    <w:lvl w:ilvl="0">
      <w:start w:val="97"/>
      <w:numFmt w:val="decimal"/>
      <w:lvlText w:val="%1."/>
      <w:lvlJc w:val="left"/>
      <w:pPr>
        <w:ind w:left="480" w:hanging="48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1B11D9B"/>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5" w15:restartNumberingAfterBreak="0">
    <w:nsid w:val="66161688"/>
    <w:multiLevelType w:val="hybridMultilevel"/>
    <w:tmpl w:val="2718522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6842AE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7" w15:restartNumberingAfterBreak="0">
    <w:nsid w:val="67AC0D54"/>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38" w15:restartNumberingAfterBreak="0">
    <w:nsid w:val="6B101FD6"/>
    <w:multiLevelType w:val="multilevel"/>
    <w:tmpl w:val="363C2194"/>
    <w:lvl w:ilvl="0">
      <w:start w:val="1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A56EF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0" w15:restartNumberingAfterBreak="0">
    <w:nsid w:val="6ED4087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1" w15:restartNumberingAfterBreak="0">
    <w:nsid w:val="70663A9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2" w15:restartNumberingAfterBreak="0">
    <w:nsid w:val="72B145D2"/>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3" w15:restartNumberingAfterBreak="0">
    <w:nsid w:val="7333407D"/>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33E725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5" w15:restartNumberingAfterBreak="0">
    <w:nsid w:val="73AE2375"/>
    <w:multiLevelType w:val="hybridMultilevel"/>
    <w:tmpl w:val="168C4606"/>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54F3A8D"/>
    <w:multiLevelType w:val="multilevel"/>
    <w:tmpl w:val="C6369464"/>
    <w:lvl w:ilvl="0">
      <w:start w:val="133"/>
      <w:numFmt w:val="decimal"/>
      <w:lvlText w:val="%1"/>
      <w:lvlJc w:val="left"/>
      <w:pPr>
        <w:ind w:left="660" w:hanging="660"/>
      </w:pPr>
      <w:rPr>
        <w:rFonts w:hint="default"/>
      </w:rPr>
    </w:lvl>
    <w:lvl w:ilvl="1">
      <w:start w:val="15"/>
      <w:numFmt w:val="decimal"/>
      <w:lvlText w:val="%1.%2"/>
      <w:lvlJc w:val="left"/>
      <w:pPr>
        <w:ind w:left="1086" w:hanging="6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C923B88"/>
    <w:multiLevelType w:val="multilevel"/>
    <w:tmpl w:val="269A4CD6"/>
    <w:lvl w:ilvl="0">
      <w:start w:val="97"/>
      <w:numFmt w:val="decimal"/>
      <w:lvlText w:val="%1"/>
      <w:lvlJc w:val="left"/>
      <w:pPr>
        <w:ind w:left="540" w:hanging="540"/>
      </w:pPr>
      <w:rPr>
        <w:rFonts w:hint="default"/>
      </w:rPr>
    </w:lvl>
    <w:lvl w:ilvl="1">
      <w:start w:val="12"/>
      <w:numFmt w:val="decimal"/>
      <w:lvlText w:val="%1.%2"/>
      <w:lvlJc w:val="left"/>
      <w:pPr>
        <w:ind w:left="1818" w:hanging="54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48" w15:restartNumberingAfterBreak="0">
    <w:nsid w:val="7D405151"/>
    <w:multiLevelType w:val="hybridMultilevel"/>
    <w:tmpl w:val="6CD0DB8E"/>
    <w:lvl w:ilvl="0" w:tplc="818C5BC8">
      <w:start w:val="1"/>
      <w:numFmt w:val="decimal"/>
      <w:lvlText w:val="b%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7D7412B6"/>
    <w:multiLevelType w:val="hybridMultilevel"/>
    <w:tmpl w:val="10BC3C6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18202753">
    <w:abstractNumId w:val="22"/>
    <w:lvlOverride w:ilvl="0">
      <w:lvl w:ilvl="0">
        <w:start w:val="1"/>
        <w:numFmt w:val="upperLetter"/>
        <w:pStyle w:val="Heading1"/>
        <w:lvlText w:val="%1"/>
        <w:lvlJc w:val="left"/>
        <w:pPr>
          <w:tabs>
            <w:tab w:val="num" w:pos="3411"/>
          </w:tabs>
          <w:ind w:left="3411" w:hanging="432"/>
        </w:pPr>
        <w:rPr>
          <w:rFonts w:hint="default"/>
        </w:rPr>
      </w:lvl>
    </w:lvlOverride>
    <w:lvlOverride w:ilvl="1">
      <w:lvl w:ilvl="1">
        <w:start w:val="1"/>
        <w:numFmt w:val="decimal"/>
        <w:pStyle w:val="Heading2"/>
        <w:lvlText w:val="%1.%2"/>
        <w:lvlJc w:val="left"/>
        <w:pPr>
          <w:tabs>
            <w:tab w:val="num" w:pos="3555"/>
          </w:tabs>
          <w:ind w:left="3555" w:hanging="576"/>
        </w:pPr>
        <w:rPr>
          <w:rFonts w:hint="default"/>
        </w:rPr>
      </w:lvl>
    </w:lvlOverride>
    <w:lvlOverride w:ilvl="2">
      <w:lvl w:ilvl="2">
        <w:start w:val="1"/>
        <w:numFmt w:val="decimal"/>
        <w:pStyle w:val="Heading3"/>
        <w:lvlText w:val="Artículo %3."/>
        <w:lvlJc w:val="left"/>
        <w:pPr>
          <w:tabs>
            <w:tab w:val="num" w:pos="862"/>
          </w:tabs>
          <w:ind w:left="862" w:hanging="720"/>
        </w:pPr>
        <w:rPr>
          <w:rFonts w:ascii="Arial" w:hAnsi="Arial" w:hint="default"/>
          <w:b w:val="0"/>
          <w:i w:val="0"/>
          <w:strike w:val="0"/>
          <w:color w:val="auto"/>
          <w:sz w:val="22"/>
          <w:szCs w:val="22"/>
        </w:rPr>
      </w:lvl>
    </w:lvlOverride>
    <w:lvlOverride w:ilvl="3">
      <w:lvl w:ilvl="3">
        <w:start w:val="1"/>
        <w:numFmt w:val="decimal"/>
        <w:pStyle w:val="Heading4"/>
        <w:lvlText w:val="%3.%4"/>
        <w:lvlJc w:val="left"/>
        <w:pPr>
          <w:tabs>
            <w:tab w:val="num" w:pos="1290"/>
          </w:tabs>
          <w:ind w:left="1290" w:hanging="864"/>
        </w:pPr>
        <w:rPr>
          <w:rFonts w:ascii="Arial" w:hAnsi="Arial" w:cs="Arial" w:hint="default"/>
          <w:b w:val="0"/>
          <w:i w:val="0"/>
          <w:strike w:val="0"/>
          <w:color w:val="auto"/>
          <w:sz w:val="22"/>
          <w:szCs w:val="22"/>
        </w:rPr>
      </w:lvl>
    </w:lvlOverride>
    <w:lvlOverride w:ilvl="4">
      <w:lvl w:ilvl="4">
        <w:start w:val="1"/>
        <w:numFmt w:val="decimal"/>
        <w:pStyle w:val="Heading5"/>
        <w:lvlText w:val="%1.%2.%3.%4.%5"/>
        <w:lvlJc w:val="left"/>
        <w:pPr>
          <w:tabs>
            <w:tab w:val="num" w:pos="3987"/>
          </w:tabs>
          <w:ind w:left="3987" w:hanging="1008"/>
        </w:pPr>
        <w:rPr>
          <w:rFonts w:hint="default"/>
        </w:rPr>
      </w:lvl>
    </w:lvlOverride>
    <w:lvlOverride w:ilvl="5">
      <w:lvl w:ilvl="5">
        <w:start w:val="1"/>
        <w:numFmt w:val="decimal"/>
        <w:pStyle w:val="Heading6"/>
        <w:lvlText w:val="%1.%2.%3.%4.%5.%6"/>
        <w:lvlJc w:val="left"/>
        <w:pPr>
          <w:tabs>
            <w:tab w:val="num" w:pos="4131"/>
          </w:tabs>
          <w:ind w:left="4131" w:hanging="1152"/>
        </w:pPr>
        <w:rPr>
          <w:rFonts w:hint="default"/>
        </w:rPr>
      </w:lvl>
    </w:lvlOverride>
    <w:lvlOverride w:ilvl="6">
      <w:lvl w:ilvl="6">
        <w:start w:val="1"/>
        <w:numFmt w:val="decimal"/>
        <w:pStyle w:val="Heading7"/>
        <w:lvlText w:val="%1.%2.%3.%4.%5.%6.%7"/>
        <w:lvlJc w:val="left"/>
        <w:pPr>
          <w:tabs>
            <w:tab w:val="num" w:pos="4275"/>
          </w:tabs>
          <w:ind w:left="4275" w:hanging="1296"/>
        </w:pPr>
        <w:rPr>
          <w:rFonts w:hint="default"/>
        </w:rPr>
      </w:lvl>
    </w:lvlOverride>
    <w:lvlOverride w:ilvl="7">
      <w:lvl w:ilvl="7">
        <w:start w:val="1"/>
        <w:numFmt w:val="decimal"/>
        <w:pStyle w:val="Heading8"/>
        <w:lvlText w:val="%1.%2.%3.%4.%5.%6.%7.%8"/>
        <w:lvlJc w:val="left"/>
        <w:pPr>
          <w:tabs>
            <w:tab w:val="num" w:pos="4419"/>
          </w:tabs>
          <w:ind w:left="4419" w:hanging="1440"/>
        </w:pPr>
        <w:rPr>
          <w:rFonts w:hint="default"/>
        </w:rPr>
      </w:lvl>
    </w:lvlOverride>
    <w:lvlOverride w:ilvl="8">
      <w:lvl w:ilvl="8">
        <w:start w:val="1"/>
        <w:numFmt w:val="decimal"/>
        <w:pStyle w:val="Heading9"/>
        <w:suff w:val="space"/>
        <w:lvlText w:val="Artículo%9."/>
        <w:lvlJc w:val="left"/>
        <w:pPr>
          <w:ind w:left="2979" w:firstLine="0"/>
        </w:pPr>
        <w:rPr>
          <w:rFonts w:hint="default"/>
          <w:sz w:val="22"/>
          <w:szCs w:val="22"/>
        </w:rPr>
      </w:lvl>
    </w:lvlOverride>
  </w:num>
  <w:num w:numId="2" w16cid:durableId="718093796">
    <w:abstractNumId w:val="33"/>
  </w:num>
  <w:num w:numId="3" w16cid:durableId="583103481">
    <w:abstractNumId w:val="47"/>
  </w:num>
  <w:num w:numId="4" w16cid:durableId="270474763">
    <w:abstractNumId w:val="19"/>
  </w:num>
  <w:num w:numId="5" w16cid:durableId="919604255">
    <w:abstractNumId w:val="8"/>
  </w:num>
  <w:num w:numId="6" w16cid:durableId="695890123">
    <w:abstractNumId w:val="49"/>
  </w:num>
  <w:num w:numId="7" w16cid:durableId="1926382303">
    <w:abstractNumId w:val="7"/>
  </w:num>
  <w:num w:numId="8" w16cid:durableId="1009717288">
    <w:abstractNumId w:val="38"/>
  </w:num>
  <w:num w:numId="9" w16cid:durableId="1687365737">
    <w:abstractNumId w:val="32"/>
  </w:num>
  <w:num w:numId="10" w16cid:durableId="1113400361">
    <w:abstractNumId w:val="9"/>
  </w:num>
  <w:num w:numId="11" w16cid:durableId="1843080803">
    <w:abstractNumId w:val="3"/>
  </w:num>
  <w:num w:numId="12" w16cid:durableId="1537085568">
    <w:abstractNumId w:val="36"/>
  </w:num>
  <w:num w:numId="13" w16cid:durableId="917178159">
    <w:abstractNumId w:val="31"/>
  </w:num>
  <w:num w:numId="14" w16cid:durableId="1620529355">
    <w:abstractNumId w:val="34"/>
  </w:num>
  <w:num w:numId="15" w16cid:durableId="1476072087">
    <w:abstractNumId w:val="2"/>
  </w:num>
  <w:num w:numId="16" w16cid:durableId="1743017668">
    <w:abstractNumId w:val="42"/>
  </w:num>
  <w:num w:numId="17" w16cid:durableId="811026061">
    <w:abstractNumId w:val="46"/>
  </w:num>
  <w:num w:numId="18" w16cid:durableId="1956474413">
    <w:abstractNumId w:val="17"/>
  </w:num>
  <w:num w:numId="19" w16cid:durableId="256183655">
    <w:abstractNumId w:val="39"/>
  </w:num>
  <w:num w:numId="20" w16cid:durableId="390421390">
    <w:abstractNumId w:val="11"/>
  </w:num>
  <w:num w:numId="21" w16cid:durableId="373964347">
    <w:abstractNumId w:val="27"/>
  </w:num>
  <w:num w:numId="22" w16cid:durableId="521018600">
    <w:abstractNumId w:val="1"/>
  </w:num>
  <w:num w:numId="23" w16cid:durableId="1547259518">
    <w:abstractNumId w:val="5"/>
  </w:num>
  <w:num w:numId="24" w16cid:durableId="1823034120">
    <w:abstractNumId w:val="24"/>
  </w:num>
  <w:num w:numId="25" w16cid:durableId="187523253">
    <w:abstractNumId w:val="35"/>
  </w:num>
  <w:num w:numId="26" w16cid:durableId="1018315895">
    <w:abstractNumId w:val="21"/>
  </w:num>
  <w:num w:numId="27" w16cid:durableId="86314018">
    <w:abstractNumId w:val="15"/>
  </w:num>
  <w:num w:numId="28" w16cid:durableId="841817771">
    <w:abstractNumId w:val="20"/>
  </w:num>
  <w:num w:numId="29" w16cid:durableId="845435210">
    <w:abstractNumId w:val="44"/>
  </w:num>
  <w:num w:numId="30" w16cid:durableId="1216969531">
    <w:abstractNumId w:val="28"/>
  </w:num>
  <w:num w:numId="31" w16cid:durableId="1661931748">
    <w:abstractNumId w:val="6"/>
  </w:num>
  <w:num w:numId="32" w16cid:durableId="593899597">
    <w:abstractNumId w:val="0"/>
  </w:num>
  <w:num w:numId="33" w16cid:durableId="748118081">
    <w:abstractNumId w:val="16"/>
  </w:num>
  <w:num w:numId="34" w16cid:durableId="1750420613">
    <w:abstractNumId w:val="29"/>
  </w:num>
  <w:num w:numId="35" w16cid:durableId="1534805617">
    <w:abstractNumId w:val="13"/>
  </w:num>
  <w:num w:numId="36" w16cid:durableId="651521266">
    <w:abstractNumId w:val="40"/>
  </w:num>
  <w:num w:numId="37" w16cid:durableId="1129936482">
    <w:abstractNumId w:val="18"/>
  </w:num>
  <w:num w:numId="38" w16cid:durableId="1697923045">
    <w:abstractNumId w:val="30"/>
  </w:num>
  <w:num w:numId="39" w16cid:durableId="2129003545">
    <w:abstractNumId w:val="26"/>
  </w:num>
  <w:num w:numId="40" w16cid:durableId="1399785119">
    <w:abstractNumId w:val="45"/>
  </w:num>
  <w:num w:numId="41" w16cid:durableId="577634730">
    <w:abstractNumId w:val="37"/>
  </w:num>
  <w:num w:numId="42" w16cid:durableId="329721675">
    <w:abstractNumId w:val="14"/>
  </w:num>
  <w:num w:numId="43" w16cid:durableId="675576830">
    <w:abstractNumId w:val="43"/>
  </w:num>
  <w:num w:numId="44" w16cid:durableId="80835361">
    <w:abstractNumId w:val="41"/>
  </w:num>
  <w:num w:numId="45" w16cid:durableId="95253236">
    <w:abstractNumId w:val="25"/>
  </w:num>
  <w:num w:numId="46" w16cid:durableId="1550342143">
    <w:abstractNumId w:val="4"/>
  </w:num>
  <w:num w:numId="47" w16cid:durableId="566258002">
    <w:abstractNumId w:val="10"/>
  </w:num>
  <w:num w:numId="48" w16cid:durableId="1322854315">
    <w:abstractNumId w:val="48"/>
  </w:num>
  <w:num w:numId="49" w16cid:durableId="1916628148">
    <w:abstractNumId w:val="12"/>
  </w:num>
  <w:num w:numId="50" w16cid:durableId="2058579628">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DF"/>
    <w:rsid w:val="000B6FCF"/>
    <w:rsid w:val="000F4434"/>
    <w:rsid w:val="003920DF"/>
    <w:rsid w:val="005917F0"/>
    <w:rsid w:val="00B670F2"/>
    <w:rsid w:val="00CC0ADF"/>
    <w:rsid w:val="00CF1E0D"/>
    <w:rsid w:val="00E5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1693"/>
  <w15:chartTrackingRefBased/>
  <w15:docId w15:val="{8675E010-830B-4FAB-ACB8-2339C25E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ADF"/>
    <w:pPr>
      <w:spacing w:after="0" w:line="240" w:lineRule="auto"/>
    </w:pPr>
    <w:rPr>
      <w:rFonts w:ascii="Arial" w:eastAsia="Times New Roman" w:hAnsi="Arial" w:cs="Times New Roman"/>
      <w:kern w:val="0"/>
      <w:sz w:val="24"/>
      <w:szCs w:val="24"/>
      <w:lang w:eastAsia="ca-ES"/>
      <w14:ligatures w14:val="none"/>
    </w:rPr>
  </w:style>
  <w:style w:type="paragraph" w:styleId="Heading1">
    <w:name w:val="heading 1"/>
    <w:basedOn w:val="Normal"/>
    <w:next w:val="Normal"/>
    <w:link w:val="Heading1Char"/>
    <w:qFormat/>
    <w:rsid w:val="00CC0ADF"/>
    <w:pPr>
      <w:keepNext/>
      <w:numPr>
        <w:numId w:val="1"/>
      </w:numPr>
      <w:outlineLvl w:val="0"/>
    </w:pPr>
    <w:rPr>
      <w:b/>
      <w:bCs/>
      <w:caps/>
      <w:kern w:val="32"/>
      <w:sz w:val="28"/>
      <w:szCs w:val="32"/>
    </w:rPr>
  </w:style>
  <w:style w:type="paragraph" w:styleId="Heading2">
    <w:name w:val="heading 2"/>
    <w:basedOn w:val="Normal"/>
    <w:next w:val="Normal"/>
    <w:link w:val="Heading2Char"/>
    <w:qFormat/>
    <w:rsid w:val="00CC0ADF"/>
    <w:pPr>
      <w:keepNext/>
      <w:numPr>
        <w:ilvl w:val="1"/>
        <w:numId w:val="1"/>
      </w:numPr>
      <w:spacing w:before="240" w:after="60"/>
      <w:outlineLvl w:val="1"/>
    </w:pPr>
    <w:rPr>
      <w:b/>
      <w:bCs/>
      <w:iCs/>
      <w:szCs w:val="28"/>
    </w:rPr>
  </w:style>
  <w:style w:type="paragraph" w:styleId="Heading3">
    <w:name w:val="heading 3"/>
    <w:basedOn w:val="Normal"/>
    <w:next w:val="Normal"/>
    <w:link w:val="Heading3Char"/>
    <w:qFormat/>
    <w:rsid w:val="00CC0ADF"/>
    <w:pPr>
      <w:keepNext/>
      <w:numPr>
        <w:ilvl w:val="2"/>
        <w:numId w:val="1"/>
      </w:numPr>
      <w:tabs>
        <w:tab w:val="clear" w:pos="862"/>
        <w:tab w:val="num" w:pos="4692"/>
      </w:tabs>
      <w:spacing w:before="240" w:after="60"/>
      <w:ind w:left="4692"/>
      <w:outlineLvl w:val="2"/>
    </w:pPr>
    <w:rPr>
      <w:b/>
      <w:bCs/>
      <w:szCs w:val="26"/>
    </w:rPr>
  </w:style>
  <w:style w:type="paragraph" w:styleId="Heading4">
    <w:name w:val="heading 4"/>
    <w:basedOn w:val="Normal"/>
    <w:next w:val="Normal"/>
    <w:link w:val="Heading4Char"/>
    <w:qFormat/>
    <w:rsid w:val="00CC0ADF"/>
    <w:pPr>
      <w:keepNext/>
      <w:numPr>
        <w:ilvl w:val="3"/>
        <w:numId w:val="1"/>
      </w:numPr>
      <w:tabs>
        <w:tab w:val="clear" w:pos="1290"/>
        <w:tab w:val="num" w:pos="4269"/>
      </w:tabs>
      <w:spacing w:before="240" w:after="60"/>
      <w:ind w:left="4269"/>
      <w:outlineLvl w:val="3"/>
    </w:pPr>
    <w:rPr>
      <w:bCs/>
      <w:szCs w:val="28"/>
    </w:rPr>
  </w:style>
  <w:style w:type="paragraph" w:styleId="Heading5">
    <w:name w:val="heading 5"/>
    <w:basedOn w:val="Normal"/>
    <w:next w:val="Normal"/>
    <w:link w:val="Heading5Char"/>
    <w:qFormat/>
    <w:rsid w:val="00CC0ADF"/>
    <w:pPr>
      <w:numPr>
        <w:ilvl w:val="4"/>
        <w:numId w:val="1"/>
      </w:numPr>
      <w:spacing w:before="240" w:after="60"/>
      <w:outlineLvl w:val="4"/>
    </w:pPr>
    <w:rPr>
      <w:bCs/>
      <w:iCs/>
      <w:szCs w:val="26"/>
    </w:rPr>
  </w:style>
  <w:style w:type="paragraph" w:styleId="Heading6">
    <w:name w:val="heading 6"/>
    <w:basedOn w:val="Normal"/>
    <w:next w:val="Normal"/>
    <w:link w:val="Heading6Char"/>
    <w:qFormat/>
    <w:rsid w:val="00CC0ADF"/>
    <w:pPr>
      <w:numPr>
        <w:ilvl w:val="5"/>
        <w:numId w:val="1"/>
      </w:numPr>
      <w:spacing w:before="240" w:after="60"/>
      <w:outlineLvl w:val="5"/>
    </w:pPr>
    <w:rPr>
      <w:bCs/>
      <w:szCs w:val="22"/>
    </w:rPr>
  </w:style>
  <w:style w:type="paragraph" w:styleId="Heading7">
    <w:name w:val="heading 7"/>
    <w:basedOn w:val="Normal"/>
    <w:next w:val="Normal"/>
    <w:link w:val="Heading7Char"/>
    <w:qFormat/>
    <w:rsid w:val="00CC0ADF"/>
    <w:pPr>
      <w:numPr>
        <w:ilvl w:val="6"/>
        <w:numId w:val="1"/>
      </w:numPr>
      <w:spacing w:before="240" w:after="60"/>
      <w:outlineLvl w:val="6"/>
    </w:pPr>
  </w:style>
  <w:style w:type="paragraph" w:styleId="Heading8">
    <w:name w:val="heading 8"/>
    <w:basedOn w:val="Normal"/>
    <w:next w:val="Normal"/>
    <w:link w:val="Heading8Char"/>
    <w:qFormat/>
    <w:rsid w:val="00CC0ADF"/>
    <w:pPr>
      <w:numPr>
        <w:ilvl w:val="7"/>
        <w:numId w:val="1"/>
      </w:numPr>
      <w:spacing w:before="240" w:after="60"/>
      <w:outlineLvl w:val="7"/>
    </w:pPr>
    <w:rPr>
      <w:iCs/>
    </w:rPr>
  </w:style>
  <w:style w:type="paragraph" w:styleId="Heading9">
    <w:name w:val="heading 9"/>
    <w:basedOn w:val="Normal"/>
    <w:next w:val="Normal"/>
    <w:link w:val="Heading9Char"/>
    <w:qFormat/>
    <w:rsid w:val="00CC0ADF"/>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ADF"/>
    <w:rPr>
      <w:rFonts w:ascii="Arial" w:eastAsia="Times New Roman" w:hAnsi="Arial" w:cs="Times New Roman"/>
      <w:b/>
      <w:bCs/>
      <w:caps/>
      <w:kern w:val="32"/>
      <w:sz w:val="28"/>
      <w:szCs w:val="32"/>
      <w:lang w:eastAsia="ca-ES"/>
      <w14:ligatures w14:val="none"/>
    </w:rPr>
  </w:style>
  <w:style w:type="character" w:customStyle="1" w:styleId="Heading2Char">
    <w:name w:val="Heading 2 Char"/>
    <w:basedOn w:val="DefaultParagraphFont"/>
    <w:link w:val="Heading2"/>
    <w:rsid w:val="00CC0ADF"/>
    <w:rPr>
      <w:rFonts w:ascii="Arial" w:eastAsia="Times New Roman" w:hAnsi="Arial" w:cs="Times New Roman"/>
      <w:b/>
      <w:bCs/>
      <w:iCs/>
      <w:kern w:val="0"/>
      <w:sz w:val="24"/>
      <w:szCs w:val="28"/>
      <w:lang w:eastAsia="ca-ES"/>
      <w14:ligatures w14:val="none"/>
    </w:rPr>
  </w:style>
  <w:style w:type="character" w:customStyle="1" w:styleId="Heading3Char">
    <w:name w:val="Heading 3 Char"/>
    <w:basedOn w:val="DefaultParagraphFont"/>
    <w:link w:val="Heading3"/>
    <w:rsid w:val="00CC0ADF"/>
    <w:rPr>
      <w:rFonts w:ascii="Arial" w:eastAsia="Times New Roman" w:hAnsi="Arial" w:cs="Times New Roman"/>
      <w:b/>
      <w:bCs/>
      <w:kern w:val="0"/>
      <w:sz w:val="24"/>
      <w:szCs w:val="26"/>
      <w:lang w:eastAsia="ca-ES"/>
      <w14:ligatures w14:val="none"/>
    </w:rPr>
  </w:style>
  <w:style w:type="character" w:customStyle="1" w:styleId="Heading4Char">
    <w:name w:val="Heading 4 Char"/>
    <w:basedOn w:val="DefaultParagraphFont"/>
    <w:link w:val="Heading4"/>
    <w:rsid w:val="00CC0ADF"/>
    <w:rPr>
      <w:rFonts w:ascii="Arial" w:eastAsia="Times New Roman" w:hAnsi="Arial" w:cs="Times New Roman"/>
      <w:bCs/>
      <w:kern w:val="0"/>
      <w:sz w:val="24"/>
      <w:szCs w:val="28"/>
      <w:lang w:eastAsia="ca-ES"/>
      <w14:ligatures w14:val="none"/>
    </w:rPr>
  </w:style>
  <w:style w:type="character" w:customStyle="1" w:styleId="Heading5Char">
    <w:name w:val="Heading 5 Char"/>
    <w:basedOn w:val="DefaultParagraphFont"/>
    <w:link w:val="Heading5"/>
    <w:rsid w:val="00CC0ADF"/>
    <w:rPr>
      <w:rFonts w:ascii="Arial" w:eastAsia="Times New Roman" w:hAnsi="Arial" w:cs="Times New Roman"/>
      <w:bCs/>
      <w:iCs/>
      <w:kern w:val="0"/>
      <w:sz w:val="24"/>
      <w:szCs w:val="26"/>
      <w:lang w:eastAsia="ca-ES"/>
      <w14:ligatures w14:val="none"/>
    </w:rPr>
  </w:style>
  <w:style w:type="character" w:customStyle="1" w:styleId="Heading6Char">
    <w:name w:val="Heading 6 Char"/>
    <w:basedOn w:val="DefaultParagraphFont"/>
    <w:link w:val="Heading6"/>
    <w:rsid w:val="00CC0ADF"/>
    <w:rPr>
      <w:rFonts w:ascii="Arial" w:eastAsia="Times New Roman" w:hAnsi="Arial" w:cs="Times New Roman"/>
      <w:bCs/>
      <w:kern w:val="0"/>
      <w:sz w:val="24"/>
      <w:lang w:eastAsia="ca-ES"/>
      <w14:ligatures w14:val="none"/>
    </w:rPr>
  </w:style>
  <w:style w:type="character" w:customStyle="1" w:styleId="Heading7Char">
    <w:name w:val="Heading 7 Char"/>
    <w:basedOn w:val="DefaultParagraphFont"/>
    <w:link w:val="Heading7"/>
    <w:rsid w:val="00CC0ADF"/>
    <w:rPr>
      <w:rFonts w:ascii="Arial" w:eastAsia="Times New Roman" w:hAnsi="Arial" w:cs="Times New Roman"/>
      <w:kern w:val="0"/>
      <w:sz w:val="24"/>
      <w:szCs w:val="24"/>
      <w:lang w:eastAsia="ca-ES"/>
      <w14:ligatures w14:val="none"/>
    </w:rPr>
  </w:style>
  <w:style w:type="character" w:customStyle="1" w:styleId="Heading8Char">
    <w:name w:val="Heading 8 Char"/>
    <w:basedOn w:val="DefaultParagraphFont"/>
    <w:link w:val="Heading8"/>
    <w:rsid w:val="00CC0ADF"/>
    <w:rPr>
      <w:rFonts w:ascii="Arial" w:eastAsia="Times New Roman" w:hAnsi="Arial" w:cs="Times New Roman"/>
      <w:iCs/>
      <w:kern w:val="0"/>
      <w:sz w:val="24"/>
      <w:szCs w:val="24"/>
      <w:lang w:eastAsia="ca-ES"/>
      <w14:ligatures w14:val="none"/>
    </w:rPr>
  </w:style>
  <w:style w:type="character" w:customStyle="1" w:styleId="Heading9Char">
    <w:name w:val="Heading 9 Char"/>
    <w:basedOn w:val="DefaultParagraphFont"/>
    <w:link w:val="Heading9"/>
    <w:rsid w:val="00CC0ADF"/>
    <w:rPr>
      <w:rFonts w:ascii="Arial" w:eastAsia="Times New Roman" w:hAnsi="Arial" w:cs="Times New Roman"/>
      <w:kern w:val="0"/>
      <w:sz w:val="24"/>
      <w:lang w:eastAsia="ca-ES"/>
      <w14:ligatures w14:val="none"/>
    </w:rPr>
  </w:style>
  <w:style w:type="paragraph" w:styleId="ListParagraph">
    <w:name w:val="List Paragraph"/>
    <w:basedOn w:val="Normal"/>
    <w:uiPriority w:val="34"/>
    <w:qFormat/>
    <w:rsid w:val="00CC0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3649</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Brili</dc:creator>
  <cp:keywords/>
  <dc:description/>
  <cp:lastModifiedBy>Liana Brili</cp:lastModifiedBy>
  <cp:revision>3</cp:revision>
  <dcterms:created xsi:type="dcterms:W3CDTF">2023-04-26T07:42:00Z</dcterms:created>
  <dcterms:modified xsi:type="dcterms:W3CDTF">2023-05-02T16:13:00Z</dcterms:modified>
</cp:coreProperties>
</file>