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REINO DA BÉLGICA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SERVIÇO PÚBLICO FEDERAL DA SAÚDE PÚBLICA, DA SEGURANÇA DA CADEIA ALIMENTAR E DO AMBIENTE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Decreto Real que altera o Decreto Real de 28 de outubro de 2016 relativo ao fabrico e à colocação no mercado de cigarros eletrónicos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FILIPE, Rei dos Belgas,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 todos os presentes e vindouros, Nossas Saudações.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Tendo em conta a Lei de 24 de janeiro de 1977 relativa à proteção da saúde dos consumidores no que respeita aos géneros alimentícios e outros produtos, artigo 6.º, n.º 1, alínea a), substituído pela Lei de 22 de março de 1989, artigo 10.º, n.º 1, substituído pela Lei de 9 de fevereiro de 1994;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Tendo em conta o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 xml:space="preserve"> Decreto Real de 28 de outubro de 2016 relativo ao fabrico e à colocação no mercado de cigarros eletrónicos, com a redação que lhe foi dada pela Lei de 17 de maio de 2017;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Tendo em conta a Comunicação à Comissão Europeia</w:t>
            </w:r>
            <w:r>
              <w:rPr>
                <w:rFonts w:asciiTheme="minorHAnsi" w:hAnsiTheme="minorHAnsi"/>
                <w:sz w:val="22"/>
              </w:rPr>
              <w:t xml:space="preserve">, de </w:t>
            </w:r>
            <w:r>
              <w:rPr>
                <w:rFonts w:asciiTheme="minorHAnsi" w:hAnsiTheme="minorHAnsi"/>
                <w:color w:val="000000"/>
                <w:sz w:val="22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</w:rPr>
              <w:t>em conformidade com o Artigo 5(1) da Diretiva (UE) 2015/1535 do Parlamento Europeu e do Conselho, de 9 de setembro de 2015, relativa a um procedimento de informação no domínio das regulamentações técnicas e das regras relativas aos serviços da Sociedade da Informação;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Tendo em conta a notificação da Comissão Europeia em XXX, nos termos do artigo 24.º, n.º 3, da Diretiva 2014/40/UE do Parlamento Europeu e do Conselho, de 3 de abril de 2014</w:t>
            </w:r>
            <w:r>
              <w:t xml:space="preserve">, </w:t>
            </w:r>
            <w:r>
              <w:rPr>
                <w:rFonts w:asciiTheme="minorHAnsi" w:hAnsiTheme="minorHAnsi"/>
                <w:sz w:val="22"/>
              </w:rPr>
              <w:t>relativa à aproximação das disposições legislativas, regulamentares e administrativas dos Estados-Membros no que respeita à produção, apresentação e venda de produtos do tabaco e produtos afinse que revoga a Diretiva 2001/37/CE;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Tendo em conta o parecer da Inspeção das Finanças, emitido em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Tendo em conta o acordo alcançado pelo Secretário de Estado do Orçamento, emitido pelo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Tendo em conta o Parecer 72.095/1/V do Conselho de Estado, emitido em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nos termos do artigo 84.º, n.º 1, ponto 1, parágrafo 2, das Leis do Conselho de Estado, coordenado em 12 de janeiro de 1973;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Considerando que o afluxo elevado de cigarros eletrónicos descartáveis aos mercados belga e europeu;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Considerando que os cigarros eletrónicos descartáveis não são comercializados e promovidos como meio parar de fumar e não têm lugar na política belga de cessação do tabagismo;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Considerando que, para além de riscos claros para a saúde, os cigarros eletrónicos descartáveis também implicam uma carga ecológica significativa;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Considerando que estes produtos são populares entre os jovens sem intenção de deixar de fumar e que também são principalmente promovidos para estes;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Considerando que, no caso dos cigarros eletrónicos descartáveis, é identificado um número proporcionalmente mais elevado de infrações regulamentares neste domínio.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Relativamente à proposta da ministra da Saúde Pública,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PELO PRESENTE, DECIDIMOS E DECRETAMOS O SEGUINTE: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Artigo 1.º</w:t>
            </w:r>
            <w:r>
              <w:rPr>
                <w:rFonts w:asciiTheme="minorHAnsi" w:hAnsiTheme="minorHAnsi"/>
              </w:rPr>
              <w:t xml:space="preserve"> No A</w:t>
            </w:r>
            <w:r>
              <w:rPr>
                <w:rFonts w:asciiTheme="minorHAnsi" w:hAnsiTheme="minorHAnsi"/>
                <w:sz w:val="22"/>
              </w:rPr>
              <w:t>rticle 4 do Decreto Real de 28 de outubro de 2016 relativo ao fabrico e à colocação no mercado de cigarros eletrónicos, são introduzidas as seguintes alterações: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1) No n.º 1, é suprimida a disposição prevista no ponto 2;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2) É inserido o n.º 1/1, com a seguinte redação: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«É proibida a colocação de cigarros eletrónicos no mercado sob a forma de um produto descartável integral.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Um produto descartável integral é um produto constituído por uma única unidade e totalmente eliminado após a utilização.»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Artigo 2.º </w:t>
            </w:r>
            <w:r>
              <w:rPr>
                <w:rFonts w:asciiTheme="minorHAnsi" w:hAnsiTheme="minorHAnsi"/>
                <w:sz w:val="22"/>
              </w:rPr>
              <w:t>O presente decreto entra em vigor três meses após a sua publicação no Diário Oficial da Bélgica, com exceção dos retalhistas relativamente aos quais o presente decreto entra em vigor seis meses após a sua publicação no Diário Oficial da Bélgica.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Os procedimentos de notificação ainda pendentes para os cigarros eletrónicos sob a forma de um produto descartável integral serão suprimidos da publicação do presente decreto no Diário Oficial da Bélgica.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Para os fabricantes ou importadores que já tinham apresentado um processo de notificação do seu produto, mas em que a fatura ainda não tinha sido paga no momento da publicação, a taxa caduca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Artigo 3.º </w:t>
            </w:r>
            <w:r>
              <w:rPr>
                <w:rFonts w:asciiTheme="minorHAnsi" w:hAnsiTheme="minorHAnsi"/>
                <w:sz w:val="22"/>
              </w:rPr>
              <w:t>O Ministro da Saúde Pública, no âmbito das suas competências, é responsável pela execução do presente decreto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Emitido em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Pelo Rei: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 Ministro da Saúde Pública,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5540AC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5540AC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pt-PT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pt-PT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2022-12-19T09:17:00Z</dcterms:modified>
</cp:coreProperties>
</file>