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Belgia Kuningriik</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Föderaalne avalik õigusteenistus</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MAI 2024 – seadus, millega muudetakse 7. mai 1999. aasta seadust õnnemängude, kihlvedude, hasartmänguasutuste ja mängijate kaitse kohta ning mis sisaldab erinevaid sätteid hasartmängude kohta (1)</w:t>
            </w:r>
          </w:p>
        </w:tc>
      </w:tr>
      <w:tr w:rsidR="0066043F" w:rsidRPr="002217AD" w14:paraId="6CCA7224" w14:textId="77777777" w:rsidTr="0066043F">
        <w:tc>
          <w:tcPr>
            <w:tcW w:w="5000" w:type="pct"/>
          </w:tcPr>
          <w:p w14:paraId="2587FB8F" w14:textId="77777777" w:rsidR="0066043F" w:rsidRPr="008B5163"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PHILIPPE, belglaste kuningas,</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tervitades kõiki praegusi ja tulevasi alamaid,</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esindajatekoda on vastu võtnud ja me sätestame alljärgneva.</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1. PEATÜKK. – </w:t>
            </w:r>
            <w:r>
              <w:rPr>
                <w:i/>
              </w:rPr>
              <w:t>Üldsätted</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Artikkel 1. </w:t>
            </w:r>
            <w:r>
              <w:t>Käesoleva seadusega reguleeritakse põhiseaduse artiklis 74 sätestatud asjaolusid.</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2. PEATÜKK. </w:t>
            </w:r>
            <w:r>
              <w:rPr>
                <w:i/>
              </w:rPr>
              <w:t>Muudatused 7. mai 1999. aasta seaduses õnnemängude, kihlvedude, hasartmänguasutuste ja mängijate kaitse kohta</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rPr>
              <w:t>Artikkel 2.</w:t>
            </w:r>
            <w:r>
              <w:t xml:space="preserve"> 7. mai 1999. aasta seaduse hasartmängude, kihlvedude, hasartmänguasutuste ja mängijate kaitse kohta, mis on asendatud 10. jaanuari 2010. aasta seadusega, artiklit 4 täiendatakse paragrahvidega 4 ja 5, mis sõnastatakse järgmiselt.</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 4. Kõikidel isikutel on keelatud kasutada talle mittekuuluvaid mis tahes vormis isikuandmeid, et pääseda ligi hasartmänguasutusele või tegeleda hasartmängudega.</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Kõikidel isikutel on keelatud teha isikuandmeid mis tahes vormis kättesaadavaks teisele isikule, teades, et neid andmeid kasutatakse hasartmänguasutusele juurdepääsuks või hasartmängudega tegelemiseks.</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Käesoleva paragrahvi kohaldamisel tähendavad „isikuandmed“ Euroopa Parlamendi ja nõukogu 27. aprilli 2016. aasta määruse (EL) 2016/679 (füüsiliste isikute kaitse kohta isikuandmete töötlemisel ja selliste andmete vaba liikumise ning direktiivi 95/46/EÜ kehtetuks tunnistamise kohta) (isikuandmete kaitse üldmäärus) artikli 4 lõikes 1 määratletud isikuandmeid.</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 5. Isikul on keelatud anda juurdepääs hasartmänguasutusele või hasartmängutegevusele isikutele, kellel selline juurdepääs või tegevus ei ole artikli 54 kohaselt lubatud.“</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t>Artikkel 3.</w:t>
            </w:r>
            <w:r>
              <w:t xml:space="preserve"> Sama seadusesse lisatakse artikkel 8/1 järgmiselt:</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t>„Artikkel 8/1. Majandusseadustiku artiklis XVI.5 nimetatud tarbijavaidluste vahendamise talitus võtab vastu ja menetleb taotlusi tarbijavaidluste kohtuväliseks lahendamiseks seoses hasartmängudega vastavalt selle seadustiku XVI köite 3. jaotise 3. peatüki 2. jao sätetele.</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lastRenderedPageBreak/>
              <w:t>Kui taotlus käsitleb käesoleva seaduse või selle rakendusmääruste rikkumist, edastab tarbijavaidluste vahendamise talitus selle komisjonile.“</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Artikkel 4.</w:t>
            </w:r>
            <w:r>
              <w:t xml:space="preserve"> Selle seaduse artikli 15 lõike 1 punkti 4 alapunktis 2 lisatakse sõnade „nõuab kõigi dokumentide,“ ja „mis võivad olla nende uurimisel kasulikud“ vahele sõnad „eelkõige artiklis 55/4 nimetatud kutseala esindajate register ja nende valvekaamerate pildid, mille operaatorid on paigutanud kooskõlas 21. märtsi 2007. aasta seadusega, millega reguleeritakse valvekaamerate paigaldamist ja kasutamist“.</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Artikkel 5.</w:t>
            </w:r>
            <w:r>
              <w:t xml:space="preserve"> Sama seaduse artiklisse 15/2, mis lisati 10. jaanuari 2010. aasta seadusega ja mis asendati 7. mai 2019. aasta seadusega, tehakse järgmised muudatused:</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paragrahvi 2 lõike 1 punktis 3 asendatakse sõnad „alla 18-aastase isiku“ sõnadega „alla 21-aastase isiku“;</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2) paragrahvi 3 lõike 1 punktis 2 asendatakse sõnad „alla 18-aastane isik; “ sõnadega „alla 21-aastane isik;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Artikkel 6.</w:t>
            </w:r>
            <w:r>
              <w:t xml:space="preserve"> Sama seaduse artikli 15/3 lõikesse 1, mis lisati 10. jaanuari 2010. aasta seadusega, asendati 7. mai 2019. aasta seadusega ja mida on viimati muudetud 18. jaanuari 2024. aasta seadusega, asendatakse sõnad „46, 54, 58, 60, 62 ning nende artiklite ja artikli 61 lõike 2 kohaselt vastuvõetud sätted“ sõnadega „46, 58, 60, artikli 61 lõiked 2 ja 3 ning nende artiklite alusel vastuvõetud sätted“.</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Artikkel 7.</w:t>
            </w:r>
            <w:r>
              <w:t xml:space="preserve"> Selle seaduse artikli 20, mida on muudetud 10. jaanuari 2010. aasta ja 18. septembri 2017. aasta seadusega, punkt 3 asendatakse järgmisega:</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„Komisjon võtab vastu kaebused käesoleva seaduse ja selle rakendusmääruste kohaldamise ja täitmise kohta komisjoni määratud korras.“</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rPr>
              <w:t xml:space="preserve">Artikkel 8. </w:t>
            </w:r>
            <w:r>
              <w:t>Sama seaduse artikkel 24 asendatakse järgmisega:</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„Artikkel 24. § 1. Selleks et tugevdada mängijate kaitset, kohtub komisjon vähemalt kord aastas litsentsisaajate esindajatega, et viia end kurssi ettevõtjate seisukohtade ja algatustega seoses käitumissõltuvusega ning võlgade ja neile eraldatud ressurssidega.</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See teave edastatakse artiklis 16 nimetatud aruandes.</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 2. Komisjoni pädevusse kuuluvates küsimustes võib komisjon pärast konsulteerimist föderaalse rahvaterviseteenistusega koostada ühiseid protokolle õigus- ja haldusnormide tehniliseks ja praktiliseks rakendamiseks.</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t>Kui föderaalne rahvaterviseteenistus ei saada 30 päeva jooksul komisjonile ühtegi teadet ja taotlust ei pikendada tähtaega 60 päevani, jätkatakse etteteatamata menetlusega.</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t xml:space="preserve">Komisjon avaldab need protokollid </w:t>
            </w:r>
            <w:r>
              <w:rPr>
                <w:rStyle w:val="Italic"/>
              </w:rPr>
              <w:t>Moniteur belge</w:t>
            </w:r>
            <w:r>
              <w:t>’is.“</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t>Artikkel 9.</w:t>
            </w:r>
            <w:r>
              <w:t xml:space="preserve"> Samasse seadusesse lisatakse artikkel 42/1 järgmiselt:</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„Artikkel 42/1. C-klassi litsentsi omanikuks jäämiseks peab taotleja jätkuvalt vastama artiklites 41 ja 42 sätestatud tingimustele.“</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lastRenderedPageBreak/>
              <w:t>Artikkel 10.</w:t>
            </w:r>
            <w:r>
              <w:t xml:space="preserve"> Sama seaduse artikli 43/1 lõikes 1, mis lisati 10. jaanuari 2010. aasta seadusega ja mida muudeti 7. mai 2019. aasta seadusega, asendatakse sõna „alaealised“ sõnadega „alla 21-aastased isikud“.</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Artikkel 11. </w:t>
            </w:r>
            <w:r>
              <w:t>Sama seaduse artiklisse 43/8, mis lisati 10. jaanuari 2010. aasta seadusele ja mida on muudetud 7. mai 2019. aasta ja 28. novembri 2021. aasta seadusega, tehakse järgmised muudatused:</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lõike 2 punkti 1 alapunkt e tunnistatakse kehtetuks;</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lõiget 4 täiendatakse kolme lõiguga, mis on sõnastatud järgmiselt:</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 xml:space="preserve">„Komisjon peab ka ajakohastatud loetelu hasartmänguettevõtjate veebisaitide URL-idest, mis selle hinnangul pakuvad infoühiskonna vahendite kaudu Belgias hasartmängude mängimise võimalust, ilma et neil oleks selleks luba. Selle loetelu ajakohastatud versioonid avaldatakse </w:t>
            </w:r>
            <w:r>
              <w:rPr>
                <w:rStyle w:val="Italic"/>
              </w:rPr>
              <w:t>Moniteur belge</w:t>
            </w:r>
            <w:r>
              <w:t>’is.</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Lõikes 2 osutatud loetelus sisalduvad URL-id edastatakse internetiteenuse pakkujatele vastavalt 13. juuni 2005. aasta elektroonilise side seadusele, et nad saaksid neile võimalikult kiiresti juurdepääsu blokeerida.</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Kuningas võib kehtestada lõikes 2 nimetatud loeteluga seotud muid kokkuleppeid.“</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Artikkel 12. </w:t>
            </w:r>
            <w:r>
              <w:t>Sama seaduse (muudetud 10. jaanuari 2010. aasta seadusega) artiklis 44 tehakse järgmised muudatused:</w:t>
            </w:r>
          </w:p>
        </w:tc>
      </w:tr>
      <w:tr w:rsidR="0066043F" w14:paraId="10659864" w14:textId="77777777" w:rsidTr="0066043F">
        <w:tc>
          <w:tcPr>
            <w:tcW w:w="5000" w:type="pct"/>
          </w:tcPr>
          <w:p w14:paraId="29E9FB97" w14:textId="77777777" w:rsidR="0066043F" w:rsidRDefault="0066043F" w:rsidP="005B3FB9">
            <w:pPr>
              <w:spacing w:before="240"/>
              <w:jc w:val="both"/>
            </w:pPr>
            <w:r>
              <w:t>1) sõnad „ja kellel on alaliselt selle loa valdamist tõendav isikutunnistus“ asendatakse sõnadega „ja kellel on selle püsiv tõend.“;</w:t>
            </w:r>
          </w:p>
        </w:tc>
      </w:tr>
      <w:tr w:rsidR="0066043F" w14:paraId="5833A6E3" w14:textId="77777777" w:rsidTr="0066043F">
        <w:tc>
          <w:tcPr>
            <w:tcW w:w="5000" w:type="pct"/>
          </w:tcPr>
          <w:p w14:paraId="2493E136" w14:textId="77777777" w:rsidR="0066043F" w:rsidRDefault="0066043F" w:rsidP="005B3FB9">
            <w:pPr>
              <w:spacing w:before="240"/>
              <w:jc w:val="both"/>
            </w:pPr>
            <w:r>
              <w:t>2) hollandikeelsest tekstist jäetakse välja sõnad „</w:t>
            </w:r>
            <w:r>
              <w:rPr>
                <w:rStyle w:val="Italic"/>
              </w:rPr>
              <w:t>in de vorm van een identificatiekaart</w:t>
            </w:r>
            <w:r>
              <w:t>“.</w:t>
            </w:r>
          </w:p>
        </w:tc>
      </w:tr>
      <w:tr w:rsidR="0066043F" w14:paraId="2EB820C8" w14:textId="77777777" w:rsidTr="0066043F">
        <w:tc>
          <w:tcPr>
            <w:tcW w:w="5000" w:type="pct"/>
          </w:tcPr>
          <w:p w14:paraId="50963D3D" w14:textId="77777777" w:rsidR="0066043F" w:rsidRDefault="0066043F" w:rsidP="005B3FB9">
            <w:pPr>
              <w:spacing w:before="240"/>
              <w:jc w:val="both"/>
            </w:pPr>
            <w:r>
              <w:rPr>
                <w:b/>
              </w:rPr>
              <w:t>Artikkel 13.</w:t>
            </w:r>
            <w:r>
              <w:t xml:space="preserve"> Selle seaduse artikli 47 lõikest 1 jäetakse välja sõnad „ja kaasasolev isikutunnistus“.</w:t>
            </w:r>
          </w:p>
        </w:tc>
      </w:tr>
      <w:tr w:rsidR="0066043F" w14:paraId="5161D6F3" w14:textId="77777777" w:rsidTr="0066043F">
        <w:tc>
          <w:tcPr>
            <w:tcW w:w="5000" w:type="pct"/>
          </w:tcPr>
          <w:p w14:paraId="68CE6767" w14:textId="77777777" w:rsidR="0066043F" w:rsidRDefault="0066043F" w:rsidP="005B3FB9">
            <w:pPr>
              <w:spacing w:before="240"/>
              <w:jc w:val="both"/>
            </w:pPr>
            <w:r>
              <w:rPr>
                <w:b/>
              </w:rPr>
              <w:t xml:space="preserve">Artikkel 14. </w:t>
            </w:r>
            <w:r>
              <w:t>Selle seaduse artikli 54 lõikes 3, mida on muudetud 10. jaanuari 2010. aasta ja 17. märtsi 2013. aasta seadustega, tehakse järgmised muudatused:</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sissejuhatav lause asendatakse järgmisega: </w:t>
            </w:r>
          </w:p>
        </w:tc>
      </w:tr>
      <w:tr w:rsidR="0066043F" w14:paraId="36C48A6D" w14:textId="77777777" w:rsidTr="0066043F">
        <w:tc>
          <w:tcPr>
            <w:tcW w:w="5000" w:type="pct"/>
          </w:tcPr>
          <w:p w14:paraId="63545EC5" w14:textId="77777777" w:rsidR="0066043F" w:rsidRDefault="0066043F" w:rsidP="005B3FB9">
            <w:pPr>
              <w:spacing w:before="240"/>
              <w:jc w:val="both"/>
            </w:pPr>
            <w:r>
              <w:t>„Litsentside A, A+, B, B+, F1+ ja F2 omanikud keelavad juurdepääsu I ja II klassi mängusaalidele või IV klassi hasartmänguasutustele, kes tegelevad kihlvedudega väljaspool IV klassi hasartmänguasutusi ja mängimist infoühiskonna vahendite abil järgmistele isikutele, kes sisenevad hasartmänguasutuse mängusaali või soovivad mängida hasartmänge (välja arvatud isikud, kes sisenevad nendesse ametialastel eesmärkidel), kellele komisjon on keelanud juurdepääsu:“;</w:t>
            </w:r>
          </w:p>
        </w:tc>
      </w:tr>
      <w:tr w:rsidR="0066043F" w14:paraId="59A4CA34" w14:textId="77777777" w:rsidTr="0066043F">
        <w:tc>
          <w:tcPr>
            <w:tcW w:w="5000" w:type="pct"/>
          </w:tcPr>
          <w:p w14:paraId="2CFF4FCA" w14:textId="77777777" w:rsidR="0066043F" w:rsidRDefault="0066043F" w:rsidP="005B3FB9">
            <w:pPr>
              <w:spacing w:before="240"/>
              <w:jc w:val="both"/>
            </w:pPr>
            <w:r>
              <w:t>2) punkt 4 asendatakse järgmisega:</w:t>
            </w:r>
          </w:p>
        </w:tc>
      </w:tr>
      <w:tr w:rsidR="0066043F" w14:paraId="458A6E54" w14:textId="77777777" w:rsidTr="0066043F">
        <w:tc>
          <w:tcPr>
            <w:tcW w:w="5000" w:type="pct"/>
          </w:tcPr>
          <w:p w14:paraId="21EE1438" w14:textId="77777777" w:rsidR="0066043F" w:rsidRDefault="0066043F" w:rsidP="005B3FB9">
            <w:pPr>
              <w:spacing w:before="240"/>
              <w:jc w:val="both"/>
            </w:pPr>
            <w:r>
              <w:t>„4. isikud, kellel on hasartmängusõltuvuse probleem ja kellele komisjon on huvitatud isiku taotlusel teinud erandi;“.</w:t>
            </w:r>
          </w:p>
        </w:tc>
      </w:tr>
      <w:tr w:rsidR="0066043F" w14:paraId="16DED9C1" w14:textId="77777777" w:rsidTr="0066043F">
        <w:tc>
          <w:tcPr>
            <w:tcW w:w="5000" w:type="pct"/>
          </w:tcPr>
          <w:p w14:paraId="6AB75904" w14:textId="77777777" w:rsidR="0066043F" w:rsidRDefault="0066043F" w:rsidP="005B3FB9">
            <w:pPr>
              <w:spacing w:before="240"/>
              <w:jc w:val="both"/>
            </w:pPr>
            <w:r>
              <w:rPr>
                <w:b/>
              </w:rPr>
              <w:t xml:space="preserve">Artikkel 15. </w:t>
            </w:r>
            <w:r>
              <w:t>Samasse seadusesse lisatakse artikkel 54/1 järgmises sõnastuses.</w:t>
            </w:r>
          </w:p>
        </w:tc>
      </w:tr>
      <w:tr w:rsidR="0066043F" w14:paraId="09AA8F4A" w14:textId="77777777" w:rsidTr="0066043F">
        <w:tc>
          <w:tcPr>
            <w:tcW w:w="5000" w:type="pct"/>
          </w:tcPr>
          <w:p w14:paraId="7E5478C8" w14:textId="77777777" w:rsidR="0066043F" w:rsidRDefault="0066043F" w:rsidP="005B3FB9">
            <w:pPr>
              <w:spacing w:before="240"/>
              <w:jc w:val="both"/>
            </w:pPr>
            <w:r>
              <w:t xml:space="preserve">„Artikkel 54/1. § 1. Klasside A, A+, B, B+, F1+ ja F2 litsentside omanikud, välja arvatud artikli 43/4 lõike 5 punktis 1 osutatud F2-klassi litsentsi omanikud, peavad identifitseerima iga </w:t>
            </w:r>
            <w:r>
              <w:lastRenderedPageBreak/>
              <w:t>hasartmänguasutuse mängusaali siseneva või hasartmängudega tegeleda sooviva isiku, välja arvatud isikud, kes sisenevad sinna ametialastel eesmärkidel.</w:t>
            </w:r>
          </w:p>
        </w:tc>
      </w:tr>
      <w:tr w:rsidR="0066043F" w14:paraId="2E15C5A6" w14:textId="77777777" w:rsidTr="0066043F">
        <w:tc>
          <w:tcPr>
            <w:tcW w:w="5000" w:type="pct"/>
          </w:tcPr>
          <w:p w14:paraId="6F47BC75" w14:textId="77777777" w:rsidR="0066043F" w:rsidRDefault="0066043F" w:rsidP="005B3FB9">
            <w:pPr>
              <w:spacing w:before="240"/>
              <w:jc w:val="both"/>
            </w:pPr>
            <w:r>
              <w:lastRenderedPageBreak/>
              <w:t>Identifitseerimise eesmärk on:</w:t>
            </w:r>
          </w:p>
        </w:tc>
      </w:tr>
      <w:tr w:rsidR="0066043F" w14:paraId="49C9CBB4" w14:textId="77777777" w:rsidTr="0066043F">
        <w:tc>
          <w:tcPr>
            <w:tcW w:w="5000" w:type="pct"/>
          </w:tcPr>
          <w:p w14:paraId="144C2F93" w14:textId="77777777" w:rsidR="0066043F" w:rsidRDefault="0066043F" w:rsidP="005B3FB9">
            <w:pPr>
              <w:spacing w:before="240"/>
              <w:jc w:val="both"/>
            </w:pPr>
            <w:r>
              <w:t>1) kontrollida, kas esitatud isikut tõendav dokument kuulub selle lõikes 1 nimetatud esitajale;</w:t>
            </w:r>
          </w:p>
        </w:tc>
      </w:tr>
      <w:tr w:rsidR="0066043F" w14:paraId="442B50B4" w14:textId="77777777" w:rsidTr="0066043F">
        <w:tc>
          <w:tcPr>
            <w:tcW w:w="5000" w:type="pct"/>
          </w:tcPr>
          <w:p w14:paraId="5D98A629" w14:textId="77777777" w:rsidR="0066043F" w:rsidRDefault="0066043F" w:rsidP="005B3FB9">
            <w:pPr>
              <w:spacing w:before="240"/>
              <w:jc w:val="both"/>
            </w:pPr>
            <w:r>
              <w:t>2) kontrollida, kas lõikes 1 nimetatud isikul on artikli 54 lõigete 1–4 alusel õigus pääseda hasartmänguasutuse mängusaali või tegeleda hasartmängudega.</w:t>
            </w:r>
          </w:p>
        </w:tc>
      </w:tr>
      <w:tr w:rsidR="0066043F" w14:paraId="145284B1" w14:textId="77777777" w:rsidTr="0066043F">
        <w:tc>
          <w:tcPr>
            <w:tcW w:w="5000" w:type="pct"/>
          </w:tcPr>
          <w:p w14:paraId="4CC3F31D" w14:textId="77777777" w:rsidR="0066043F" w:rsidRDefault="0066043F" w:rsidP="005B3FB9">
            <w:pPr>
              <w:spacing w:before="240"/>
              <w:jc w:val="both"/>
            </w:pPr>
            <w:r>
              <w:t>Kui isiku tuvastamise õigsuses või täpsuses on kahtlusi, keelab litsentsiomanik juurdepääsu hasartmänguasutusele või hasartmängus osalemisele.</w:t>
            </w:r>
          </w:p>
        </w:tc>
      </w:tr>
      <w:tr w:rsidR="0066043F" w14:paraId="285A2EBE" w14:textId="77777777" w:rsidTr="0066043F">
        <w:tc>
          <w:tcPr>
            <w:tcW w:w="5000" w:type="pct"/>
          </w:tcPr>
          <w:p w14:paraId="3CB93605" w14:textId="77777777" w:rsidR="0066043F" w:rsidRDefault="0066043F" w:rsidP="005B3FB9">
            <w:pPr>
              <w:spacing w:before="240"/>
              <w:jc w:val="both"/>
            </w:pPr>
            <w:r>
              <w:t>§ 2. Lõikes 1 osutatud isikusamasuse tuvastamiseks on lubatavad kehtivad isikut tõendavad dokumendid ja elamisload järgmised:</w:t>
            </w:r>
          </w:p>
        </w:tc>
      </w:tr>
      <w:tr w:rsidR="0066043F" w14:paraId="2B5E0ECB" w14:textId="77777777" w:rsidTr="0066043F">
        <w:tc>
          <w:tcPr>
            <w:tcW w:w="5000" w:type="pct"/>
          </w:tcPr>
          <w:p w14:paraId="26BFE918" w14:textId="77777777" w:rsidR="0066043F" w:rsidRDefault="0066043F" w:rsidP="005B3FB9">
            <w:pPr>
              <w:spacing w:before="240"/>
              <w:jc w:val="both"/>
            </w:pPr>
            <w:r>
              <w:t>1) Belgia elektrooniline isikutunnistus;</w:t>
            </w:r>
          </w:p>
        </w:tc>
      </w:tr>
      <w:tr w:rsidR="0066043F" w14:paraId="529C39F1" w14:textId="77777777" w:rsidTr="0066043F">
        <w:tc>
          <w:tcPr>
            <w:tcW w:w="5000" w:type="pct"/>
          </w:tcPr>
          <w:p w14:paraId="526A49C0" w14:textId="77777777" w:rsidR="0066043F" w:rsidRDefault="0066043F" w:rsidP="005B3FB9">
            <w:pPr>
              <w:spacing w:before="240"/>
              <w:jc w:val="both"/>
            </w:pPr>
            <w:r>
              <w:t>2) elektrooniline elamisluba või elektrooniline registreerimistunnistus;</w:t>
            </w:r>
          </w:p>
        </w:tc>
      </w:tr>
      <w:tr w:rsidR="0066043F" w14:paraId="7D7DA545" w14:textId="77777777" w:rsidTr="0066043F">
        <w:tc>
          <w:tcPr>
            <w:tcW w:w="5000" w:type="pct"/>
          </w:tcPr>
          <w:p w14:paraId="4E67C1AB" w14:textId="77777777" w:rsidR="0066043F" w:rsidRDefault="0066043F" w:rsidP="005B3FB9">
            <w:pPr>
              <w:spacing w:before="240"/>
              <w:jc w:val="both"/>
            </w:pPr>
            <w:r>
              <w:t>3) kiibiga välisriigi isikutunnistus;</w:t>
            </w:r>
          </w:p>
        </w:tc>
      </w:tr>
      <w:tr w:rsidR="0066043F" w14:paraId="4BF6B337" w14:textId="77777777" w:rsidTr="0066043F">
        <w:tc>
          <w:tcPr>
            <w:tcW w:w="5000" w:type="pct"/>
          </w:tcPr>
          <w:p w14:paraId="583A3456" w14:textId="77777777" w:rsidR="0066043F" w:rsidRDefault="0066043F" w:rsidP="005B3FB9">
            <w:pPr>
              <w:spacing w:before="240"/>
              <w:jc w:val="both"/>
            </w:pPr>
            <w:r>
              <w:t>4) spetsiaalsed elektroonilised isikutunnistused, mis väljastatakse diplomaatilistes ja konsulaaresindustes töötavatele isikutele ning nende pereliikmetele vastavalt 18. aprilli 1961. aasta diplomaatiliste suhete Viini konventsioonile ja 24. aprilli 1963. aasta konsulaarsuhete Viini konventsioonile ning 30. oktoobri 1991. aasta kuninglikule dekreedile teatavate välisriikide kodanike Belgias elamise dokumentide kohta;</w:t>
            </w:r>
          </w:p>
        </w:tc>
      </w:tr>
      <w:tr w:rsidR="0066043F" w14:paraId="65A0A0E7" w14:textId="77777777" w:rsidTr="0066043F">
        <w:tc>
          <w:tcPr>
            <w:tcW w:w="5000" w:type="pct"/>
          </w:tcPr>
          <w:p w14:paraId="52461501" w14:textId="77777777" w:rsidR="0066043F" w:rsidRDefault="0066043F" w:rsidP="005B3FB9">
            <w:pPr>
              <w:spacing w:before="240"/>
              <w:jc w:val="both"/>
            </w:pPr>
            <w:r>
              <w:t>5) mis tahes muu kuninga määratud dokument, tingimusel et kuninglik dekreet kinnitatakse seadusega kuue kuu jooksul alates selle määruse avaldamisest.</w:t>
            </w:r>
          </w:p>
        </w:tc>
      </w:tr>
      <w:tr w:rsidR="0066043F" w14:paraId="48A8DB24" w14:textId="77777777" w:rsidTr="0066043F">
        <w:tc>
          <w:tcPr>
            <w:tcW w:w="5000" w:type="pct"/>
          </w:tcPr>
          <w:p w14:paraId="5E499A14" w14:textId="77777777" w:rsidR="0066043F" w:rsidRDefault="0066043F" w:rsidP="005B3FB9">
            <w:pPr>
              <w:spacing w:before="240"/>
              <w:jc w:val="both"/>
            </w:pPr>
            <w:r>
              <w:t>Paragrahvi 1 lõikes 2 nimetatud eesmärkidel autenditakse paragrahvi 1 lõikes 1 nimetatud isik EPIS-is lõikes 1 nimetatud dokumentide e-identimise autentimismooduli või isikusamasuse tuvastamise teel, mis vastab komisjoni 8. septembri 2015. aasta rakendusmääruse (EL) 2015/1502 (millega kehtestatakse e-identimise vahendite usaldusväärsuse tasemete minimaalsed tehnilised kirjeldused ja menetlused vastavalt Euroopa Parlamendi ja nõukogu määruse (EL) nr 910/2014 (e-identimise ja e-tehingute jaoks vajalike usaldusteenuste kohta siseturul) artikli 8 lõikele 3) lisa punktis 2.2 määratletud nõuetele.</w:t>
            </w:r>
          </w:p>
        </w:tc>
      </w:tr>
      <w:tr w:rsidR="0066043F" w14:paraId="3F5078AD" w14:textId="77777777" w:rsidTr="0066043F">
        <w:tc>
          <w:tcPr>
            <w:tcW w:w="5000" w:type="pct"/>
          </w:tcPr>
          <w:p w14:paraId="10EBC0CF" w14:textId="77777777" w:rsidR="0066043F" w:rsidRDefault="0066043F" w:rsidP="005B3FB9">
            <w:pPr>
              <w:spacing w:before="240"/>
              <w:jc w:val="both"/>
            </w:pPr>
            <w:r>
              <w:t>Kui esimeses ja teises lõikes osutatud identifitseerimine ja autentimine ei ole tehniliselt võimalik, võib aktsepteerida ainult järgmisi kehtivaid dokumente:</w:t>
            </w:r>
          </w:p>
        </w:tc>
      </w:tr>
      <w:tr w:rsidR="0066043F" w14:paraId="5F2E05B4" w14:textId="77777777" w:rsidTr="0066043F">
        <w:tc>
          <w:tcPr>
            <w:tcW w:w="5000" w:type="pct"/>
          </w:tcPr>
          <w:p w14:paraId="0D325686" w14:textId="77777777" w:rsidR="0066043F" w:rsidRDefault="0066043F" w:rsidP="005B3FB9">
            <w:pPr>
              <w:spacing w:before="240"/>
              <w:jc w:val="both"/>
            </w:pPr>
            <w:r>
              <w:t>1) tunnustatud pass või samaväärne reisidokument;</w:t>
            </w:r>
          </w:p>
        </w:tc>
      </w:tr>
      <w:tr w:rsidR="0066043F" w14:paraId="55B46EEF" w14:textId="77777777" w:rsidTr="0066043F">
        <w:tc>
          <w:tcPr>
            <w:tcW w:w="5000" w:type="pct"/>
          </w:tcPr>
          <w:p w14:paraId="039DBEFC" w14:textId="77777777" w:rsidR="0066043F" w:rsidRDefault="0066043F" w:rsidP="005B3FB9">
            <w:pPr>
              <w:spacing w:before="240"/>
              <w:jc w:val="both"/>
            </w:pPr>
            <w:r>
              <w:t>2) teise Euroopa Majanduspiirkonna liikmesriigi väljastatud isikutunnistus;</w:t>
            </w:r>
          </w:p>
        </w:tc>
      </w:tr>
      <w:tr w:rsidR="0066043F" w14:paraId="4A9C6124" w14:textId="77777777" w:rsidTr="0066043F">
        <w:tc>
          <w:tcPr>
            <w:tcW w:w="5000" w:type="pct"/>
          </w:tcPr>
          <w:p w14:paraId="0610B92B" w14:textId="77777777" w:rsidR="0066043F" w:rsidRDefault="0066043F" w:rsidP="005B3FB9">
            <w:pPr>
              <w:spacing w:before="240"/>
              <w:jc w:val="both"/>
            </w:pPr>
            <w:r>
              <w:t>3) elamisluba või kiibita registreerimistunnistus.</w:t>
            </w:r>
          </w:p>
        </w:tc>
      </w:tr>
      <w:tr w:rsidR="0066043F" w14:paraId="0C9DA13B" w14:textId="77777777" w:rsidTr="0066043F">
        <w:tc>
          <w:tcPr>
            <w:tcW w:w="5000" w:type="pct"/>
          </w:tcPr>
          <w:p w14:paraId="6C477698" w14:textId="77777777" w:rsidR="0066043F" w:rsidRDefault="0066043F" w:rsidP="005B3FB9">
            <w:pPr>
              <w:spacing w:before="240"/>
              <w:jc w:val="both"/>
            </w:pPr>
            <w:r>
              <w:t>Kuningas võib määrata mis tahes muu isikut tõendava dokumendi või elamisloa, tingimusel et kuninglik dekreet kinnitatakse seadusega kuue kuu jooksul alates vastava dekreedi avaldamisest.</w:t>
            </w:r>
          </w:p>
        </w:tc>
      </w:tr>
      <w:tr w:rsidR="0066043F" w14:paraId="08EBE0AB" w14:textId="77777777" w:rsidTr="0066043F">
        <w:tc>
          <w:tcPr>
            <w:tcW w:w="5000" w:type="pct"/>
          </w:tcPr>
          <w:p w14:paraId="163EF93A" w14:textId="37689395" w:rsidR="0066043F" w:rsidRDefault="0066043F" w:rsidP="005B3FB9">
            <w:pPr>
              <w:spacing w:before="240"/>
              <w:jc w:val="both"/>
            </w:pPr>
            <w:r>
              <w:t xml:space="preserve">§ 3. Artikli 43/4 lõike 5 punktis 1 osutatud F2 litsentsi omanikud kontrollivad mängija vanust ja autendivad selle EPIS-is vastavalt artiklile 54 asjakohase arvutisüsteemi abil, mis on paigaldatud </w:t>
            </w:r>
            <w:r>
              <w:lastRenderedPageBreak/>
              <w:t>seadmesse ja mille on sertifitseerinud artikli 52 lõike 2 teises taandes osutatud akrediteeritud asutus.</w:t>
            </w:r>
          </w:p>
        </w:tc>
      </w:tr>
      <w:tr w:rsidR="0066043F" w14:paraId="6E340368" w14:textId="77777777" w:rsidTr="0066043F">
        <w:tc>
          <w:tcPr>
            <w:tcW w:w="5000" w:type="pct"/>
          </w:tcPr>
          <w:p w14:paraId="5C16B53E" w14:textId="77777777" w:rsidR="0066043F" w:rsidRDefault="0066043F" w:rsidP="005B3FB9">
            <w:pPr>
              <w:spacing w:before="240"/>
              <w:jc w:val="both"/>
            </w:pPr>
            <w:r>
              <w:lastRenderedPageBreak/>
              <w:t>Mängija vanust kontrollitakse ja kinnitatakse EPIS-is kehtiva isikut tõendava dokumendi või elamisloaga, millele on osutatud paragrahvi 2 lõike 1 punktides 1–4.</w:t>
            </w:r>
          </w:p>
        </w:tc>
      </w:tr>
      <w:tr w:rsidR="0066043F" w14:paraId="5A982A1F" w14:textId="77777777" w:rsidTr="0066043F">
        <w:tc>
          <w:tcPr>
            <w:tcW w:w="5000" w:type="pct"/>
          </w:tcPr>
          <w:p w14:paraId="5C739E99" w14:textId="77777777" w:rsidR="0066043F" w:rsidRDefault="0066043F" w:rsidP="005B3FB9">
            <w:pPr>
              <w:spacing w:before="240"/>
              <w:jc w:val="both"/>
            </w:pPr>
            <w:r>
              <w:t>Välja arvatud artikli 55/5 lõike 1 punktis 2 sätestatud juhul, kontrollitakse mängija vanust automaatselt, lugedes seda teavet mõne paragrahvi 2 lõike 1 punktis 1–4 osutatud dokumendil.</w:t>
            </w:r>
          </w:p>
        </w:tc>
      </w:tr>
      <w:tr w:rsidR="0066043F" w14:paraId="5C52BF7B" w14:textId="77777777" w:rsidTr="0066043F">
        <w:tc>
          <w:tcPr>
            <w:tcW w:w="5000" w:type="pct"/>
          </w:tcPr>
          <w:p w14:paraId="1A94DF99" w14:textId="77777777" w:rsidR="0066043F" w:rsidRDefault="0066043F" w:rsidP="005B3FB9">
            <w:pPr>
              <w:spacing w:before="240"/>
              <w:jc w:val="both"/>
            </w:pPr>
            <w:r>
              <w:t>Seadet ei tohi sisse lülitada, kui hasartmängutegevus on mängijale artikli 54 kohaselt keelatud.</w:t>
            </w:r>
          </w:p>
        </w:tc>
      </w:tr>
      <w:tr w:rsidR="0066043F" w14:paraId="30B2D3A3" w14:textId="77777777" w:rsidTr="0066043F">
        <w:tc>
          <w:tcPr>
            <w:tcW w:w="5000" w:type="pct"/>
          </w:tcPr>
          <w:p w14:paraId="6D88B5C9" w14:textId="77777777" w:rsidR="0066043F" w:rsidRDefault="0066043F" w:rsidP="005B3FB9">
            <w:pPr>
              <w:spacing w:before="240"/>
              <w:jc w:val="both"/>
            </w:pPr>
            <w:r>
              <w:t>§ 4. EPIS-i kontrolli ajal edastatakse lõikes 1 osutatud loaomaniku volitatud isikule või arvutirakenduses, mis käivitab lõikes 3 osutatud hasartmänguseadme aktiveerimise, üksnes teave selle kohta, et kontrollitavale isikule on hasartmängud keelatud või välistatud.“;</w:t>
            </w:r>
          </w:p>
        </w:tc>
      </w:tr>
      <w:tr w:rsidR="0066043F" w14:paraId="2B2510DE" w14:textId="77777777" w:rsidTr="0066043F">
        <w:tc>
          <w:tcPr>
            <w:tcW w:w="5000" w:type="pct"/>
          </w:tcPr>
          <w:p w14:paraId="576DD22E" w14:textId="77777777" w:rsidR="0066043F" w:rsidRDefault="0066043F" w:rsidP="005B3FB9">
            <w:pPr>
              <w:spacing w:before="240"/>
              <w:jc w:val="both"/>
            </w:pPr>
            <w:r>
              <w:rPr>
                <w:b/>
              </w:rPr>
              <w:t xml:space="preserve">Artikkel 16. </w:t>
            </w:r>
            <w:r>
              <w:t>Selle seaduse artikkel 55, mida on muudetud 4. aprilli 2003. aasta kuningliku dekreediga ning 10. jaanuari 2010. aasta ja 30. juuli 2022. aasta seadustega, asendatakse järgmisega:</w:t>
            </w:r>
          </w:p>
        </w:tc>
      </w:tr>
      <w:tr w:rsidR="0066043F" w14:paraId="7FF34671" w14:textId="77777777" w:rsidTr="0066043F">
        <w:tc>
          <w:tcPr>
            <w:tcW w:w="5000" w:type="pct"/>
          </w:tcPr>
          <w:p w14:paraId="4804EC8A" w14:textId="77777777" w:rsidR="0066043F" w:rsidRDefault="0066043F" w:rsidP="005B3FB9">
            <w:pPr>
              <w:spacing w:before="240"/>
              <w:jc w:val="both"/>
            </w:pPr>
            <w:r>
              <w:t>„Artikkel 55. § 1. Komisjonis luuakse keskne süsteem artiklis 54 osutatud isikutega seotud teabe töötlemiseks, mida nimetatakse „</w:t>
            </w:r>
            <w:r>
              <w:rPr>
                <w:rStyle w:val="Italic"/>
              </w:rPr>
              <w:t>Excluded Persons Information System</w:t>
            </w:r>
            <w:r>
              <w:t xml:space="preserve"> (EPIS)“, mille puhul ta on vastutav töötleja Euroopa Parlamendi ja nõukogu 27. aprilli 2016. aasta määruse (EL) 2016/679 (üksikisikute kaitse kohta isikuandmete töötlemisel ja selliste andmete vaba liikumise ning direktiivi 95/46/EÜ kehtetuks tunnistamise kohta) (isikuandmete kaitse üldmäärus) artikli 4 lõike 7 tähenduses.</w:t>
            </w:r>
          </w:p>
        </w:tc>
      </w:tr>
      <w:tr w:rsidR="0066043F" w14:paraId="2FDE66D9" w14:textId="77777777" w:rsidTr="0066043F">
        <w:tc>
          <w:tcPr>
            <w:tcW w:w="5000" w:type="pct"/>
          </w:tcPr>
          <w:p w14:paraId="32E254DD" w14:textId="77777777" w:rsidR="0066043F" w:rsidRDefault="0066043F" w:rsidP="005B3FB9">
            <w:pPr>
              <w:spacing w:before="240"/>
              <w:jc w:val="both"/>
            </w:pPr>
            <w:r>
              <w:t>EPIS-süsteemi eesmärgid on järgmised:</w:t>
            </w:r>
          </w:p>
        </w:tc>
      </w:tr>
      <w:tr w:rsidR="0066043F" w14:paraId="12EA290E" w14:textId="77777777" w:rsidTr="0066043F">
        <w:tc>
          <w:tcPr>
            <w:tcW w:w="5000" w:type="pct"/>
          </w:tcPr>
          <w:p w14:paraId="021C4E08" w14:textId="77777777" w:rsidR="0066043F" w:rsidRDefault="0066043F" w:rsidP="005B3FB9">
            <w:pPr>
              <w:spacing w:before="240"/>
              <w:jc w:val="both"/>
            </w:pPr>
            <w:r>
              <w:t>1) võimaldada klasside A, A+, B, B+, F1+ ja F2 litsentside omanikel tagada, et isikud, kes soovivad siseneda hasartmänguasutuse mängusaali või mängida hasartmänge, ei oleks keelatud või välistatud vastavalt artikli 54 lõigetele 2–4;</w:t>
            </w:r>
          </w:p>
        </w:tc>
      </w:tr>
      <w:tr w:rsidR="0066043F" w14:paraId="7279AF07" w14:textId="77777777" w:rsidTr="0066043F">
        <w:tc>
          <w:tcPr>
            <w:tcW w:w="5000" w:type="pct"/>
          </w:tcPr>
          <w:p w14:paraId="3C35AEA4" w14:textId="77777777" w:rsidR="0066043F" w:rsidRDefault="0066043F" w:rsidP="005B3FB9">
            <w:pPr>
              <w:spacing w:before="240"/>
              <w:jc w:val="both"/>
            </w:pPr>
            <w:r>
              <w:t>2) võimaldada komisjonil hallata hasartmängude keelu taotlusi või hasartmängude keelu tühistamist ning vajaduse korral sellega seotud vaidlusi;</w:t>
            </w:r>
          </w:p>
        </w:tc>
      </w:tr>
      <w:tr w:rsidR="0066043F" w14:paraId="4D72F803" w14:textId="77777777" w:rsidTr="0066043F">
        <w:tc>
          <w:tcPr>
            <w:tcW w:w="5000" w:type="pct"/>
          </w:tcPr>
          <w:p w14:paraId="413C9D7F" w14:textId="77777777" w:rsidR="0066043F" w:rsidRDefault="0066043F" w:rsidP="005B3FB9">
            <w:pPr>
              <w:spacing w:before="240"/>
              <w:jc w:val="both"/>
            </w:pPr>
            <w:r>
              <w:t>3) käesoleva seaduse ja selle rakendusmääruste rikkumiste uurimine ja avastamine.</w:t>
            </w:r>
          </w:p>
        </w:tc>
      </w:tr>
      <w:tr w:rsidR="0066043F" w14:paraId="22EB9624" w14:textId="77777777" w:rsidTr="0066043F">
        <w:tc>
          <w:tcPr>
            <w:tcW w:w="5000" w:type="pct"/>
          </w:tcPr>
          <w:p w14:paraId="4EA173FD" w14:textId="77777777" w:rsidR="0066043F" w:rsidRDefault="0066043F" w:rsidP="005B3FB9">
            <w:pPr>
              <w:spacing w:before="240"/>
              <w:jc w:val="both"/>
            </w:pPr>
            <w:r>
              <w:t>§ 2. Iga artikli 54 lõigetes 2–4 osutatud isiku kohta registreeritakse EPIS-is järgmised andmed:</w:t>
            </w:r>
          </w:p>
        </w:tc>
      </w:tr>
      <w:tr w:rsidR="0066043F" w14:paraId="65431D01" w14:textId="77777777" w:rsidTr="0066043F">
        <w:tc>
          <w:tcPr>
            <w:tcW w:w="5000" w:type="pct"/>
          </w:tcPr>
          <w:p w14:paraId="42EBA5C4" w14:textId="77777777" w:rsidR="0066043F" w:rsidRDefault="0066043F" w:rsidP="005B3FB9">
            <w:pPr>
              <w:spacing w:before="240"/>
              <w:jc w:val="both"/>
            </w:pPr>
            <w:r>
              <w:t>1) perekonna- ja eesnimed;</w:t>
            </w:r>
          </w:p>
        </w:tc>
      </w:tr>
      <w:tr w:rsidR="0066043F" w14:paraId="0EF3B58A" w14:textId="77777777" w:rsidTr="0066043F">
        <w:tc>
          <w:tcPr>
            <w:tcW w:w="5000" w:type="pct"/>
          </w:tcPr>
          <w:p w14:paraId="5ABC902B" w14:textId="77777777" w:rsidR="0066043F" w:rsidRDefault="0066043F" w:rsidP="005B3FB9">
            <w:pPr>
              <w:spacing w:before="240"/>
              <w:jc w:val="both"/>
            </w:pPr>
            <w:r>
              <w:t>2) sünniaeg;</w:t>
            </w:r>
          </w:p>
        </w:tc>
      </w:tr>
      <w:tr w:rsidR="0066043F" w14:paraId="1FA1AC7A" w14:textId="77777777" w:rsidTr="0066043F">
        <w:tc>
          <w:tcPr>
            <w:tcW w:w="5000" w:type="pct"/>
          </w:tcPr>
          <w:p w14:paraId="36882289" w14:textId="77777777" w:rsidR="0066043F" w:rsidRDefault="0066043F" w:rsidP="005B3FB9">
            <w:pPr>
              <w:spacing w:before="240"/>
              <w:jc w:val="both"/>
            </w:pPr>
            <w:r>
              <w:t>3) riikliku füüsiliste isikute registri identifitseerimisnumber või kui teise Euroopa Majanduspiirkonna liikmesriigi väljastatud isikutunnistuse number ei ole teada, passi number või teise võimalusena Banque Carrefouri identifitseerimisnumber, millele on osutatud 15. jaanuari 1990. aasta seaduse Banque Carrefouri sotsiaalkindlustuse loomise ja korraldamise kohta artikli 8 lõike 1 punktis 2;</w:t>
            </w:r>
          </w:p>
        </w:tc>
      </w:tr>
      <w:tr w:rsidR="0066043F" w14:paraId="15277872" w14:textId="77777777" w:rsidTr="0066043F">
        <w:tc>
          <w:tcPr>
            <w:tcW w:w="5000" w:type="pct"/>
          </w:tcPr>
          <w:p w14:paraId="18627B78" w14:textId="77777777" w:rsidR="0066043F" w:rsidRDefault="0066043F" w:rsidP="005B3FB9">
            <w:pPr>
              <w:spacing w:before="240"/>
              <w:jc w:val="both"/>
            </w:pPr>
            <w:r>
              <w:t>4) kõrvalejätmise põhjus, algus- ja lõppkuupäev.</w:t>
            </w:r>
          </w:p>
        </w:tc>
      </w:tr>
      <w:tr w:rsidR="0066043F" w14:paraId="2C704C86" w14:textId="77777777" w:rsidTr="0066043F">
        <w:tc>
          <w:tcPr>
            <w:tcW w:w="5000" w:type="pct"/>
          </w:tcPr>
          <w:p w14:paraId="26447CB1" w14:textId="77777777" w:rsidR="0066043F" w:rsidRDefault="0066043F" w:rsidP="005B3FB9">
            <w:pPr>
              <w:spacing w:before="240"/>
              <w:jc w:val="both"/>
            </w:pPr>
            <w:r>
              <w:t>Lõigus 1 osutatud andmeid säilitatakse viis aastat alates kõrvalejätmise lõppemise kuupäevast.</w:t>
            </w:r>
          </w:p>
        </w:tc>
      </w:tr>
      <w:tr w:rsidR="0066043F" w14:paraId="54B97B47" w14:textId="77777777" w:rsidTr="0066043F">
        <w:tc>
          <w:tcPr>
            <w:tcW w:w="5000" w:type="pct"/>
          </w:tcPr>
          <w:p w14:paraId="6B346953" w14:textId="77777777" w:rsidR="0066043F" w:rsidRDefault="0066043F" w:rsidP="005B3FB9">
            <w:pPr>
              <w:spacing w:before="240"/>
              <w:jc w:val="both"/>
            </w:pPr>
            <w:r>
              <w:t>§ 3. Juurdepääs EPIS-i andmetele on piiratud järgmiste isikutega:</w:t>
            </w:r>
          </w:p>
        </w:tc>
      </w:tr>
      <w:tr w:rsidR="0066043F" w14:paraId="2CFEEE3F" w14:textId="77777777" w:rsidTr="0066043F">
        <w:tc>
          <w:tcPr>
            <w:tcW w:w="5000" w:type="pct"/>
          </w:tcPr>
          <w:p w14:paraId="6ABB42CF" w14:textId="77777777" w:rsidR="0066043F" w:rsidRDefault="0066043F" w:rsidP="005B3FB9">
            <w:pPr>
              <w:spacing w:before="240"/>
              <w:jc w:val="both"/>
            </w:pPr>
            <w:r>
              <w:lastRenderedPageBreak/>
              <w:t>1) komisjoni esimees;</w:t>
            </w:r>
          </w:p>
        </w:tc>
      </w:tr>
      <w:tr w:rsidR="0066043F" w14:paraId="587666C8" w14:textId="77777777" w:rsidTr="0066043F">
        <w:tc>
          <w:tcPr>
            <w:tcW w:w="5000" w:type="pct"/>
          </w:tcPr>
          <w:p w14:paraId="4B06A1B5" w14:textId="77777777" w:rsidR="0066043F" w:rsidRDefault="0066043F" w:rsidP="005B3FB9">
            <w:pPr>
              <w:spacing w:before="240"/>
              <w:jc w:val="both"/>
            </w:pPr>
            <w:r>
              <w:t>2) artikli 15 lõike 3 punktis 1 nimetatud politseiametnikud;</w:t>
            </w:r>
          </w:p>
        </w:tc>
      </w:tr>
      <w:tr w:rsidR="0066043F" w14:paraId="4FC49B49" w14:textId="77777777" w:rsidTr="0066043F">
        <w:tc>
          <w:tcPr>
            <w:tcW w:w="5000" w:type="pct"/>
          </w:tcPr>
          <w:p w14:paraId="5151F22D" w14:textId="77777777" w:rsidR="0066043F" w:rsidRDefault="0066043F" w:rsidP="005B3FB9">
            <w:pPr>
              <w:spacing w:before="240"/>
              <w:jc w:val="both"/>
            </w:pPr>
            <w:r>
              <w:t>3) komisjoni sekretariaadi liikmed, kelle ülesanded seda nõuavad ja kelle nimetab komisjon.</w:t>
            </w:r>
          </w:p>
        </w:tc>
      </w:tr>
      <w:tr w:rsidR="0066043F" w14:paraId="6B30C5EE" w14:textId="77777777" w:rsidTr="0066043F">
        <w:tc>
          <w:tcPr>
            <w:tcW w:w="5000" w:type="pct"/>
          </w:tcPr>
          <w:p w14:paraId="448631C9" w14:textId="77777777" w:rsidR="0066043F" w:rsidRDefault="0066043F" w:rsidP="005B3FB9">
            <w:pPr>
              <w:spacing w:before="240"/>
              <w:jc w:val="both"/>
            </w:pPr>
            <w:r>
              <w:t>§ 4. Kuningas määrab EPIS-i tehnilised ja finantstingimused.“;</w:t>
            </w:r>
          </w:p>
        </w:tc>
      </w:tr>
      <w:tr w:rsidR="0066043F" w14:paraId="5A9DBC93" w14:textId="77777777" w:rsidTr="0066043F">
        <w:tc>
          <w:tcPr>
            <w:tcW w:w="5000" w:type="pct"/>
          </w:tcPr>
          <w:p w14:paraId="49263A77" w14:textId="77777777" w:rsidR="0066043F" w:rsidRDefault="0066043F" w:rsidP="005B3FB9">
            <w:pPr>
              <w:spacing w:before="240"/>
              <w:jc w:val="both"/>
            </w:pPr>
            <w:r>
              <w:rPr>
                <w:b/>
              </w:rPr>
              <w:t xml:space="preserve">Artikkel 17. </w:t>
            </w:r>
            <w:r>
              <w:t>Samasse seadusesse lisatakse artikkel 55/2 järgmises sõnastuses.</w:t>
            </w:r>
          </w:p>
        </w:tc>
      </w:tr>
      <w:tr w:rsidR="0066043F" w14:paraId="01289C92" w14:textId="77777777" w:rsidTr="0066043F">
        <w:tc>
          <w:tcPr>
            <w:tcW w:w="5000" w:type="pct"/>
          </w:tcPr>
          <w:p w14:paraId="705828F8" w14:textId="77777777" w:rsidR="0066043F" w:rsidRDefault="0066043F" w:rsidP="005B3FB9">
            <w:pPr>
              <w:spacing w:before="240"/>
              <w:jc w:val="both"/>
            </w:pPr>
            <w:r>
              <w:t>„Artikkel 55/2. § 1. Kõik EPIS-i konsultatsioonid salvestatakse logifailis Log-EPIS, mille vastutav töötleja on komitee Euroopa Parlamendi ja nõukogu 27. aprilli 2016. aasta määruse (EL) 2016/679 (füüsiliste isikute kaitse kohta isikuandmete töötlemisel ja selliste andmete vaba liikumise ning direktiivi 95/46/EÜ kehtetuks tunnistamise kohta) (isikuandmete kaitse üldmäärus) artikli 4 lõike 7 tähenduses.</w:t>
            </w:r>
          </w:p>
        </w:tc>
      </w:tr>
      <w:tr w:rsidR="0066043F" w14:paraId="615D9220" w14:textId="77777777" w:rsidTr="0066043F">
        <w:tc>
          <w:tcPr>
            <w:tcW w:w="5000" w:type="pct"/>
          </w:tcPr>
          <w:p w14:paraId="0E0B44DD" w14:textId="77777777" w:rsidR="0066043F" w:rsidRDefault="0066043F" w:rsidP="005B3FB9">
            <w:pPr>
              <w:spacing w:before="240"/>
              <w:jc w:val="both"/>
            </w:pPr>
            <w:r>
              <w:t>Log-EPIS-süsteemi eesmärgid on järgmised:</w:t>
            </w:r>
          </w:p>
        </w:tc>
      </w:tr>
      <w:tr w:rsidR="0066043F" w14:paraId="049C0621" w14:textId="77777777" w:rsidTr="0066043F">
        <w:tc>
          <w:tcPr>
            <w:tcW w:w="5000" w:type="pct"/>
          </w:tcPr>
          <w:p w14:paraId="5DBBB1AC" w14:textId="77777777" w:rsidR="0066043F" w:rsidRDefault="0066043F" w:rsidP="005B3FB9">
            <w:pPr>
              <w:spacing w:before="240"/>
              <w:jc w:val="both"/>
            </w:pPr>
            <w:r>
              <w:t>1) kontrollida, kas litsentsi omanikud täidavad hasartmänguasutuse mängusaali sisenemisel või hasartmängude mängimisel nõuetekohaselt oma juriidilisi kohustusi seoses juurdepääsu kontrollimisega;</w:t>
            </w:r>
          </w:p>
        </w:tc>
      </w:tr>
      <w:tr w:rsidR="0066043F" w14:paraId="577013DA" w14:textId="77777777" w:rsidTr="0066043F">
        <w:tc>
          <w:tcPr>
            <w:tcW w:w="5000" w:type="pct"/>
          </w:tcPr>
          <w:p w14:paraId="70A3D004" w14:textId="77777777" w:rsidR="0066043F" w:rsidRDefault="0066043F" w:rsidP="005B3FB9">
            <w:pPr>
              <w:spacing w:before="240"/>
              <w:jc w:val="both"/>
            </w:pPr>
            <w:r>
              <w:t>2) EPIS-i mis tahes kahtlaste konsultatsioonide tuvastamine ja jälgimine.</w:t>
            </w:r>
          </w:p>
        </w:tc>
      </w:tr>
      <w:tr w:rsidR="0066043F" w14:paraId="4DF3EB99" w14:textId="77777777" w:rsidTr="0066043F">
        <w:tc>
          <w:tcPr>
            <w:tcW w:w="5000" w:type="pct"/>
          </w:tcPr>
          <w:p w14:paraId="01B66957" w14:textId="77777777" w:rsidR="0066043F" w:rsidRDefault="0066043F" w:rsidP="005B3FB9">
            <w:pPr>
              <w:spacing w:before="240"/>
              <w:jc w:val="both"/>
            </w:pPr>
            <w:r>
              <w:t>§ 2. Iga EPIS-i konsultatsiooni kohta registreeritakse Log-EPIS-is järgmised andmed:</w:t>
            </w:r>
          </w:p>
        </w:tc>
      </w:tr>
      <w:tr w:rsidR="0066043F" w14:paraId="63D42F7A" w14:textId="77777777" w:rsidTr="0066043F">
        <w:tc>
          <w:tcPr>
            <w:tcW w:w="5000" w:type="pct"/>
          </w:tcPr>
          <w:p w14:paraId="21A220E2" w14:textId="77777777" w:rsidR="0066043F" w:rsidRDefault="0066043F" w:rsidP="005B3FB9">
            <w:pPr>
              <w:spacing w:before="240"/>
              <w:jc w:val="both"/>
            </w:pPr>
            <w:r>
              <w:t>1) konsultatsiooni kuupäev ja kellaaeg;</w:t>
            </w:r>
          </w:p>
        </w:tc>
      </w:tr>
      <w:tr w:rsidR="0066043F" w14:paraId="31C22924" w14:textId="77777777" w:rsidTr="0066043F">
        <w:tc>
          <w:tcPr>
            <w:tcW w:w="5000" w:type="pct"/>
          </w:tcPr>
          <w:p w14:paraId="5E2E500F" w14:textId="77777777" w:rsidR="0066043F" w:rsidRDefault="0066043F" w:rsidP="005B3FB9">
            <w:pPr>
              <w:spacing w:before="240"/>
              <w:jc w:val="both"/>
            </w:pPr>
            <w:r>
              <w:t>2) artikli 55 lõike 2 punktides 1–3 nimetatud andmed;</w:t>
            </w:r>
          </w:p>
        </w:tc>
      </w:tr>
      <w:tr w:rsidR="0066043F" w14:paraId="236BC632" w14:textId="77777777" w:rsidTr="0066043F">
        <w:tc>
          <w:tcPr>
            <w:tcW w:w="5000" w:type="pct"/>
          </w:tcPr>
          <w:p w14:paraId="00B10DD1" w14:textId="77777777" w:rsidR="0066043F" w:rsidRDefault="0066043F" w:rsidP="005B3FB9">
            <w:pPr>
              <w:spacing w:before="240"/>
              <w:jc w:val="both"/>
            </w:pPr>
            <w:r>
              <w:t>3) selle mänguasutuse tegevusloa number, kust EPIS-iga konsulteeriti;</w:t>
            </w:r>
          </w:p>
        </w:tc>
      </w:tr>
      <w:tr w:rsidR="0066043F" w14:paraId="0F7326E1" w14:textId="77777777" w:rsidTr="0066043F">
        <w:tc>
          <w:tcPr>
            <w:tcW w:w="5000" w:type="pct"/>
          </w:tcPr>
          <w:p w14:paraId="789F39A3" w14:textId="77777777" w:rsidR="0066043F" w:rsidRDefault="0066043F" w:rsidP="005B3FB9">
            <w:pPr>
              <w:spacing w:before="240"/>
              <w:jc w:val="both"/>
            </w:pPr>
            <w:r>
              <w:t>4) EPIS-i kasutanud isiku litsentsi D number või artikli 55 lõikes 3 nimetatud isiku andmed;</w:t>
            </w:r>
          </w:p>
        </w:tc>
      </w:tr>
      <w:tr w:rsidR="0066043F" w14:paraId="5DDA7E2F" w14:textId="77777777" w:rsidTr="0066043F">
        <w:tc>
          <w:tcPr>
            <w:tcW w:w="5000" w:type="pct"/>
          </w:tcPr>
          <w:p w14:paraId="4FA73CF6" w14:textId="77777777" w:rsidR="0066043F" w:rsidRDefault="0066043F" w:rsidP="005B3FB9">
            <w:pPr>
              <w:spacing w:before="240"/>
              <w:jc w:val="both"/>
            </w:pPr>
            <w:r>
              <w:t>5) EPIS-i inspekteerimise tulemus;</w:t>
            </w:r>
          </w:p>
        </w:tc>
      </w:tr>
      <w:tr w:rsidR="0066043F" w14:paraId="6A60FBCF" w14:textId="77777777" w:rsidTr="0066043F">
        <w:tc>
          <w:tcPr>
            <w:tcW w:w="5000" w:type="pct"/>
          </w:tcPr>
          <w:p w14:paraId="2227C298" w14:textId="77777777" w:rsidR="0066043F" w:rsidRDefault="0066043F" w:rsidP="005B3FB9">
            <w:pPr>
              <w:spacing w:before="240"/>
              <w:jc w:val="both"/>
            </w:pPr>
            <w:r>
              <w:t>6) konsulteerimise eesmärk ja kui EPIS-iga tutvumise eesmärk on kohtupolitsei ülesannete täitmine, et kontrollida käesoleva seaduse ja selle rakendusmääruste täitmist, siis toimiku number, mille kohta päringut tehakse;</w:t>
            </w:r>
          </w:p>
        </w:tc>
      </w:tr>
      <w:tr w:rsidR="0066043F" w14:paraId="678B623E" w14:textId="77777777" w:rsidTr="0066043F">
        <w:tc>
          <w:tcPr>
            <w:tcW w:w="5000" w:type="pct"/>
          </w:tcPr>
          <w:p w14:paraId="25A9360D" w14:textId="77777777" w:rsidR="0066043F" w:rsidRDefault="0066043F" w:rsidP="005B3FB9">
            <w:pPr>
              <w:spacing w:before="240"/>
              <w:jc w:val="both"/>
            </w:pPr>
            <w:r>
              <w:t>7) artikli 54/1 lõikes 2 nimetatud identifitseerimisvahendid.</w:t>
            </w:r>
          </w:p>
        </w:tc>
      </w:tr>
      <w:tr w:rsidR="0066043F" w14:paraId="10DF9E13" w14:textId="77777777" w:rsidTr="0066043F">
        <w:tc>
          <w:tcPr>
            <w:tcW w:w="5000" w:type="pct"/>
          </w:tcPr>
          <w:p w14:paraId="6944D656" w14:textId="77777777" w:rsidR="0066043F" w:rsidRDefault="0066043F" w:rsidP="005B3FB9">
            <w:pPr>
              <w:spacing w:before="240"/>
              <w:jc w:val="both"/>
            </w:pPr>
            <w:r>
              <w:t>Esimeses lõikes osutatud teavet säilitatakse viis aastat alates EPIS-i konsultatsiooni kuupäevast.</w:t>
            </w:r>
          </w:p>
        </w:tc>
      </w:tr>
      <w:tr w:rsidR="0066043F" w14:paraId="7B48DC4C" w14:textId="77777777" w:rsidTr="0066043F">
        <w:tc>
          <w:tcPr>
            <w:tcW w:w="5000" w:type="pct"/>
          </w:tcPr>
          <w:p w14:paraId="6DC009E7" w14:textId="77777777" w:rsidR="0066043F" w:rsidRDefault="0066043F" w:rsidP="005B3FB9">
            <w:pPr>
              <w:spacing w:before="240"/>
              <w:jc w:val="both"/>
            </w:pPr>
            <w:r>
              <w:t>§ 3. Juurdepääs Log-EPIS-i andmetele on piiratud järgmisega:</w:t>
            </w:r>
          </w:p>
        </w:tc>
      </w:tr>
      <w:tr w:rsidR="0066043F" w14:paraId="4DD61F3D" w14:textId="77777777" w:rsidTr="0066043F">
        <w:tc>
          <w:tcPr>
            <w:tcW w:w="5000" w:type="pct"/>
          </w:tcPr>
          <w:p w14:paraId="353859B4" w14:textId="77777777" w:rsidR="0066043F" w:rsidRDefault="0066043F" w:rsidP="005B3FB9">
            <w:pPr>
              <w:spacing w:before="240"/>
              <w:jc w:val="both"/>
            </w:pPr>
            <w:r>
              <w:t>1) komisjoni esimees;</w:t>
            </w:r>
          </w:p>
        </w:tc>
      </w:tr>
      <w:tr w:rsidR="0066043F" w14:paraId="08B10F52" w14:textId="77777777" w:rsidTr="0066043F">
        <w:tc>
          <w:tcPr>
            <w:tcW w:w="5000" w:type="pct"/>
          </w:tcPr>
          <w:p w14:paraId="2A7940A0" w14:textId="77777777" w:rsidR="0066043F" w:rsidRDefault="0066043F" w:rsidP="005B3FB9">
            <w:pPr>
              <w:spacing w:before="240"/>
              <w:jc w:val="both"/>
            </w:pPr>
            <w:r>
              <w:t>2) artikli 15 lõike 3 punktis 1 nimetatud politseiametnikud;</w:t>
            </w:r>
          </w:p>
        </w:tc>
      </w:tr>
      <w:tr w:rsidR="0066043F" w14:paraId="67D5EF96" w14:textId="77777777" w:rsidTr="0066043F">
        <w:tc>
          <w:tcPr>
            <w:tcW w:w="5000" w:type="pct"/>
          </w:tcPr>
          <w:p w14:paraId="0BA5846D" w14:textId="77777777" w:rsidR="0066043F" w:rsidRDefault="0066043F" w:rsidP="005B3FB9">
            <w:pPr>
              <w:spacing w:before="240"/>
              <w:jc w:val="both"/>
            </w:pPr>
            <w:r>
              <w:t>3) komisjoni sekretariaadi liikmed, kelle ülesanded seda nõuavad ja kelle nimetab komisjon.“.</w:t>
            </w:r>
          </w:p>
        </w:tc>
      </w:tr>
      <w:tr w:rsidR="0066043F" w:rsidRPr="00CD7F70" w14:paraId="7F59D378" w14:textId="77777777" w:rsidTr="0066043F">
        <w:tc>
          <w:tcPr>
            <w:tcW w:w="5000" w:type="pct"/>
          </w:tcPr>
          <w:p w14:paraId="15552ADB" w14:textId="77777777" w:rsidR="0066043F" w:rsidRPr="008B5163"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rPr>
              <w:lastRenderedPageBreak/>
              <w:t xml:space="preserve">Artikkel 18. </w:t>
            </w:r>
            <w:r>
              <w:t>Samasse seadusesse lisatakse artikkel 55/3 järgmises sõnastuses.</w:t>
            </w:r>
          </w:p>
        </w:tc>
      </w:tr>
      <w:tr w:rsidR="0066043F" w14:paraId="41A0134D" w14:textId="77777777" w:rsidTr="0066043F">
        <w:tc>
          <w:tcPr>
            <w:tcW w:w="5000" w:type="pct"/>
          </w:tcPr>
          <w:p w14:paraId="12542870" w14:textId="77777777" w:rsidR="0066043F" w:rsidRDefault="0066043F" w:rsidP="005B3FB9">
            <w:pPr>
              <w:spacing w:before="240"/>
              <w:jc w:val="both"/>
            </w:pPr>
            <w:r>
              <w:t>„Artikkel 55/3. § 1. Vastavalt Euroopa Parlamendi ja nõukogu 27. aprilli 2016. aasta määruse (EL) 2016/679 (füüsiliste isikute kaitse kohta isikuandmete töötlemisel ja selliste andmete vaba liikumise ning direktiivi 95/46/EÜ kehtetuks tunnistamise kohta (isikuandmete kaitse üldmäärus)) artikli 6.4 ning artikli 23.1 punktidele e, g ja i võib komisjon Log-EPIS-i andmeid hiljem töödelda, et:</w:t>
            </w:r>
          </w:p>
        </w:tc>
      </w:tr>
      <w:tr w:rsidR="0066043F" w14:paraId="707061C3" w14:textId="77777777" w:rsidTr="0066043F">
        <w:tc>
          <w:tcPr>
            <w:tcW w:w="5000" w:type="pct"/>
          </w:tcPr>
          <w:p w14:paraId="351136CF" w14:textId="77777777" w:rsidR="0066043F" w:rsidRDefault="0066043F" w:rsidP="005B3FB9">
            <w:pPr>
              <w:spacing w:before="240"/>
              <w:jc w:val="both"/>
            </w:pPr>
            <w:r>
              <w:t>1) võimaldada tal kontrollida, kas litsentsiomanik täidab nõuetekohaselt oma artikli 54 kohaseid juriidilisi kohustusi;</w:t>
            </w:r>
          </w:p>
        </w:tc>
      </w:tr>
      <w:tr w:rsidR="0066043F" w14:paraId="5ACE8BAC" w14:textId="77777777" w:rsidTr="0066043F">
        <w:tc>
          <w:tcPr>
            <w:tcW w:w="5000" w:type="pct"/>
          </w:tcPr>
          <w:p w14:paraId="22636962" w14:textId="77777777" w:rsidR="0066043F" w:rsidRDefault="0066043F" w:rsidP="005B3FB9">
            <w:pPr>
              <w:spacing w:before="240"/>
              <w:jc w:val="both"/>
            </w:pPr>
            <w:r>
              <w:t>2) võimaldada tal täita talle artikli 54 lõike 3 punktiga 4 antud mängijate kaitse ülesannet.</w:t>
            </w:r>
          </w:p>
        </w:tc>
      </w:tr>
      <w:tr w:rsidR="0066043F" w14:paraId="34940354" w14:textId="77777777" w:rsidTr="0066043F">
        <w:tc>
          <w:tcPr>
            <w:tcW w:w="5000" w:type="pct"/>
          </w:tcPr>
          <w:p w14:paraId="40D132BB" w14:textId="77777777" w:rsidR="0066043F" w:rsidRDefault="0066043F" w:rsidP="005B3FB9">
            <w:pPr>
              <w:spacing w:before="240"/>
              <w:jc w:val="both"/>
            </w:pPr>
            <w:r>
              <w:t>§ 2. Kooskõlas Euroopa Parlamendi ja nõukogu 27. aprilli 2016. aasta määruse (EL) 2016/679 (füüsiliste isikute kaitse kohta isikuandmete töötlemisel ja selliste andmete vaba liikumise ning direktiivi 95/46/EÜ kehtetuks tunnistamise kohta (isikuandmete kaitse üldmäärus)) artikli 6.4 ning artikli 23.1 punktidega e ja g võib komisjon Log-EPIS-i andmeid hiljem töödelda, et:</w:t>
            </w:r>
          </w:p>
        </w:tc>
      </w:tr>
      <w:tr w:rsidR="0066043F" w14:paraId="0659D4BE" w14:textId="77777777" w:rsidTr="0066043F">
        <w:tc>
          <w:tcPr>
            <w:tcW w:w="5000" w:type="pct"/>
          </w:tcPr>
          <w:p w14:paraId="2D508DBA" w14:textId="77777777" w:rsidR="0066043F" w:rsidRDefault="0066043F" w:rsidP="005B3FB9">
            <w:pPr>
              <w:spacing w:before="240"/>
              <w:jc w:val="both"/>
            </w:pPr>
            <w:r>
              <w:t>1) võimaldada politseiteenistuse liikmetel, kelle on ametisse nimetanud nende korpuse juht, direktor või peadirektor nende teadmisvajaduse alusel, täita 5. augusti 1992. aasta seaduse (politseiteenistuse kohta) artiklis 15 nimetatud ülesandeid, kui uurimine on seotud kriminaalmenetluse seadustiku artikli 90b lõigetes 2–4 nimetatud kuritegude või süütegudega. Sellega seoses võib avalikustada ainult käesoleva seaduse artikli 55/2 lõike 2 punktides 1–3 nimetatud andmeid;</w:t>
            </w:r>
          </w:p>
        </w:tc>
      </w:tr>
      <w:tr w:rsidR="0066043F" w14:paraId="0ED6999E" w14:textId="77777777" w:rsidTr="0066043F">
        <w:tc>
          <w:tcPr>
            <w:tcW w:w="5000" w:type="pct"/>
          </w:tcPr>
          <w:p w14:paraId="3F432B08" w14:textId="77777777" w:rsidR="0066043F" w:rsidRDefault="0066043F" w:rsidP="005B3FB9">
            <w:pPr>
              <w:spacing w:before="240"/>
              <w:jc w:val="both"/>
            </w:pPr>
            <w:r>
              <w:t>2) võimaldada alalise komitee P uurimistalituse liikmetel täita 18. juuli 1991. aasta politsei- ja luureteenistuste ning ohtude analüüsi koordineeriva asutuse järelevalve alusseaduse artiklis 16 nimetatud ülesandeid;</w:t>
            </w:r>
          </w:p>
        </w:tc>
      </w:tr>
      <w:tr w:rsidR="0066043F" w14:paraId="191E4F4D" w14:textId="77777777" w:rsidTr="0066043F">
        <w:tc>
          <w:tcPr>
            <w:tcW w:w="5000" w:type="pct"/>
          </w:tcPr>
          <w:p w14:paraId="59CFEF5B" w14:textId="77777777" w:rsidR="0066043F" w:rsidRDefault="0066043F" w:rsidP="005B3FB9">
            <w:pPr>
              <w:spacing w:before="240"/>
              <w:jc w:val="both"/>
            </w:pPr>
            <w:r>
              <w:t>3) võimaldada föderaal- ja kohaliku politsei peainspektsiooni liikmetel täita 15. mai 2007. aasta peainspektsiooni seaduse (peainspektsiooni kohta) artikli 4 lõigetes 3 ja 4 nimetatud ülesandeid ning näha ette erinevad sätted teatavate politseiliikmete staatuse kohta oma seadusjärgsete ülesannete täitmiseks.</w:t>
            </w:r>
          </w:p>
        </w:tc>
      </w:tr>
      <w:tr w:rsidR="0066043F" w14:paraId="1804C756" w14:textId="77777777" w:rsidTr="0066043F">
        <w:tc>
          <w:tcPr>
            <w:tcW w:w="5000" w:type="pct"/>
          </w:tcPr>
          <w:p w14:paraId="3AD4FD43" w14:textId="77777777" w:rsidR="0066043F" w:rsidRDefault="0066043F" w:rsidP="005B3FB9">
            <w:pPr>
              <w:spacing w:before="240"/>
              <w:jc w:val="both"/>
            </w:pPr>
            <w:r>
              <w:rPr>
                <w:b/>
              </w:rPr>
              <w:t xml:space="preserve">Artikkel 19. </w:t>
            </w:r>
            <w:r>
              <w:t>Samasse seadusesse lisatakse artikkel 55/4 järgmises sõnastuses.</w:t>
            </w:r>
          </w:p>
        </w:tc>
      </w:tr>
      <w:tr w:rsidR="0066043F" w14:paraId="1EF25886" w14:textId="77777777" w:rsidTr="0066043F">
        <w:tc>
          <w:tcPr>
            <w:tcW w:w="5000" w:type="pct"/>
          </w:tcPr>
          <w:p w14:paraId="0A5FF979" w14:textId="77777777" w:rsidR="0066043F" w:rsidRDefault="0066043F" w:rsidP="005B3FB9">
            <w:pPr>
              <w:spacing w:before="240"/>
              <w:jc w:val="both"/>
            </w:pPr>
            <w:r>
              <w:t>„Artikkel 55/4. § 1. I või II klassi hasartmängusaali või IV klassi püsihasartmänguasutuse korraldaja peab registrit nende isikute tuvastamiseks, kes sisenevad oma ettevõtte mängusaali ametialasel põhjusel, mida nimetatakse „professionaalide registriks“, mille puhul ta on vastutav töötleja Euroopa Parlamendi ja nõukogu 27. aprilli 2016. aasta määruse (EL) 2016/679 üksikisikute kaitse kohta isikuandmete töötlemisel ja selliste andmete vaba liikumise ning direktiivi 95/46/EÜ kehtetuks tunnistamise kohta (isikuandmete kaitse üldmäärus) artikli 4 lõike 7 tähenduses.</w:t>
            </w:r>
          </w:p>
        </w:tc>
      </w:tr>
      <w:tr w:rsidR="0066043F" w14:paraId="328BB479" w14:textId="77777777" w:rsidTr="0066043F">
        <w:tc>
          <w:tcPr>
            <w:tcW w:w="5000" w:type="pct"/>
          </w:tcPr>
          <w:p w14:paraId="523ABDAF" w14:textId="77777777" w:rsidR="0066043F" w:rsidRDefault="0066043F" w:rsidP="005B3FB9">
            <w:pPr>
              <w:spacing w:before="240"/>
              <w:jc w:val="both"/>
            </w:pPr>
            <w:r>
              <w:t>Kutseala esindajate registri eesmärk on võimaldada ettevõtjal põhjendada, miks ta lubas inimestele juurdepääsu oma hasartmänguasutuse mängusaali ilma neid EPIS-i kontrollile allutamata.</w:t>
            </w:r>
          </w:p>
        </w:tc>
      </w:tr>
      <w:tr w:rsidR="0066043F" w14:paraId="2B93E5B1" w14:textId="77777777" w:rsidTr="0066043F">
        <w:tc>
          <w:tcPr>
            <w:tcW w:w="5000" w:type="pct"/>
          </w:tcPr>
          <w:p w14:paraId="34974DE4" w14:textId="77777777" w:rsidR="0066043F" w:rsidRDefault="0066043F" w:rsidP="005B3FB9">
            <w:pPr>
              <w:spacing w:before="240"/>
              <w:jc w:val="both"/>
            </w:pPr>
            <w:r>
              <w:t>§ 2. Iga isiku kohta, kes siseneb hasartmänguasutuse mängusaali ametialasel põhjusel, kantakse kutseala esindajate registrisse järgmised andmed:</w:t>
            </w:r>
          </w:p>
        </w:tc>
      </w:tr>
      <w:tr w:rsidR="0066043F" w14:paraId="10DE9A20" w14:textId="77777777" w:rsidTr="0066043F">
        <w:tc>
          <w:tcPr>
            <w:tcW w:w="5000" w:type="pct"/>
          </w:tcPr>
          <w:p w14:paraId="63DF842D" w14:textId="77777777" w:rsidR="0066043F" w:rsidRDefault="0066043F" w:rsidP="005B3FB9">
            <w:pPr>
              <w:spacing w:before="240"/>
              <w:jc w:val="both"/>
            </w:pPr>
            <w:r>
              <w:t>1) perekonna- ja eesnimed;</w:t>
            </w:r>
          </w:p>
        </w:tc>
      </w:tr>
      <w:tr w:rsidR="0066043F" w14:paraId="0908FE3A" w14:textId="77777777" w:rsidTr="0066043F">
        <w:tc>
          <w:tcPr>
            <w:tcW w:w="5000" w:type="pct"/>
          </w:tcPr>
          <w:p w14:paraId="46CB870E" w14:textId="77777777" w:rsidR="0066043F" w:rsidRDefault="0066043F" w:rsidP="005B3FB9">
            <w:pPr>
              <w:spacing w:before="240"/>
              <w:jc w:val="both"/>
            </w:pPr>
            <w:r>
              <w:t>2) külastuse põhjus, kuupäev ja kellaaeg;</w:t>
            </w:r>
          </w:p>
        </w:tc>
      </w:tr>
      <w:tr w:rsidR="0066043F" w14:paraId="5F488C84" w14:textId="77777777" w:rsidTr="0066043F">
        <w:tc>
          <w:tcPr>
            <w:tcW w:w="5000" w:type="pct"/>
          </w:tcPr>
          <w:p w14:paraId="390DBE41" w14:textId="77777777" w:rsidR="0066043F" w:rsidRDefault="0066043F" w:rsidP="005B3FB9">
            <w:pPr>
              <w:spacing w:before="240"/>
              <w:jc w:val="both"/>
            </w:pPr>
            <w:r>
              <w:lastRenderedPageBreak/>
              <w:t>3) allkiri, mille ees on tekst: „Juurdepääs hasartmänguasutusele on mulle antud ainult minu kutsetegevuse raames ning kohustun mitte osalema üheski selles kontekstis korraldatavas hasartmängus“.</w:t>
            </w:r>
          </w:p>
        </w:tc>
      </w:tr>
      <w:tr w:rsidR="0066043F" w14:paraId="257955AA" w14:textId="77777777" w:rsidTr="0066043F">
        <w:tc>
          <w:tcPr>
            <w:tcW w:w="5000" w:type="pct"/>
          </w:tcPr>
          <w:p w14:paraId="7D439A09" w14:textId="77777777" w:rsidR="0066043F" w:rsidRDefault="0066043F" w:rsidP="005B3FB9">
            <w:pPr>
              <w:spacing w:before="240"/>
              <w:jc w:val="both"/>
            </w:pPr>
            <w:r>
              <w:t>Esimeses lõigus osutatud teavet säilitatakse üks aasta.</w:t>
            </w:r>
          </w:p>
        </w:tc>
      </w:tr>
      <w:tr w:rsidR="0066043F" w14:paraId="107B44E2" w14:textId="77777777" w:rsidTr="0066043F">
        <w:tc>
          <w:tcPr>
            <w:tcW w:w="5000" w:type="pct"/>
          </w:tcPr>
          <w:p w14:paraId="3AD8211E" w14:textId="77777777" w:rsidR="0066043F" w:rsidRDefault="0066043F" w:rsidP="005B3FB9">
            <w:pPr>
              <w:spacing w:before="240"/>
              <w:jc w:val="both"/>
            </w:pPr>
            <w:r>
              <w:t>§ 3. Juurdepääs kutseala esindajate registris sisalduvatele andmetele on üksnes komisjoni sekretariaadi liikmetel, kes vastutavad käesoleva seaduse ja selle rakendusmääruste rikkumiste uurimise ja avastamise eest, ning artikli 15 lõike 3 punktis 1 nimetatud politseiametnikel.“</w:t>
            </w:r>
          </w:p>
        </w:tc>
      </w:tr>
      <w:tr w:rsidR="0066043F" w14:paraId="121755DF" w14:textId="77777777" w:rsidTr="0066043F">
        <w:tc>
          <w:tcPr>
            <w:tcW w:w="5000" w:type="pct"/>
          </w:tcPr>
          <w:p w14:paraId="640E426E" w14:textId="77777777" w:rsidR="0066043F" w:rsidRDefault="0066043F" w:rsidP="005B3FB9">
            <w:pPr>
              <w:spacing w:before="240"/>
              <w:jc w:val="both"/>
            </w:pPr>
            <w:r>
              <w:rPr>
                <w:b/>
              </w:rPr>
              <w:t xml:space="preserve">Artikkel 20. </w:t>
            </w:r>
            <w:r>
              <w:t>Samasse seadusesse lisatakse artikkel 55/5 järgmises sõnastuses.</w:t>
            </w:r>
          </w:p>
        </w:tc>
      </w:tr>
      <w:tr w:rsidR="0066043F" w14:paraId="2F470EFA" w14:textId="77777777" w:rsidTr="0066043F">
        <w:tc>
          <w:tcPr>
            <w:tcW w:w="5000" w:type="pct"/>
          </w:tcPr>
          <w:p w14:paraId="244612AC" w14:textId="77777777" w:rsidR="0066043F" w:rsidRDefault="0066043F" w:rsidP="005B3FB9">
            <w:pPr>
              <w:spacing w:before="240"/>
              <w:jc w:val="both"/>
            </w:pPr>
            <w:r>
              <w:t>„Artikkel 55/5. § 1. Kui mis tahes põhjusel, mis ei sõltu operaatorist, ei ole võimalik EPIS-i andmetega tutvuda, tuleb mängijate andmed kanda eraldi varuregistrisse, mida peab artikli 54/1 lõikes 1 osutatud litsentsiomanik ning mida nimetatakse varuregistriks, mille puhul ta on vastutav töötleja Euroopa Parlamendi ja nõukogu 27. aprilli 2016. aasta määruse (EL) 2016/679 üksikisikute kaitse kohta isikuandmete töötlemisel ja selliste andmete vaba liikumise ning direktiivi 95/46/EÜ kehtetuks tunnistamise kohta (isikuandmete kaitse üldmäärus) artikli 4 lõike 7 tähenduses.</w:t>
            </w:r>
          </w:p>
        </w:tc>
      </w:tr>
      <w:tr w:rsidR="0066043F" w14:paraId="777C14F2" w14:textId="77777777" w:rsidTr="0066043F">
        <w:tc>
          <w:tcPr>
            <w:tcW w:w="5000" w:type="pct"/>
          </w:tcPr>
          <w:p w14:paraId="54165307" w14:textId="77777777" w:rsidR="0066043F" w:rsidRDefault="0066043F" w:rsidP="005B3FB9">
            <w:pPr>
              <w:spacing w:before="240"/>
              <w:jc w:val="both"/>
            </w:pPr>
            <w:r>
              <w:t>Kui mis tahes põhjusel, mis ei ole ettevõtja kontrolli all, ei ole võimalik kasutada EPIS-i artikli 54/1 lõikes 3 osutatud arvutisüsteemi abil, võib artikli 54/1 lõikes 3 osutatud loa omanik pärast potentsiaalse mängija isikusamasuse ja vanuse kontrollimist seadme kasutuskaardiga sisse lülitada.</w:t>
            </w:r>
          </w:p>
        </w:tc>
      </w:tr>
      <w:tr w:rsidR="0066043F" w14:paraId="24022FDA" w14:textId="77777777" w:rsidTr="0066043F">
        <w:tc>
          <w:tcPr>
            <w:tcW w:w="5000" w:type="pct"/>
          </w:tcPr>
          <w:p w14:paraId="6E3C8D36" w14:textId="77777777" w:rsidR="0066043F" w:rsidRDefault="0066043F" w:rsidP="005B3FB9">
            <w:pPr>
              <w:spacing w:before="240"/>
              <w:jc w:val="both"/>
            </w:pPr>
            <w:r>
              <w:t>Varuregistri eesmärk on võimaldada hasartmänguasutuste pidajatel kohe pärast seda, kui EPIS on taas saadaval, teha mängijatele EPIS-i kontroll ning välistada hasartmängusaalidest või hasartmänguseadmetest mängukeeluga isikud.</w:t>
            </w:r>
          </w:p>
        </w:tc>
      </w:tr>
      <w:tr w:rsidR="0066043F" w14:paraId="2EFBEBBD" w14:textId="77777777" w:rsidTr="0066043F">
        <w:tc>
          <w:tcPr>
            <w:tcW w:w="5000" w:type="pct"/>
          </w:tcPr>
          <w:p w14:paraId="02F292F1" w14:textId="77777777" w:rsidR="0066043F" w:rsidRDefault="0066043F" w:rsidP="005B3FB9">
            <w:pPr>
              <w:spacing w:before="240"/>
              <w:jc w:val="both"/>
            </w:pPr>
            <w:r>
              <w:t>§ 2. Iga mängija kohta on varuregistrisse salvestatud andmed järgmised:</w:t>
            </w:r>
          </w:p>
        </w:tc>
      </w:tr>
      <w:tr w:rsidR="0066043F" w14:paraId="46D704FE" w14:textId="77777777" w:rsidTr="0066043F">
        <w:tc>
          <w:tcPr>
            <w:tcW w:w="5000" w:type="pct"/>
          </w:tcPr>
          <w:p w14:paraId="118F7061" w14:textId="77777777" w:rsidR="0066043F" w:rsidRDefault="0066043F" w:rsidP="005B3FB9">
            <w:pPr>
              <w:spacing w:before="240"/>
              <w:jc w:val="both"/>
            </w:pPr>
            <w:r>
              <w:t>1) perekonna- ja eesnimed;</w:t>
            </w:r>
          </w:p>
        </w:tc>
      </w:tr>
      <w:tr w:rsidR="0066043F" w14:paraId="61FE8821" w14:textId="77777777" w:rsidTr="0066043F">
        <w:tc>
          <w:tcPr>
            <w:tcW w:w="5000" w:type="pct"/>
          </w:tcPr>
          <w:p w14:paraId="41E75040" w14:textId="77777777" w:rsidR="0066043F" w:rsidRDefault="0066043F" w:rsidP="005B3FB9">
            <w:pPr>
              <w:spacing w:before="240"/>
              <w:jc w:val="both"/>
            </w:pPr>
            <w:r>
              <w:t>2) sünniaeg;</w:t>
            </w:r>
          </w:p>
        </w:tc>
      </w:tr>
      <w:tr w:rsidR="0066043F" w14:paraId="6CF9C4A7" w14:textId="77777777" w:rsidTr="0066043F">
        <w:tc>
          <w:tcPr>
            <w:tcW w:w="5000" w:type="pct"/>
          </w:tcPr>
          <w:p w14:paraId="7CB954DE" w14:textId="77777777" w:rsidR="0066043F" w:rsidRDefault="0066043F" w:rsidP="005B3FB9">
            <w:pPr>
              <w:spacing w:before="240"/>
              <w:jc w:val="both"/>
            </w:pPr>
            <w:r>
              <w:t>3) riikliku füüsiliste isikute registri identifitseerimisnumber või kui mõnes teises Euroopa Majanduspiirkonna liikmesriigis väljastatud isikutunnistuse number ei ole teada, passi number või teise võimalusena Banque Carrefouri identifitseerimisnumber, millele on osutatud 15. jaanuari 1990. aasta seaduse Banque Carrefouri sotsiaalkindlustuse loomise ja korraldamise kohta artikli 8 lõike 1 punktis 2.</w:t>
            </w:r>
          </w:p>
        </w:tc>
      </w:tr>
      <w:tr w:rsidR="0066043F" w14:paraId="4C7DE81B" w14:textId="77777777" w:rsidTr="0066043F">
        <w:tc>
          <w:tcPr>
            <w:tcW w:w="5000" w:type="pct"/>
          </w:tcPr>
          <w:p w14:paraId="44FA2C2F" w14:textId="77777777" w:rsidR="0066043F" w:rsidRDefault="0066043F" w:rsidP="005B3FB9">
            <w:pPr>
              <w:spacing w:before="240"/>
              <w:jc w:val="both"/>
            </w:pPr>
            <w:r>
              <w:t>§ 3. Juurdepääs varuregistri andmetele on üksnes komisjoni sekretariaadi liikmetel, kes vastutavad käesoleva seaduse ja selle rakendusmääruste rikkumiste uurimise ja avastamise eest, ning artikli 15 lõike 3 punktis 1 nimetatud politseiametnikel.</w:t>
            </w:r>
          </w:p>
        </w:tc>
      </w:tr>
      <w:tr w:rsidR="0066043F" w14:paraId="0EB49C1B" w14:textId="77777777" w:rsidTr="0066043F">
        <w:tc>
          <w:tcPr>
            <w:tcW w:w="5000" w:type="pct"/>
          </w:tcPr>
          <w:p w14:paraId="153E3644" w14:textId="77777777" w:rsidR="0066043F" w:rsidRDefault="0066043F" w:rsidP="005B3FB9">
            <w:pPr>
              <w:spacing w:before="240"/>
              <w:jc w:val="both"/>
            </w:pPr>
            <w:r>
              <w:t>§ 4. Loaomanik teatab viivitamata hasartmängukomisjonile ja allhankijale, kelle komisjon on valinud EPIS-i majutamiseks ja EPIS-ile juurdepääsu haldamiseks, sellest, et EPIS-i ei ole võimalik kasutada.</w:t>
            </w:r>
          </w:p>
        </w:tc>
      </w:tr>
      <w:tr w:rsidR="0066043F" w14:paraId="3727D729" w14:textId="77777777" w:rsidTr="0066043F">
        <w:tc>
          <w:tcPr>
            <w:tcW w:w="5000" w:type="pct"/>
          </w:tcPr>
          <w:p w14:paraId="41D583A3" w14:textId="77777777" w:rsidR="0066043F" w:rsidRDefault="0066043F" w:rsidP="005B3FB9">
            <w:pPr>
              <w:spacing w:before="240"/>
              <w:jc w:val="both"/>
            </w:pPr>
            <w:r>
              <w:t>Kui EPIS on taas kasutatav, peab litsentsiomanik kontrollima kõiki varukoopia registris olevaid mängijaid külastuse kuupäeva ja kellaaja järgi. Kui need mängijad on keelatud, keelatakse neil kohe hasartmängudele juurdepääs või nendega tegelemine ning sellest tuleb viivitamatult teavitada komisjoni.</w:t>
            </w:r>
          </w:p>
        </w:tc>
      </w:tr>
      <w:tr w:rsidR="0066043F" w14:paraId="64362DEC" w14:textId="77777777" w:rsidTr="0066043F">
        <w:tc>
          <w:tcPr>
            <w:tcW w:w="5000" w:type="pct"/>
          </w:tcPr>
          <w:p w14:paraId="0E761CA9" w14:textId="77777777" w:rsidR="0066043F" w:rsidRDefault="0066043F" w:rsidP="005B3FB9">
            <w:pPr>
              <w:spacing w:before="240"/>
              <w:jc w:val="both"/>
            </w:pPr>
            <w:r>
              <w:t>Pärast seda kontrolli peab litsentsiomanik nimekirja viivitamata hävitama.“</w:t>
            </w:r>
          </w:p>
        </w:tc>
      </w:tr>
      <w:tr w:rsidR="0066043F" w14:paraId="692AD42D" w14:textId="77777777" w:rsidTr="0066043F">
        <w:tc>
          <w:tcPr>
            <w:tcW w:w="5000" w:type="pct"/>
          </w:tcPr>
          <w:p w14:paraId="0D8CAF39" w14:textId="77777777" w:rsidR="0066043F" w:rsidRDefault="0066043F" w:rsidP="005B3FB9">
            <w:pPr>
              <w:spacing w:before="240"/>
              <w:jc w:val="both"/>
            </w:pPr>
            <w:r>
              <w:rPr>
                <w:b/>
              </w:rPr>
              <w:lastRenderedPageBreak/>
              <w:t>Artikkel 21.</w:t>
            </w:r>
            <w:r>
              <w:t xml:space="preserve"> Selle seaduse artikli 61 lõikes 3, mis lisati 10. jaanuari 2010. aasta seadusega, lisatakse sõnade „I, II, III ja IV klassi“ ja sõnade „lehed“ vahele sõnad „ja artikli 43/5 lõike 5 punktis 1 nimetatud loaomanikud“.</w:t>
            </w:r>
          </w:p>
        </w:tc>
      </w:tr>
      <w:tr w:rsidR="0066043F" w14:paraId="3CF40967" w14:textId="77777777" w:rsidTr="0066043F">
        <w:tc>
          <w:tcPr>
            <w:tcW w:w="5000" w:type="pct"/>
          </w:tcPr>
          <w:p w14:paraId="2B1AC493" w14:textId="77777777" w:rsidR="0066043F" w:rsidRDefault="0066043F" w:rsidP="005B3FB9">
            <w:pPr>
              <w:spacing w:before="240"/>
              <w:jc w:val="both"/>
            </w:pPr>
            <w:r>
              <w:rPr>
                <w:b/>
              </w:rPr>
              <w:t>Artikkel 22.</w:t>
            </w:r>
            <w:r>
              <w:t xml:space="preserve"> Sama seaduse (viimati muudetud 10. jaanuari 2010. aasta seadusega) artiklis 63 asendatakse sõnad „ühe kuu kuni kolme aasta pikkuse vangistuse ja 26–25 000 frangi suuruse trahvi või ühega nendest karistustest“ sõnadega „26–120 000 EUR suuruse rahatrahviga“.</w:t>
            </w:r>
          </w:p>
        </w:tc>
      </w:tr>
      <w:tr w:rsidR="0066043F" w14:paraId="64F4A5D4" w14:textId="77777777" w:rsidTr="0066043F">
        <w:tc>
          <w:tcPr>
            <w:tcW w:w="5000" w:type="pct"/>
          </w:tcPr>
          <w:p w14:paraId="791991A0" w14:textId="77777777" w:rsidR="0066043F" w:rsidRDefault="0066043F" w:rsidP="005B3FB9">
            <w:pPr>
              <w:spacing w:before="240"/>
              <w:jc w:val="both"/>
            </w:pPr>
            <w:r>
              <w:rPr>
                <w:b/>
              </w:rPr>
              <w:t>Artikkel 23.</w:t>
            </w:r>
            <w:r>
              <w:t xml:space="preserve"> Selle seaduse artikkel 64, mida on viimati muudetud 18. jaanuari 2024. aasta seadustega, asendatakse järgmisega:</w:t>
            </w:r>
          </w:p>
        </w:tc>
      </w:tr>
      <w:tr w:rsidR="0066043F" w14:paraId="17A38BE3" w14:textId="77777777" w:rsidTr="0066043F">
        <w:tc>
          <w:tcPr>
            <w:tcW w:w="5000" w:type="pct"/>
          </w:tcPr>
          <w:p w14:paraId="188A95DA" w14:textId="41F27EDD" w:rsidR="0066043F" w:rsidRDefault="0066043F" w:rsidP="005B3FB9">
            <w:pPr>
              <w:spacing w:before="240"/>
              <w:jc w:val="both"/>
            </w:pPr>
            <w:r>
              <w:t>„Artikkel 64. Artikli 4 lõike 2 punktide 4 ja 5, artiklite 43/1, 43/2, 43/2/1 43/3, 43/4, 60, artikli 61 lõigete 2 ja 3 ning nende artiklite rakendusdekreetide rikkumise toimepanijaid karistatakse rahatrahviga 26–72 000 eurot.“</w:t>
            </w:r>
          </w:p>
        </w:tc>
      </w:tr>
      <w:tr w:rsidR="0066043F" w14:paraId="6E9F3319" w14:textId="77777777" w:rsidTr="0066043F">
        <w:tc>
          <w:tcPr>
            <w:tcW w:w="5000" w:type="pct"/>
          </w:tcPr>
          <w:p w14:paraId="783A4613" w14:textId="77777777" w:rsidR="0066043F" w:rsidRDefault="0066043F" w:rsidP="005B3FB9">
            <w:pPr>
              <w:spacing w:before="240"/>
              <w:jc w:val="both"/>
            </w:pPr>
            <w:r>
              <w:rPr>
                <w:b/>
              </w:rPr>
              <w:t>Artikkel 24.</w:t>
            </w:r>
            <w:r>
              <w:t xml:space="preserve"> Sama seaduse artikli 65 lõikes 2 asendatakse sõnad „alla 18-aastase isiku“ sõnadega „alla 21-aastase isiku“.</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3. PEATÜKK.  – </w:t>
            </w:r>
            <w:r>
              <w:rPr>
                <w:i/>
              </w:rPr>
              <w:t>Kinnitus 31. jaanuari 2024. aasta kuningliku dekreedi kohta, mis käsitleb A, A+, B, B+, C, E, F1, F1+ ja F2-klassi litsentside omanike panust hasartmängukomisjoni tegevus-, personali- ja paigalduskuludesse 2024. kalendriaastal</w:t>
            </w:r>
          </w:p>
        </w:tc>
      </w:tr>
      <w:tr w:rsidR="0066043F" w14:paraId="0361E2FC" w14:textId="77777777" w:rsidTr="0066043F">
        <w:tc>
          <w:tcPr>
            <w:tcW w:w="5000" w:type="pct"/>
          </w:tcPr>
          <w:p w14:paraId="5D82F0EF" w14:textId="77777777" w:rsidR="0066043F" w:rsidRDefault="0066043F" w:rsidP="005B3FB9">
            <w:pPr>
              <w:spacing w:before="240"/>
              <w:jc w:val="both"/>
            </w:pPr>
            <w:r>
              <w:rPr>
                <w:b/>
              </w:rPr>
              <w:t>Artikkel 25.</w:t>
            </w:r>
            <w:r>
              <w:t xml:space="preserve"> Alates selle jõustumise kuupäevast kinnitatakse 31. jaanuari 2024. aasta kuninglik dekreet hasartmängukomisjoni tegevus-, personali- ja paigalduskulude hüvitamise kohta, mida peavad maksma A-, A+, B+, C-, E-, F1-, F1+ ja F2-klassi litsentside omanikud 2024. kalendriaastal.</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4. peatükk. – </w:t>
            </w:r>
            <w:r>
              <w:rPr>
                <w:i/>
              </w:rPr>
              <w:t>Kehtetuks tunnistamise sätted</w:t>
            </w:r>
          </w:p>
        </w:tc>
      </w:tr>
      <w:tr w:rsidR="0066043F" w14:paraId="3C2F9B72" w14:textId="77777777" w:rsidTr="0066043F">
        <w:tc>
          <w:tcPr>
            <w:tcW w:w="5000" w:type="pct"/>
          </w:tcPr>
          <w:p w14:paraId="7A20176D" w14:textId="77777777" w:rsidR="0066043F" w:rsidRDefault="0066043F" w:rsidP="005B3FB9">
            <w:pPr>
              <w:spacing w:before="240"/>
              <w:jc w:val="both"/>
            </w:pPr>
            <w:r>
              <w:rPr>
                <w:b/>
              </w:rPr>
              <w:t>Artikkel 26.</w:t>
            </w:r>
            <w:r>
              <w:t xml:space="preserve"> Sama seaduse artikkel 62, mida on muudetud 10. jaanuari 2010. aasta, 7. mai 2019. aasta ja 30. juuli 2022. aasta seadustega, tunnistatakse kehtetuks.</w:t>
            </w:r>
          </w:p>
        </w:tc>
      </w:tr>
      <w:tr w:rsidR="0066043F" w14:paraId="726293BB" w14:textId="77777777" w:rsidTr="0066043F">
        <w:tc>
          <w:tcPr>
            <w:tcW w:w="5000" w:type="pct"/>
          </w:tcPr>
          <w:p w14:paraId="096B3F28" w14:textId="77777777" w:rsidR="0066043F" w:rsidRDefault="0066043F" w:rsidP="005B3FB9">
            <w:pPr>
              <w:spacing w:before="240"/>
              <w:jc w:val="both"/>
            </w:pPr>
            <w:r>
              <w:rPr>
                <w:b/>
              </w:rPr>
              <w:t>Artikkel 27.</w:t>
            </w:r>
            <w:r>
              <w:t xml:space="preserve"> Käesolevaga tunnistatakse kehtetuks 26. juuni 2002. aasta kuninglik dekreet, millega kehtestatakse hasartmängukomisjoni kaebuste ja nõuete vastuvõtmise kord.</w:t>
            </w:r>
          </w:p>
        </w:tc>
      </w:tr>
      <w:tr w:rsidR="0066043F" w14:paraId="510EFD61" w14:textId="77777777" w:rsidTr="0066043F">
        <w:tc>
          <w:tcPr>
            <w:tcW w:w="5000" w:type="pct"/>
          </w:tcPr>
          <w:p w14:paraId="4ACA6199" w14:textId="77777777" w:rsidR="0066043F" w:rsidRDefault="0066043F" w:rsidP="005B3FB9">
            <w:pPr>
              <w:spacing w:before="240"/>
              <w:jc w:val="both"/>
            </w:pPr>
            <w:r>
              <w:rPr>
                <w:b/>
              </w:rPr>
              <w:t>Artikkel 28.</w:t>
            </w:r>
            <w:r>
              <w:t xml:space="preserve"> Käesolevaga tunnistatakse kehtetuks 15. detsembri 2004. aasta kuninglik dekreet I klassi mängusaalidele ja II klassi hasartmänguasutustele ning IV klassi fikseeritud hasartmänguasutustele juurdepääsu registri kohta, mida on muudetud 20. märtsi 2022. aasta ja 6. septembri 2022. aasta kuninglike dekreetidega.</w:t>
            </w:r>
          </w:p>
        </w:tc>
      </w:tr>
      <w:tr w:rsidR="0066043F" w14:paraId="7B9BDFF2" w14:textId="77777777" w:rsidTr="0066043F">
        <w:tc>
          <w:tcPr>
            <w:tcW w:w="5000" w:type="pct"/>
          </w:tcPr>
          <w:p w14:paraId="471B4110" w14:textId="77777777" w:rsidR="0066043F" w:rsidRDefault="0066043F" w:rsidP="005B3FB9">
            <w:pPr>
              <w:spacing w:before="240"/>
              <w:jc w:val="both"/>
            </w:pPr>
            <w:r>
              <w:rPr>
                <w:b/>
              </w:rPr>
              <w:t>Artikkel 29.</w:t>
            </w:r>
            <w:r>
              <w:t xml:space="preserve"> 15. detsembri 2004. aasta kuningliku dekreedi I, II ja IV klassi hasartmänguasutustest keelatud mängijaid käsitleva teabe töötlemise süsteemi loomise kohta (muudetud 20. märtsi 2022. aasta ja 6. septembri 2022. aasta kuningliku dekreediga) artiklid 1–5, artikli 6 lõiked 1 ja 5 ning artiklid 7 ja 8 tunnistatakse kehtetuks.</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5. PEATÜKK. – </w:t>
            </w:r>
            <w:r>
              <w:rPr>
                <w:i/>
              </w:rPr>
              <w:t>Üleminekusätted</w:t>
            </w:r>
          </w:p>
        </w:tc>
      </w:tr>
      <w:tr w:rsidR="0066043F" w14:paraId="50EC7C0E" w14:textId="77777777" w:rsidTr="0066043F">
        <w:tc>
          <w:tcPr>
            <w:tcW w:w="5000" w:type="pct"/>
          </w:tcPr>
          <w:p w14:paraId="47638B86" w14:textId="77777777" w:rsidR="0066043F" w:rsidRDefault="0066043F" w:rsidP="005B3FB9">
            <w:pPr>
              <w:spacing w:before="240"/>
              <w:jc w:val="both"/>
            </w:pPr>
            <w:r>
              <w:rPr>
                <w:b/>
              </w:rPr>
              <w:t>Artikkel 30.</w:t>
            </w:r>
            <w:r>
              <w:t xml:space="preserve"> Artiklit 9 kohaldatakse kõikide C-litsentsi pikendamise taotluste suhtes, mis on esitatud pärast käesoleva seaduse jõustumist.</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6. PEATÜKK. – </w:t>
            </w:r>
            <w:r>
              <w:rPr>
                <w:i/>
              </w:rPr>
              <w:t>Jõustumine</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lastRenderedPageBreak/>
              <w:t>Artikkel 31.</w:t>
            </w:r>
            <w:r>
              <w:t xml:space="preserve"> Klassi A, A+, B, B+, F1+ litsentsi omanikele ning F2-klassi tegevusloa omanikele, kes lubavad kihlvedusid teha F1-klassi tegevusloa omanike nimel IV klassi püsihasartmänguasutuses, jõustuvad artiklid 2, 14, 15, 16, 17, 18 ja 20 käesoleva seaduse </w:t>
            </w:r>
            <w:r>
              <w:rPr>
                <w:i/>
              </w:rPr>
              <w:t>Moniteur belge</w:t>
            </w:r>
            <w:r>
              <w:t>’is avaldamisele järgneva kaheteistkümnenda kuu esimesel päeval.</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 xml:space="preserve">F2-klassi tegevusloa omanike puhul, mis võimaldavad kihlvedusid teha F1-klassi tegevusloa omanike nimel IV klassi mobiilses hasartmänguasutuses, ja F2-klassi loa omanikele, kes lubavad kihlvedusid teha väljaspool IV klassi hasartmänguasutusi, jõustuvad artiklid 2, 14, 15, 16, 17, 18 ja 20 käesoleva seaduse </w:t>
            </w:r>
            <w:r>
              <w:rPr>
                <w:i/>
              </w:rPr>
              <w:t>Moniteur belge</w:t>
            </w:r>
            <w:r>
              <w:t>’is avaldamisele järgneva kahekümne neljanda kuu esimesel päeval.</w:t>
            </w:r>
          </w:p>
        </w:tc>
      </w:tr>
      <w:tr w:rsidR="0066043F" w14:paraId="73C9E1B7" w14:textId="77777777" w:rsidTr="0066043F">
        <w:tc>
          <w:tcPr>
            <w:tcW w:w="5000" w:type="pct"/>
          </w:tcPr>
          <w:p w14:paraId="64823F79" w14:textId="77777777" w:rsidR="0066043F" w:rsidRDefault="0066043F" w:rsidP="005B3FB9">
            <w:pPr>
              <w:spacing w:before="240"/>
              <w:jc w:val="both"/>
            </w:pPr>
            <w:r>
              <w:rPr>
                <w:b/>
              </w:rPr>
              <w:t>Artikkel 32.</w:t>
            </w:r>
            <w:r>
              <w:t xml:space="preserve"> Artiklid 5, 10 ja 24 jõustuvad 1. septembril 2024.</w:t>
            </w:r>
          </w:p>
        </w:tc>
      </w:tr>
      <w:tr w:rsidR="0066043F" w14:paraId="4BBF38DB" w14:textId="77777777" w:rsidTr="0066043F">
        <w:tc>
          <w:tcPr>
            <w:tcW w:w="5000" w:type="pct"/>
          </w:tcPr>
          <w:p w14:paraId="22E524BD" w14:textId="77777777" w:rsidR="0066043F" w:rsidRDefault="0066043F" w:rsidP="005B3FB9">
            <w:pPr>
              <w:spacing w:before="240"/>
              <w:jc w:val="both"/>
            </w:pPr>
            <w:r>
              <w:rPr>
                <w:b/>
              </w:rPr>
              <w:t>Artikkel 33.</w:t>
            </w:r>
            <w:r>
              <w:t xml:space="preserve"> Artiklid 26, 28 ja 29 jõustuvad kaheteistkümnenda kuu esimesel päeval pärast käesoleva seaduse avaldamist </w:t>
            </w:r>
            <w:r>
              <w:rPr>
                <w:i/>
              </w:rPr>
              <w:t>Moniteur belge</w:t>
            </w:r>
            <w:r>
              <w:t>’is.</w:t>
            </w:r>
          </w:p>
        </w:tc>
      </w:tr>
      <w:tr w:rsidR="0066043F" w14:paraId="310E8087" w14:textId="77777777" w:rsidTr="0066043F">
        <w:tc>
          <w:tcPr>
            <w:tcW w:w="5000" w:type="pct"/>
          </w:tcPr>
          <w:p w14:paraId="01F50D5E" w14:textId="77777777" w:rsidR="0066043F" w:rsidRDefault="0066043F" w:rsidP="005B3FB9">
            <w:pPr>
              <w:spacing w:before="240"/>
              <w:jc w:val="both"/>
            </w:pPr>
            <w:r>
              <w:t xml:space="preserve">Kuulutame välja selle seaduse ning käsime selle kinnitada riigipitseriga ja avaldada </w:t>
            </w:r>
            <w:r>
              <w:rPr>
                <w:i/>
              </w:rPr>
              <w:t>Moniteur belge</w:t>
            </w:r>
            <w:r>
              <w:t>’is.</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Brüsselis, 7. mai 2024</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5B3FB9">
            <w:pPr>
              <w:spacing w:before="240" w:after="160" w:line="259" w:lineRule="auto"/>
              <w:jc w:val="center"/>
              <w:rPr>
                <w:rFonts w:cstheme="minorHAnsi"/>
              </w:rPr>
            </w:pPr>
            <w:r>
              <w:t>PHILIPPE</w:t>
            </w:r>
          </w:p>
          <w:p w14:paraId="1A22CB92" w14:textId="77777777" w:rsidR="0066043F" w:rsidRPr="00F11721" w:rsidRDefault="0066043F" w:rsidP="005B3FB9">
            <w:pPr>
              <w:spacing w:before="240"/>
              <w:jc w:val="center"/>
            </w:pPr>
            <w:r>
              <w:t>Kuningas</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Justiitsminister</w:t>
            </w:r>
          </w:p>
          <w:p w14:paraId="271F69C9" w14:textId="77777777" w:rsidR="0066043F" w:rsidRPr="00F11721" w:rsidRDefault="0066043F" w:rsidP="005B3FB9">
            <w:pPr>
              <w:spacing w:before="240"/>
              <w:jc w:val="center"/>
            </w:pPr>
            <w:r>
              <w:t>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Riigi pitser:</w:t>
            </w:r>
          </w:p>
          <w:p w14:paraId="636EF669" w14:textId="77777777" w:rsidR="0066043F" w:rsidRDefault="0066043F" w:rsidP="005B3FB9">
            <w:pPr>
              <w:spacing w:before="240"/>
              <w:jc w:val="center"/>
            </w:pPr>
            <w:r>
              <w:t>Justiitsminister</w:t>
            </w:r>
          </w:p>
          <w:p w14:paraId="32EFF2C9" w14:textId="77777777" w:rsidR="0066043F" w:rsidRPr="00F11721" w:rsidRDefault="0066043F" w:rsidP="005B3FB9">
            <w:pPr>
              <w:spacing w:before="240"/>
              <w:jc w:val="center"/>
            </w:pPr>
            <w:r>
              <w:t>P. VAN TIGCHELT</w:t>
            </w:r>
          </w:p>
        </w:tc>
      </w:tr>
      <w:tr w:rsidR="0066043F" w:rsidRPr="00A35F0D" w14:paraId="7F68DC46" w14:textId="77777777" w:rsidTr="0066043F">
        <w:tc>
          <w:tcPr>
            <w:tcW w:w="5000" w:type="pct"/>
          </w:tcPr>
          <w:p w14:paraId="0BF98B7C" w14:textId="77777777" w:rsidR="0066043F" w:rsidRPr="00A35F0D" w:rsidRDefault="0066043F" w:rsidP="005B3FB9">
            <w:pPr>
              <w:spacing w:before="240"/>
              <w:jc w:val="both"/>
              <w:rPr>
                <w:lang w:val="fr-FR"/>
              </w:rPr>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MÄRKUS</w:t>
            </w:r>
          </w:p>
        </w:tc>
      </w:tr>
      <w:tr w:rsidR="0066043F" w:rsidRPr="00FE07E8" w14:paraId="6730366D" w14:textId="77777777" w:rsidTr="0066043F">
        <w:tc>
          <w:tcPr>
            <w:tcW w:w="5000" w:type="pct"/>
          </w:tcPr>
          <w:p w14:paraId="7C217953" w14:textId="77777777" w:rsidR="0066043F" w:rsidRPr="00DD5BDD" w:rsidRDefault="0066043F" w:rsidP="005B3FB9">
            <w:pPr>
              <w:jc w:val="both"/>
              <w:rPr>
                <w:lang w:val="en-US" w:eastAsia="en-GB"/>
              </w:rPr>
            </w:pPr>
          </w:p>
          <w:p w14:paraId="2B387012" w14:textId="77777777" w:rsidR="0066043F" w:rsidRPr="00502D71" w:rsidRDefault="0066043F" w:rsidP="005B3FB9">
            <w:pPr>
              <w:jc w:val="both"/>
            </w:pPr>
            <w:r>
              <w:t>(1) Esindajatekoda</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Dokumendid 55-3956</w:t>
            </w:r>
          </w:p>
          <w:p w14:paraId="3577992A" w14:textId="77777777" w:rsidR="0066043F" w:rsidRPr="004454BC" w:rsidRDefault="0066043F" w:rsidP="005B3FB9">
            <w:pPr>
              <w:spacing w:before="240"/>
              <w:jc w:val="both"/>
            </w:pPr>
            <w:r>
              <w:t>Täielik aruanne: 02 Mai 2024</w:t>
            </w:r>
          </w:p>
        </w:tc>
      </w:tr>
      <w:tr w:rsidR="0066043F" w:rsidRPr="00A35F0D" w14:paraId="7142AB2E" w14:textId="77777777" w:rsidTr="0066043F">
        <w:tc>
          <w:tcPr>
            <w:tcW w:w="5000" w:type="pct"/>
          </w:tcPr>
          <w:p w14:paraId="3459BA09" w14:textId="77777777" w:rsidR="0066043F" w:rsidRPr="00A35F0D" w:rsidRDefault="0066043F" w:rsidP="005B3FB9">
            <w:pPr>
              <w:spacing w:before="240"/>
              <w:jc w:val="both"/>
              <w:rPr>
                <w:lang w:val="fr-FR"/>
              </w:rPr>
            </w:pPr>
          </w:p>
        </w:tc>
      </w:tr>
    </w:tbl>
    <w:p w14:paraId="26C9C8ED" w14:textId="77777777" w:rsidR="00A36095" w:rsidRPr="0066043F" w:rsidRDefault="00A36095">
      <w:pPr>
        <w:rPr>
          <w:lang w:val="fr-FR"/>
        </w:rPr>
      </w:pPr>
    </w:p>
    <w:sectPr w:rsidR="00A36095" w:rsidRPr="0066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F018E"/>
    <w:rsid w:val="0066043F"/>
    <w:rsid w:val="006B0BBF"/>
    <w:rsid w:val="008B5163"/>
    <w:rsid w:val="00A36095"/>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3201</Words>
  <Characters>21839</Characters>
  <Application>Microsoft Office Word</Application>
  <DocSecurity>0</DocSecurity>
  <Lines>350</Lines>
  <Paragraphs>169</Paragraphs>
  <ScaleCrop>false</ScaleCrop>
  <Company>Federal Justice Belgium</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Ragnhild Efraimsson</cp:lastModifiedBy>
  <cp:revision>2</cp:revision>
  <dcterms:created xsi:type="dcterms:W3CDTF">2024-06-20T13:23:00Z</dcterms:created>
  <dcterms:modified xsi:type="dcterms:W3CDTF">2024-06-20T13:23:00Z</dcterms:modified>
</cp:coreProperties>
</file>