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93" w:rsidRDefault="00B24FEF">
      <w:pPr>
        <w:pStyle w:val="Szvegtrzs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Zakon […] iz 2024.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48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o ograničavanju pristupa pornografskom sadržaju na internetu u svrhu zaštite djece i o izmjeni određenih zakona koji se odnose na usluge elektroničke trgovine i oglašavanje</w:t>
      </w:r>
    </w:p>
    <w:p w:rsidR="00F27993" w:rsidRDefault="00B24FEF">
      <w:pPr>
        <w:pStyle w:val="Szvegtrzs"/>
        <w:spacing w:before="280" w:after="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1.</w:t>
      </w:r>
      <w:r>
        <w:rPr>
          <w:b/>
          <w:rFonts w:ascii="Times New Roman" w:hAnsi="Times New Roman"/>
        </w:rPr>
        <w:t xml:space="preserve"> </w:t>
      </w:r>
      <w:r>
        <w:rPr>
          <w:b/>
          <w:rFonts w:ascii="Times New Roman" w:hAnsi="Times New Roman"/>
        </w:rPr>
        <w:t xml:space="preserve">Izmjena Zakona CVIII iz 2001. o određenim aspektima usluga elektroničke trgovine i usluga informacijskog društva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Članku 13. Zakona CVIII iz 2001. o određenim aspektima usluga elektroničke trgovine i usluga informacijskog društva dodaje se sljedeći stavak 13.a: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„(13.a) Pružatelj usluge na svojem mrežnom mjestu mora uspostaviti lako dostupan i transparentan elektronički sustav prilagođen korisnicima kako bi se olakšalo podnošenje izvješća iz stavka 13.”</w:t>
      </w:r>
    </w:p>
    <w:p w:rsidR="00F27993" w:rsidRDefault="00B24FEF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Članak 13. stavak 14. točka (e) Zakona CVIII iz 2001. o određenim aspektima usluga elektroničke trgovine i usluga informacijskog društva zamjenjuje se sljedećim tekstom: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0" w:line="240" w:lineRule="auto"/>
        <w:jc w:val="both"/>
        <w:rPr>
          <w:i/>
          <w:iCs/>
          <w:rFonts w:ascii="Times New Roman" w:hAnsi="Times New Roman"/>
        </w:rPr>
      </w:pPr>
      <w:r>
        <w:rPr>
          <w:i/>
          <w:rFonts w:ascii="Times New Roman" w:hAnsi="Times New Roman"/>
        </w:rPr>
        <w:t xml:space="preserve">[U slučaju povrede iz stavka 13., postupak se provodi u skladu sa stavcima od 2. do 12., uz sljedeća odstupanja:]</w:t>
      </w:r>
    </w:p>
    <w:p w:rsidR="00F27993" w:rsidRDefault="00B24FEF">
      <w:pPr>
        <w:pStyle w:val="Szvegtrzs"/>
        <w:spacing w:after="24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</w:t>
      </w:r>
      <w:r>
        <w:rPr>
          <w:i/>
          <w:rFonts w:ascii="Times New Roman" w:hAnsi="Times New Roman"/>
        </w:rPr>
        <w:t xml:space="preserve">(e)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pružatelj usluge može odbiti zahtjev za onemogućavanjem pristupa informacijama koje su predmet kritike ako, na temelju razloga navedenih u izvješću iz stavka 13., utvrdi da je povreda prava osobnosti maloljetnika neopravdana; u tom slučaju pružatelj usluga podnositelju zahtjeva mora pružiti jasne i detaljne informacije o razlozima odbijanja u trenutku odbijanja.”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2.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Članak 15./D stavak 1. točka (d) Zakona CVIII iz 2001. o određenim aspektima usluga elektroničke trgovine i usluga informacijskog društva zamjenjuje se sljedećim tekstom: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0" w:line="240" w:lineRule="auto"/>
        <w:jc w:val="both"/>
        <w:rPr>
          <w:i/>
          <w:iCs/>
          <w:rFonts w:ascii="Times New Roman" w:hAnsi="Times New Roman"/>
        </w:rPr>
      </w:pPr>
      <w:r>
        <w:rPr>
          <w:i/>
          <w:rFonts w:ascii="Times New Roman" w:hAnsi="Times New Roman"/>
        </w:rPr>
        <w:t xml:space="preserve">(U svrhu zaštite korisnikâ usluge, pružatelj usluge platforme za razmjenu videozapisa primjenjuje mjere i tehnička rješenja iz članka 15./F ako)</w:t>
      </w:r>
    </w:p>
    <w:p w:rsidR="00F27993" w:rsidRDefault="00B24FEF">
      <w:pPr>
        <w:pStyle w:val="Szvegtrzs"/>
        <w:spacing w:after="24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</w:t>
      </w:r>
      <w:r>
        <w:rPr>
          <w:i/>
          <w:rFonts w:ascii="Times New Roman" w:hAnsi="Times New Roman"/>
        </w:rPr>
        <w:t xml:space="preserve">(d)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komercijalna komunikacija koju objavljuje korisnik usluge platforme za razmjenu videozapisa nije u skladu s odredbama članka 20. stavaka od 1. do 7. Zakona CIV iz 2010. o slobodi tiska i temeljnim pravilima o medijskom sadržaju (dalje u tekstu: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Zakon o medijima) i s odredbama članka 24. i članka 30. stavka 3. točke (b) Zakona o medijima.”</w:t>
      </w:r>
    </w:p>
    <w:p w:rsidR="00F27993" w:rsidRDefault="00B24FEF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Članak 15./D stavak 2. Zakona CVIII iz 2001. o određenim aspektima usluga elektroničke trgovine i usluga informacijskog društva zamjenjuje se sljedećim tekstom: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Organizirana komercijalna komunikacija koju distribuira i prodaje pružatelj usluge platforme za razmjenu videozapisa mora biti u skladu sa zahtjevima iz članka 20. stavaka od 1. do 7. Zakona o medijima te članka 24. i članka 30. stavka 3. točke (b) Zakona o medijima.”</w:t>
      </w:r>
      <w:r>
        <w:rPr>
          <w:rFonts w:ascii="Times New Roman" w:hAnsi="Times New Roman"/>
        </w:rPr>
        <w:t xml:space="preserve">     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3.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15./E stavci 2. i 3. Zakona CVIII iz 2001. o određenim aspektima usluga elektroničke trgovine i usluga informacijskog društva zamjenjuje se sljedećim tekstom: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Pružatelj usluge platforme za razmjenu videozapisa u svoje opće uvjete uključuje zahtjeve utvrđene u članku 24. i članku 30. stavku 3. točki (b) Zakona o medijima te zahtjeve utvrđene u članku 20. stavcima od 1. do 7. Zakona o medijima u pogledu komercijalnih komunikacija koje objavljuje korisnik usluge platforme za razmjenu videozapisa.</w:t>
      </w:r>
      <w:r>
        <w:rPr>
          <w:rFonts w:ascii="Times New Roman" w:hAnsi="Times New Roman"/>
        </w:rPr>
        <w:t xml:space="preserve">    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Opći uvjeti pružatelja usluge platforme za razmjenu videozapisa moraju sadržavati informacije o postupcima izvansudske i sudske pravne zaštite u svrhu rješavanja sporova između korisnika i pružatelja usluge platforme za razmjenu videozapisa u vezi s primjenom članaka 15./F i 15./G.”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4.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 15./F stavak 7. Zakona CVIII iz 2001. o određenim aspektima usluga elektroničke trgovine i usluga informacijskog društva zamjenjuje se sljedećim tekstom: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„(7)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Agencija može objaviti preporuku o najboljoj praksi u vezi sa zahtjevima utvrđenima u stavcima 1. i 2. te u članku 15./D stavku 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Preporuka nije obvezujuća.”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5.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 18. stavak 3. Zakona CVIII iz 2001. o određenim aspektima usluga elektroničke trgovine i usluga informacijskog društva zamjenjuje se sljedećim tekstom: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Nacrti članka 2. članka 3./B, članka 13. stavka 13.a, članka 13. stavka 14. točke (e), članka 15./D stavka 1. točke (d), članka 15./D stavka 2., članka 15./E stavaka 2. i 3. te članka 15./F stavka 7. ovog Zakona prethodno su priopćeni u skladu s člancima od 5. do 7. Direktive (EU) 2015/1535 Europskog parlamenta i Vijeća od 9. rujna 2015. o utvrđivanju postupka pružanja informacija u području tehničkih propisa i pravila o uslugama informacijskog društva.”</w:t>
      </w:r>
      <w:r>
        <w:rPr>
          <w:rFonts w:ascii="Times New Roman" w:hAnsi="Times New Roman"/>
        </w:rPr>
        <w:t xml:space="preserve">        </w:t>
      </w:r>
    </w:p>
    <w:p w:rsidR="00F27993" w:rsidRDefault="00B24FEF">
      <w:pPr>
        <w:pStyle w:val="Szvegtrzs"/>
        <w:spacing w:before="280" w:after="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2.</w:t>
      </w:r>
      <w:r>
        <w:rPr>
          <w:b/>
          <w:rFonts w:ascii="Times New Roman" w:hAnsi="Times New Roman"/>
        </w:rPr>
        <w:t xml:space="preserve"> </w:t>
      </w:r>
      <w:r>
        <w:rPr>
          <w:b/>
          <w:rFonts w:ascii="Times New Roman" w:hAnsi="Times New Roman"/>
        </w:rPr>
        <w:t xml:space="preserve">Izmjena Zakona C iz 2003. o elektroničkim komunikacijama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6.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Zakon C iz 2003. o elektroničkim komunikacijama u dio pod naslovom „Zaštita maloljetnika” umeće se sljedeći članak 149./F: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„Članak 149./F</w:t>
      </w:r>
      <w:r>
        <w:rPr>
          <w:b/>
          <w:rFonts w:ascii="Times New Roman" w:hAnsi="Times New Roman"/>
        </w:rPr>
        <w:t xml:space="preserve"> </w:t>
      </w:r>
    </w:p>
    <w:p w:rsidR="009B2A35" w:rsidRPr="008F37E3" w:rsidRDefault="009B2A35" w:rsidP="008F37E3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Kao dio usluge i na temelju izjave pretplatnika, pružatelj usluge pristupa internetu</w:t>
      </w:r>
      <w:bookmarkStart w:id="1" w:name="_Hlk167178857"/>
      <w:r>
        <w:rPr>
          <w:rFonts w:ascii="Times New Roman" w:hAnsi="Times New Roman"/>
        </w:rPr>
        <w:t xml:space="preserve"> mora omogućiti da se korisniku usluge pristupa internetu zabrani pristup mrežnim mjestima s popisa iz stavka 3. putem odgovarajućeg tehničkog rješenja koje se besplatno pruža pojedinačnim pretplatnicima</w:t>
      </w:r>
      <w:bookmarkEnd w:id="1"/>
      <w:r>
        <w:rPr>
          <w:rFonts w:ascii="Times New Roman" w:hAnsi="Times New Roman"/>
        </w:rPr>
        <w:t xml:space="preserve"> (dalje u tekstu: sigurna usluga koja se pruža u pogledu maloljetnih korisnika).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Prije sklapanja ugovora o pretplati te tijekom usklađivanja podataka u skladu s člankom 129. stavkom 2.b pružatelj usluge obavješćuje pretplatnika o mogućnosti korištenja sigurnom uslugom (koja se pruža u pogledu maloljetnih korisnika) te o činjenici da se ta usluga pruža besplatno pojedinačnim pretplatnicima.</w:t>
      </w:r>
      <w:r>
        <w:rPr>
          <w:rFonts w:ascii="Times New Roman" w:hAnsi="Times New Roman"/>
        </w:rPr>
        <w:t xml:space="preserve">  </w:t>
      </w:r>
      <w:r>
        <w:rPr>
          <w:rFonts w:ascii="Times New Roman" w:hAnsi="Times New Roman"/>
        </w:rPr>
        <w:t xml:space="preserve">Pretplatnik ima pravo izmijeniti svoju izjavu o korištenju sigurnom uslugom (koja se pruža u pogledu maloljetnih korisnika), što može učiniti besplatno, u bilo kojem trenutku tijekom razdoblja valjanosti njegova pretplatničkog ugovora, ne dovodeći u pitanje druge ugovorne uvjete.</w:t>
      </w:r>
    </w:p>
    <w:p w:rsidR="009B2A35" w:rsidRPr="008F37E3" w:rsidRDefault="009B2A35" w:rsidP="008F37E3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temelju izjave pretplatnika davatelj usluge fiksnog pristupa internetu također mora omogućiti pojedinačnom pretplatniku istodobni pristup sigurnoj usluzi (koja se pruža u pogledu maloljetnih korisnika) i nefiltriranoj internetskoj usluzi s iste pristupne točke pretplatnika, zasebno, u okviru pretplatničke usluge, što treba osigurati za pojedinačne pretplatnike bez naknade.</w:t>
      </w:r>
      <w:r>
        <w:rPr>
          <w:rFonts w:ascii="Times New Roman" w:hAnsi="Times New Roman"/>
        </w:rPr>
        <w:t xml:space="preserve"> </w:t>
      </w:r>
    </w:p>
    <w:p w:rsidR="009B2A35" w:rsidRPr="009B2A35" w:rsidRDefault="009B2A35" w:rsidP="008F37E3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Kako bi se osiguralo pružanje te sigurne usluge, koja se pruža u pogledu maloljetnih korisnika, predsjednik sastavlja popis mrežnih mjesta koja se najčešće posjećuju iz Mađarske, a koja su posvećena pornografskom sadržaju.</w:t>
      </w:r>
    </w:p>
    <w:p w:rsidR="009B2A35" w:rsidRPr="009B2A35" w:rsidRDefault="009B2A35" w:rsidP="008F37E3">
      <w:pPr>
        <w:pStyle w:val="Szvegtrzs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Predsjednik donosi odluku kojom utvrđuje detaljna pravila za pružanje informacija o pretplatnicima i način pružanja usluge u vezi sa sigurnom uslugom (koja se pruža u pogledu maloljetnih korisnika), kako je navedeno u stavku 1., kao i načine sastavljanja, preispitivanja i objavljivanja popisa iz stavka 3.”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7.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Zakonu C iz 2003. o elektroničkim komunikacijama dodaje se sljedeći članak 163./Q: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„Članak 163./Q</w:t>
      </w:r>
      <w:r>
        <w:rPr>
          <w:b/>
          <w:rFonts w:ascii="Times New Roman" w:hAnsi="Times New Roman"/>
        </w:rPr>
        <w:t xml:space="preserve"> </w:t>
      </w:r>
    </w:p>
    <w:p w:rsidR="00C02533" w:rsidRPr="00AF480D" w:rsidRDefault="00C02533" w:rsidP="003A1216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Predsjednik sastavlja popis iz članka 149./F stavka 3. Zakona br. ... iz 2024. o ograničavanju pristupa pornografskom sadržaju na internetu u svrhu zaštite djece i o izmjeni određenih zakona koji se odnose na usluge elektroničke trgovine i oglašavanje (dalje u tekstu: Zakon o izmjenama br. 3) u roku od 120 dana od stupanja na snagu Zakona o izmjenama br. 3 u svrhu zaštite djece.</w:t>
      </w:r>
      <w:r>
        <w:rPr>
          <w:rFonts w:ascii="Times New Roman" w:hAnsi="Times New Roman"/>
        </w:rPr>
        <w:t xml:space="preserve">  </w:t>
      </w:r>
    </w:p>
    <w:p w:rsidR="00C02533" w:rsidRPr="00AF480D" w:rsidRDefault="00C02533" w:rsidP="003A1216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vezi s člankom 149./F, kako je utvrđeno Zakonom o izmjenama br. 3,</w:t>
      </w:r>
      <w:r>
        <w:rPr>
          <w:rFonts w:ascii="Times New Roman" w:hAnsi="Times New Roman"/>
        </w:rPr>
        <w:t xml:space="preserve"> </w:t>
      </w:r>
    </w:p>
    <w:p w:rsidR="00C02533" w:rsidRPr="00AF480D" w:rsidRDefault="00C02533" w:rsidP="003A1216">
      <w:pPr>
        <w:pStyle w:val="Szvegtrzs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(a)</w:t>
      </w:r>
      <w:r>
        <w:rPr>
          <w:rFonts w:ascii="Times New Roman" w:hAnsi="Times New Roman"/>
        </w:rPr>
        <w:t xml:space="preserve"> odredbe stavka 1. primjenjuju se na uslugu mobilnog pristupa internetu pružatelja usluge mobilnog pristupa internetu od 1. siječnja 2026.;</w:t>
      </w:r>
    </w:p>
    <w:p w:rsidR="00C02533" w:rsidRPr="00AF480D" w:rsidRDefault="00C02533" w:rsidP="003A1216">
      <w:pPr>
        <w:pStyle w:val="Szvegtrzs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(b)</w:t>
      </w:r>
      <w:r>
        <w:rPr>
          <w:rFonts w:ascii="Times New Roman" w:hAnsi="Times New Roman"/>
        </w:rPr>
        <w:t xml:space="preserve"> odredbe stavaka 1. i 2. primjenjuju se na pružatelje usluge pristupa internetu s 10 000 ili više pretplatnika od 1. svibnja 2026.;</w:t>
      </w:r>
    </w:p>
    <w:p w:rsidR="00C02533" w:rsidRPr="00AF480D" w:rsidRDefault="00C02533" w:rsidP="003A1216">
      <w:pPr>
        <w:pStyle w:val="Szvegtrzs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(c)</w:t>
      </w:r>
      <w:r>
        <w:rPr>
          <w:rFonts w:ascii="Times New Roman" w:hAnsi="Times New Roman"/>
        </w:rPr>
        <w:t xml:space="preserve"> odredbe stavaka 1. i 2. primjenjuju se na pružatelje usluge pristupa internetu s manje od 10 000 pretplatnika od 1. siječnja 2027.</w:t>
      </w:r>
    </w:p>
    <w:p w:rsidR="00C02533" w:rsidRPr="00AF480D" w:rsidRDefault="00C02533" w:rsidP="003A1216">
      <w:pPr>
        <w:pStyle w:val="Szvegtrzs"/>
        <w:jc w:val="both"/>
        <w:rPr>
          <w:rFonts w:ascii="Times New Roman" w:hAnsi="Times New Roman"/>
        </w:rPr>
      </w:pPr>
    </w:p>
    <w:p w:rsidR="00C02533" w:rsidRPr="00AF480D" w:rsidRDefault="00C02533" w:rsidP="003A1216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potrebe stavka 2. „usluga mobilnog pristupa internetu” znači usluga pristupa internetu koja se pruža putem radijske komunikacijske mreže i koju krajnji korisnik može upotrebljavati i tijekom kretanja unutar područja obuhvaćenog uslugom.</w:t>
      </w:r>
    </w:p>
    <w:p w:rsidR="00A90E2C" w:rsidRPr="00AF480D" w:rsidRDefault="00A90E2C" w:rsidP="003A1216">
      <w:pPr>
        <w:pStyle w:val="Szvegtrzs"/>
        <w:spacing w:after="0" w:line="240" w:lineRule="auto"/>
        <w:jc w:val="both"/>
        <w:rPr>
          <w:rFonts w:ascii="Times New Roman" w:hAnsi="Times New Roman"/>
        </w:rPr>
      </w:pPr>
    </w:p>
    <w:p w:rsidR="00C02533" w:rsidRPr="00AF480D" w:rsidRDefault="00C02533" w:rsidP="00A90E2C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Stavci 1. i 2. članka 149./F Zakona o izmjenama Zakona br. 3 također se primjenjuju na pretplatničke ugovore sklopljene prije datuma navedenih u stavku 2., pod uvjetom da u roku od godinu dana nakon datuma navedenih u stavku 2. dotični pružatelj usluge pojedinačnom pretplatniku ponudi mogućnost korištenja sigurnom uslugom (koja se pruža u pogledu maloljetnih korisnika) kako je definirano u članku 149./F te da tu mogućnost besplatno nudi u roku od najmanje 30 dana.”</w:t>
      </w:r>
      <w:r>
        <w:rPr>
          <w:rFonts w:ascii="Times New Roman" w:hAnsi="Times New Roman"/>
        </w:rPr>
        <w:t xml:space="preserve">  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8.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članku 182. stavku 3. Zakona C iz 2003. o elektroničkim komunikacijama dodaje se sljedeća točka 7.:</w:t>
      </w:r>
      <w:r>
        <w:rPr>
          <w:rFonts w:ascii="Times New Roman" w:hAnsi="Times New Roman"/>
        </w:rPr>
        <w:t xml:space="preserve"> </w:t>
      </w:r>
    </w:p>
    <w:p w:rsidR="00AF480D" w:rsidRPr="001553AC" w:rsidRDefault="00B24FEF" w:rsidP="003A1216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(Predsjednik je ovlašten donijeti odluku kojom utvrđuje sljedeće:)</w:t>
      </w:r>
    </w:p>
    <w:p w:rsidR="00AF480D" w:rsidRPr="001553AC" w:rsidRDefault="00AF480D" w:rsidP="003A1216">
      <w:pPr>
        <w:pStyle w:val="Szvegtrzs"/>
        <w:ind w:left="567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„7. detaljna pravila za pružanje informacija o pretplatnicima i način pružanja usluge u vezi sa sigurnom uslugom (koja se pruža u pogledu maloljetnih korisnika), kao i načine sastavljanja, preispitivanja i objavljivanja popisa iz članka 149./F stavka 3.;”.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9.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 187. stavak 3. Zakona C iz 2003. o elektroničkim komunikacijama zamjenjuje se kako slijedi:</w:t>
      </w:r>
      <w:r>
        <w:rPr>
          <w:rFonts w:ascii="Times New Roman" w:hAnsi="Times New Roman"/>
        </w:rPr>
        <w:t xml:space="preserve"> </w:t>
      </w:r>
    </w:p>
    <w:p w:rsidR="001553AC" w:rsidRDefault="001553AC" w:rsidP="0064144A">
      <w:pPr>
        <w:pStyle w:val="Szvegtrzs"/>
        <w:jc w:val="both"/>
        <w:rPr>
          <w:rFonts w:ascii="Times New Roman" w:hAnsi="Times New Roman"/>
        </w:rPr>
      </w:pPr>
    </w:p>
    <w:p w:rsidR="001553AC" w:rsidRPr="00146EC1" w:rsidRDefault="001553AC" w:rsidP="0064144A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Nacrti članka 92./C, članka 145./A, članka 149./F stavaka 1. i 2., članka 163./Q stavaka od 2. do 4. te članka 182. stavka 1. točke (h) ovog Zakona prethodno su priopćeni u skladu s člancima 5. i 7. Direktive (EU) 2015/1535 Europskog parlamenta i Vijeća od 9. rujna 2015. o utvrđivanju postupka pružanja informacija u području tehničkih propisa i pravila o uslugama informacijskog društva.”</w:t>
      </w:r>
      <w:r>
        <w:rPr>
          <w:rFonts w:ascii="Times New Roman" w:hAnsi="Times New Roman"/>
        </w:rPr>
        <w:t xml:space="preserve">     </w:t>
      </w:r>
    </w:p>
    <w:p w:rsidR="00F27993" w:rsidRDefault="00B24FEF">
      <w:pPr>
        <w:pStyle w:val="Szvegtrzs"/>
        <w:spacing w:before="280" w:after="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3.</w:t>
      </w:r>
      <w:r>
        <w:rPr>
          <w:b/>
          <w:rFonts w:ascii="Times New Roman" w:hAnsi="Times New Roman"/>
        </w:rPr>
        <w:t xml:space="preserve"> </w:t>
      </w:r>
      <w:r>
        <w:rPr>
          <w:b/>
          <w:rFonts w:ascii="Times New Roman" w:hAnsi="Times New Roman"/>
        </w:rPr>
        <w:t xml:space="preserve">Izmjena Zakona br. XLVIII iz 2008. o osnovnim zahtjevima i određenim ograničenjima u pogledu djelatnosti komercijalnog oglašavanja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10.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Zakonu XLVIII iz 2008. o osnovnim zahtjevima i određenim ograničenjima u pogledu djelatnosti komercijalnog oglašavanja dodaje se sljedeći članak 4./A: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„Članak 4./A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Oglasi koji se pružaju putem pružatelja aplikacija i pružatelja usluge platformi za razmjenu videozapisa u smislu Zakona CVIII iz 2001. o određenim aspektima usluga elektroničke trgovine i usluga informacijskog društva (dalje u tekstu: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Zakon o elektroničkoj trgovini) smiju se objaviti uz naznaku upućivanja na vrstu oglašavanja.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Ako je oglas iz stavka 1. namijenjen djeci ili maloljetnicima, upućivanje na vrstu oglašavanja također mora sadržavati upućivanje na tu činjenicu.”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11.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članku 8. Zakona XLVIII iz 2008. o osnovnim zahtjevima i određenim ograničenjima u pogledu djelatnosti komercijalnog oglašavanja dodaje se sljedeći stavak 5.: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Zabranjeno je oglašavati robu ili proizvode ili njihovu uporabu djeci ili maloljetnicima na način koji je štetan ili opasan za život, zdravlje ili tjelesni integritet.”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12.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 18. stavak 2. Zakona XLVIII iz 2008. o osnovnim zahtjevima i određenim ograničenjima u pogledu djelatnosti komercijalnog oglašavanja zamjenjuje se sljedećim tekstom:</w:t>
      </w:r>
    </w:p>
    <w:p w:rsidR="00F27993" w:rsidRDefault="00B24FEF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Zabranjeno je oglašavanje alkoholnih pića</w:t>
      </w:r>
    </w:p>
    <w:p w:rsidR="00F27993" w:rsidRDefault="00B24FEF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na vanjskoj površini naslovnice novinskog proizvoda ili, u slučaju mrežnog mjesta, na početnoj stranici;</w:t>
      </w:r>
    </w:p>
    <w:p w:rsidR="00F27993" w:rsidRDefault="00B24FEF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(b)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u kazalištima ili kinima prije 20 sati;</w:t>
      </w:r>
    </w:p>
    <w:p w:rsidR="00F27993" w:rsidRDefault="00B24FEF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(c)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neposredno prije, tijekom i neposredno nakon programa za djecu ili maloljetnike;</w:t>
      </w:r>
    </w:p>
    <w:p w:rsidR="00F27993" w:rsidRDefault="00B24FEF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neposredno prije, tijekom i neposredno nakon objave sadržaja namijenjenog djeci ili maloljetnicima putem pružatelja aplikacije ili pružatelja usluge platforme za razmjenu videozapisa u smislu Zakona o elektroničkoj trgovini;</w:t>
      </w:r>
    </w:p>
    <w:p w:rsidR="00F27993" w:rsidRDefault="00B24FEF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na proizvodima koji su jasno namijenjeni igrama i na njihovoj ambalaži ili</w:t>
      </w:r>
    </w:p>
    <w:p w:rsidR="00F27993" w:rsidRDefault="00B24FEF">
      <w:pPr>
        <w:pStyle w:val="Szvegtrzs"/>
        <w:spacing w:after="240" w:line="240" w:lineRule="auto"/>
        <w:ind w:left="580" w:hanging="560"/>
        <w:jc w:val="both"/>
        <w:rPr>
          <w:rFonts w:ascii="Times New Roman" w:hAnsi="Times New Roman"/>
        </w:rPr>
      </w:pPr>
      <w:r>
        <w:rPr>
          <w:i/>
          <w:rFonts w:ascii="Times New Roman" w:hAnsi="Times New Roman"/>
        </w:rPr>
        <w:t xml:space="preserve">(f)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u javnoj obrazovnoj ili zdravstvenoj ustanovi ili na površini za oglašavanje koja se nalazi na otvorenom, u izlogu trgovine ili na bilo kojoj drugoj površini vidljivoj s javnog mjesta koja je udaljena od ulaza u tu ustanovu manje od 200 metara (od javne prometnice ili javnog mjesta).”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13.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članku 45. Zakona XLVIII iz 2008. o osnovnim zahtjevima i određenim ograničenjima u pogledu djelatnosti komercijalnog oglašavanja dodaje se sljedeći stavak 2.:</w:t>
      </w:r>
      <w:r>
        <w:rPr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Nacrt članka 4./A, članka 8. stavka 5., članka 18. stavka 2. točaka (d) i (e) ovog Zakona unaprijed su priopćeni u skladu s člancima 5. i 7. Direktive (EU) 2015/1535 Europskog parlamenta i Vijeća od 9. rujna 2015. o utvrđivanju postupka pružanja informacija u području tehničkih propisa i pravila o uslugama informacijskog društva.”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14.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članku 23. stavku 2. točki (a) Zakona XLVIII iz 2008. o osnovnim zahtjevima i određenim ograničenjima u pogledu djelatnosti komercijalnog oglašavanja riječi „Zakon CVIII iz 2001. o određenim aspektima usluga informacijskog društva (dalje u tekstu: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Zakon o elektroničkoj trgovini)” zamjenjuju se riječima „Zakon o elektroničkoj trgovini”.</w:t>
      </w:r>
    </w:p>
    <w:p w:rsidR="00F27993" w:rsidRDefault="00B24FEF">
      <w:pPr>
        <w:pStyle w:val="Szvegtrzs"/>
        <w:spacing w:before="280" w:after="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4.</w:t>
      </w:r>
      <w:r>
        <w:rPr>
          <w:b/>
          <w:rFonts w:ascii="Times New Roman" w:hAnsi="Times New Roman"/>
        </w:rPr>
        <w:t xml:space="preserve"> </w:t>
      </w:r>
      <w:r>
        <w:rPr>
          <w:b/>
          <w:rFonts w:ascii="Times New Roman" w:hAnsi="Times New Roman"/>
        </w:rPr>
        <w:t xml:space="preserve">Završne odredbe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15.</w:t>
      </w:r>
      <w:r>
        <w:rPr>
          <w:b/>
          <w:rFonts w:ascii="Times New Roman" w:hAnsi="Times New Roman"/>
        </w:rPr>
        <w:t xml:space="preserve"> </w:t>
      </w:r>
    </w:p>
    <w:p w:rsidR="00F27993" w:rsidRDefault="00B24FEF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Ovaj Zakon stupa na snagu 1. siječnja 2025.</w:t>
      </w:r>
    </w:p>
    <w:p w:rsidR="00F27993" w:rsidRDefault="00B24FEF">
      <w:pPr>
        <w:pStyle w:val="Szvegtrzs"/>
        <w:spacing w:before="240" w:after="240" w:line="240" w:lineRule="auto"/>
        <w:jc w:val="center"/>
        <w:rPr>
          <w:b/>
          <w:bCs/>
          <w:rFonts w:ascii="Times New Roman" w:hAnsi="Times New Roman"/>
        </w:rPr>
      </w:pPr>
      <w:r>
        <w:rPr>
          <w:b/>
          <w:rFonts w:ascii="Times New Roman" w:hAnsi="Times New Roman"/>
        </w:rPr>
        <w:t xml:space="preserve">Članak 16.</w:t>
      </w:r>
      <w:r>
        <w:rPr>
          <w:b/>
          <w:rFonts w:ascii="Times New Roman" w:hAnsi="Times New Roman"/>
        </w:rPr>
        <w:t xml:space="preserve"> </w:t>
      </w:r>
    </w:p>
    <w:p w:rsidR="00F27993" w:rsidRDefault="00B24FEF" w:rsidP="00172FF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Ispunjen je zahtjev za prethodno priopćenje nacrta Zakona, kako je utvrđeno člancima od 5. do 7. Direktive (EU) 2015/1535 Europskog parlamenta i Vijeća od 9. rujna 2015. o utvrđivanju postupka pružanja informacija u području tehničkih propisa i pravila o uslugama informacijskog društva.</w:t>
      </w:r>
      <w:r>
        <w:rPr>
          <w:rFonts w:ascii="Times New Roman" w:hAnsi="Times New Roman"/>
        </w:rPr>
        <w:t xml:space="preserve"> </w:t>
      </w:r>
    </w:p>
    <w:sectPr w:rsidR="00F27993">
      <w:footerReference w:type="default" r:id="rId7"/>
      <w:pgSz w:w="11906" w:h="16838"/>
      <w:pgMar w:top="1212" w:right="1134" w:bottom="1698" w:left="1134" w:header="42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06" w:rsidRDefault="00A74C06">
      <w:r>
        <w:separator/>
      </w:r>
    </w:p>
  </w:endnote>
  <w:endnote w:type="continuationSeparator" w:id="0">
    <w:p w:rsidR="00A74C06" w:rsidRDefault="00A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93" w:rsidRDefault="00B24FE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B3C0F"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06" w:rsidRDefault="00A74C06">
      <w:r>
        <w:separator/>
      </w:r>
    </w:p>
  </w:footnote>
  <w:footnote w:type="continuationSeparator" w:id="0">
    <w:p w:rsidR="00A74C06" w:rsidRDefault="00A7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56164"/>
    <w:multiLevelType w:val="multilevel"/>
    <w:tmpl w:val="1990242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93"/>
    <w:rsid w:val="000C1A7D"/>
    <w:rsid w:val="00132DF5"/>
    <w:rsid w:val="00146EC1"/>
    <w:rsid w:val="001553AC"/>
    <w:rsid w:val="00172FF1"/>
    <w:rsid w:val="00283D57"/>
    <w:rsid w:val="003A1216"/>
    <w:rsid w:val="003A6E57"/>
    <w:rsid w:val="00427469"/>
    <w:rsid w:val="00461A47"/>
    <w:rsid w:val="0054081D"/>
    <w:rsid w:val="00625BDD"/>
    <w:rsid w:val="0064144A"/>
    <w:rsid w:val="00644753"/>
    <w:rsid w:val="00685FC7"/>
    <w:rsid w:val="006F288E"/>
    <w:rsid w:val="008D41E8"/>
    <w:rsid w:val="008F37E3"/>
    <w:rsid w:val="009A06C2"/>
    <w:rsid w:val="009B2A35"/>
    <w:rsid w:val="00A74C06"/>
    <w:rsid w:val="00A90E2C"/>
    <w:rsid w:val="00AD206A"/>
    <w:rsid w:val="00AF480D"/>
    <w:rsid w:val="00B24FEF"/>
    <w:rsid w:val="00B34223"/>
    <w:rsid w:val="00B81AFB"/>
    <w:rsid w:val="00C02533"/>
    <w:rsid w:val="00D30018"/>
    <w:rsid w:val="00D91A9D"/>
    <w:rsid w:val="00DB1D41"/>
    <w:rsid w:val="00EC08F0"/>
    <w:rsid w:val="00F017E9"/>
    <w:rsid w:val="00F105A9"/>
    <w:rsid w:val="00F27993"/>
    <w:rsid w:val="00FB1F5A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C599E-6685-44D7-9468-1495F040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qFormat/>
    <w:rPr>
      <w:sz w:val="16"/>
      <w:szCs w:val="16"/>
    </w:rPr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Stlus2">
    <w:name w:val="Stílus2"/>
    <w:basedOn w:val="Norml"/>
    <w:qFormat/>
    <w:pPr>
      <w:spacing w:after="240" w:line="360" w:lineRule="auto"/>
      <w:jc w:val="center"/>
    </w:pPr>
    <w:rPr>
      <w:rFonts w:ascii="Georgia" w:hAnsi="Georgia" w:cs="Georgia"/>
      <w:b/>
    </w:rPr>
  </w:style>
  <w:style w:type="paragraph" w:customStyle="1" w:styleId="Keret">
    <w:name w:val="Keret"/>
    <w:basedOn w:val="Norml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tabs>
        <w:tab w:val="left" w:pos="0"/>
      </w:tabs>
    </w:pPr>
    <w:rPr>
      <w:color w:val="000000"/>
      <w:sz w:val="20"/>
    </w:r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Quotations">
    <w:name w:val="Quotations"/>
    <w:basedOn w:val="Norml"/>
    <w:qFormat/>
    <w:pPr>
      <w:spacing w:after="283"/>
      <w:ind w:left="567" w:right="567"/>
    </w:pPr>
  </w:style>
  <w:style w:type="paragraph" w:styleId="Cm">
    <w:name w:val="Title"/>
    <w:basedOn w:val="Heading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Heading"/>
    <w:next w:val="Szvegtrzs"/>
    <w:qFormat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Norml"/>
    <w:qFormat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Norml"/>
    <w:qFormat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5A9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5A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11606</Characters>
  <Application>Microsoft Office Word</Application>
  <DocSecurity>4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Szabolcs Dr.</dc:creator>
  <dc:description/>
  <cp:lastModifiedBy>Juhász Krisztina dr.</cp:lastModifiedBy>
  <cp:revision>2</cp:revision>
  <dcterms:created xsi:type="dcterms:W3CDTF">2024-06-27T11:42:00Z</dcterms:created>
  <dcterms:modified xsi:type="dcterms:W3CDTF">2024-06-27T11:42:00Z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