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TÁ RIALTAS NA hUNGÁIRE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Foilsithe in </w:t>
      </w:r>
      <w:r>
        <w:rPr>
          <w:sz w:val="24"/>
          <w:rFonts w:ascii="Times New Roman" w:hAnsi="Times New Roman"/>
        </w:rPr>
        <w:t xml:space="preserve">: Iris Oifigiúil na hUngáire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FORAITHNE RIALTAIS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Ag leasú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Foraithne Rialtais Uimh. 210/2009 an 29 Meán Fómhair 2009 maidir leis na coinníollacha i dtaca le gníomhaíochtaí tráchtála a dhéanamh, i dtaca le sláinte leanaí agus daoine óga a chosaint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Ar bhonn an údaraithe a deonaíodh i Roinn 55(5) den Ghníomh CLV 1997 maidir le cosaint tomhaltóirí,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i ndáil le Roinn 2</w:t>
      </w:r>
      <w:r>
        <w:t xml:space="preserve">, </w:t>
      </w:r>
      <w:r>
        <w:rPr>
          <w:color w:val="000000"/>
          <w:sz w:val="24"/>
          <w:rFonts w:ascii="Times" w:hAnsi="Times"/>
        </w:rPr>
        <w:t xml:space="preserve">de réir an údaraithe arna dheonú i Roinn 12(1)(a) den Ghníomh CLXIV 2005 maidir le trádáil,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agus ag gníomhú dó laistigh de raon feidhme a dhualgas mar a shainmhínítear in Airteagal 15(1) den Dlí Bunúsach, leagann an Rialtas síos leis seo an méid seo a leanas: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Roinn 1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 bhForaithne Uimh. 210/2009 ón Rialtas an 29 Meán Fómhair 2009 maidir leis na coinníollacha chun gníomhaíochtaí tráchtála a dhéanamh (dá ngairtear Foraithne Uimh. 210/2009 ón Rialtas an 29 Meán Fómhair 2009 anseo feasta), cuirfear isteach Roinn 20/C seo a leanas: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‘Roinn 20/C De réir Roinn 16/A(1a) den Ghníomh CLV 1997 maidir le cosaint tomhaltóirí (anseo feasta: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An Gníomh um Chosaint Tomhaltóirí), ní féidir deochanna fuinnimh atá aicmithe faoi cheannteideal 2009 nó 2202 mar dheochanna neamh-mheisciúla, a dhíol ná a sholáthar do dhaoine faoi bhun ocht mbliana déag d'aois i gcás ina: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(a) </w:t>
      </w:r>
      <w:r>
        <w:rPr>
          <w:sz w:val="24"/>
          <w:rFonts w:ascii="Times New Roman" w:hAnsi="Times New Roman"/>
        </w:rPr>
        <w:t xml:space="preserve">mbeidh 15 mg/100 ml ar a laghad d’aon chomhdhúil a bhaineann leis an ngrúpa meitiolxantín (dá ngairtear: meitiolxantín), nó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(b)</w:t>
      </w:r>
      <w:r>
        <w:rPr>
          <w:sz w:val="24"/>
          <w:rFonts w:ascii="Times New Roman" w:hAnsi="Times New Roman"/>
        </w:rPr>
        <w:t xml:space="preserve"> mbeidh meitiolxantín agus aon cheann de na substaintí seo a leanas iontu: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(ba)</w:t>
      </w:r>
      <w:r>
        <w:rPr>
          <w:sz w:val="24"/>
          <w:rFonts w:ascii="Times New Roman" w:hAnsi="Times New Roman"/>
        </w:rPr>
        <w:t xml:space="preserve"> ginsing,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(bb)</w:t>
      </w:r>
      <w:r>
        <w:rPr>
          <w:sz w:val="24"/>
          <w:rFonts w:ascii="Times New Roman" w:hAnsi="Times New Roman"/>
        </w:rPr>
        <w:t xml:space="preserve"> L-arginine,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(bc)</w:t>
      </w:r>
      <w:r>
        <w:rPr>
          <w:sz w:val="24"/>
          <w:rFonts w:ascii="Times New Roman" w:hAnsi="Times New Roman"/>
        </w:rPr>
        <w:t xml:space="preserve"> ionóisíotól,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(bd)</w:t>
      </w:r>
      <w:r>
        <w:rPr>
          <w:sz w:val="24"/>
          <w:rFonts w:ascii="Times New Roman" w:hAnsi="Times New Roman"/>
        </w:rPr>
        <w:t xml:space="preserve"> glúcónlachtón,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(be)</w:t>
      </w:r>
      <w:r>
        <w:rPr>
          <w:sz w:val="24"/>
          <w:rFonts w:ascii="Times New Roman" w:hAnsi="Times New Roman"/>
        </w:rPr>
        <w:t xml:space="preserve"> táirín.’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Roinn 2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 bhForaithne Rialtais Uimh. 210/2009 an 29 Meán Fómhair 2009, pointe </w:t>
      </w:r>
      <w:r>
        <w:rPr>
          <w:sz w:val="24"/>
          <w:i/>
          <w:rFonts w:ascii="Times New Roman" w:hAnsi="Times New Roman"/>
        </w:rPr>
        <w:t xml:space="preserve">(a)</w:t>
      </w:r>
      <w:r>
        <w:rPr>
          <w:sz w:val="24"/>
          <w:rFonts w:ascii="Times New Roman" w:hAnsi="Times New Roman"/>
        </w:rPr>
        <w:t xml:space="preserve"> cuirtear an méid seo a leanas in ionad mhír 1 de Roinn 26: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(Leanfaidh an t-údarás um chosaint tomhaltóirí ar aghaidh)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‘</w:t>
      </w:r>
      <w:r>
        <w:rPr>
          <w:sz w:val="24"/>
          <w:i/>
          <w:rFonts w:ascii="Times New Roman" w:hAnsi="Times New Roman"/>
        </w:rPr>
        <w:t xml:space="preserve">(a)</w:t>
      </w:r>
      <w:r>
        <w:rPr>
          <w:sz w:val="24"/>
          <w:rFonts w:ascii="Times New Roman" w:hAnsi="Times New Roman"/>
        </w:rPr>
        <w:t xml:space="preserve"> mar a leagtar síos i rialacha an Ghnímh um Chosaint Tomhaltóirí, i gcás ina sáraítear forálacha Roinn 18(1)(a)-(f) agus (h)-(i), Roinn 18(2) agus (3), Ranna 19-20/C agus Roinn 23, agus’.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Roinn 3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I bhForaithne Rialtais Uimh. 210/2009 an 29 Meán Fómhair 2009, cuirtear an méid seo a leanas in ionad Roinn 32: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‘Roinn 32 Tugadh fógra roimh ré maidir le dréachtaí Roinn 13(1), Roinn 19 agus Roinn 20(3), chomh maith le dréachtaí Roinn 20/B agus Roinn 20/C, mar a shonraítear in Airteagail 5-7 de Threoir (AE) 2015/1535 ó Pharlaimint na hEorpa agus ón gComhairle an 9 Meán Fómhair 2015 lena leagtar síos nós imeachta chun faisnéis a sholáthar i réimse na rialachán teicniúil agus na rialacha maidir le seirbhísí na Sochaí Faisnéise.’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Roinn 4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 bhForaithne Rialtais Uimh. 210/2009 an 29 Meán Fómhair 2009, cuirtear isteach an Roinn 34 seo a leanas: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‘Roinn 34 Tugadh fógra roimh ré don dréacht de Roinn 20/C i gcomhréir le hAirteagal 39(5) de Threoir 2006/123/CE ó Pharlaimint na hEorpa agus ón gComhairle an 12 Nollaig 2006 maidir le seirbhísí sa mhargadh inmheánach.’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Roinn 5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Tiocfaidh an foraithne seo i bhfeidhm an tríochadú lá tar éis lá a foilsithe.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Roinn 6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Comhlíonann an fhoraithne seo Treoir 2006/123/CE ó Pharlaimint na hEorpa agus ón gComhairle an 12 Nollaig 2006 maidir le seirbhísí sa mhargadh inmheánach.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Roinn 7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Bhí dréacht na foraithne seo ina ábhar d’fhógra roimh ré, mar a leagtar síos in Airteagal 39(5) de Threoir 2006/123/CE ó Pharlaimint na hEorpa agus ón gComhairle an 12 Nollaig 2006 maidir le seirbhísí sa mhargadh inmheánach.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Roinn 8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Bhí an dréacht-fhoraithne seo faoi réir réamhfhógra, mar a shonraítear in Airteagail 5-7 de Threoir (AE) 2015/1535 ó Pharlaimint na hEorpa agus ón gComhairle an 9 Meán Fómhair 2015 lena leagtar síos nós imeachta chun faisnéis a sholáthar i réimse na rialachán teicniúil agus na rialacha maidir le seirbhísí na Sochaí Faisnéise.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ga-IE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ga-IE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