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270809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>Списък на забранените вещества в тютюневите изделия и електронните цигари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270809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>Списъкът по-долу представлява например тези вещества или категории вещества, които понастоящем попадат в обхвата на законоустановените забрани на австрийския Закон за защита на тютюна и непушачите (TNRSG), но не представлява изчерпателен списък.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270809">
            <w:pPr>
              <w:pStyle w:val="a4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3"/>
                <w:b/>
                <w:color w:val="FFFFFF"/>
                <w:sz w:val="17"/>
                <w:u w:val="single"/>
              </w:rPr>
              <w:t>Забранени съставки в електронните цигари, съдържащи никотин, и в контейнерите за многократно пълнене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270809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Категории вещества, включително правното основание за забраната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270809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Примери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4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Витамини или други добавки, създаващи впечатлението, че тютюневото изделие е полезно за здравето или представлява намалена опасност за здравето. (Член 10б, параграф 7, точка 3 във връзка с член 8б, параграф 2, точка 1 от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270809">
            <w:pPr>
              <w:pStyle w:val="a4"/>
              <w:spacing w:line="266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Витамините, изброени в приложението „Списък на Съюза“ към Регламент (ЕС) № 609/2013, изменен, в съответствие с член 15 от него.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Аминокиселини и техни производни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Аналгетици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270809" w:rsidP="000259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color w:val="000000"/>
                <w:sz w:val="14"/>
              </w:rPr>
              <w:br/>
            </w:r>
            <w:r>
              <w:rPr>
                <w:rStyle w:val="a3"/>
                <w:color w:val="000000"/>
                <w:sz w:val="14"/>
              </w:rPr>
              <w:br/>
            </w:r>
            <w:r>
              <w:rPr>
                <w:rStyle w:val="a3"/>
                <w:b/>
                <w:color w:val="000000"/>
                <w:sz w:val="14"/>
              </w:rPr>
              <w:t>растението коноп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Канабиноиди (естествени или синтетични по произход)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Канабидиол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Хормони и хормоноподобни вещества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Мелатонин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Флавоноиди и фосфолипиди с антиоксидантно действие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Нарингин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Други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хлорид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хидроксид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цитрат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тартрат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Бетаин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S-Аденозил метионин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L-5-Хидрокситриптофан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Карнитин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 хидрохлорид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L-карнитин-L-тартрат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Натриев селенит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270809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270809" w:rsidP="00555190">
            <w:pPr>
              <w:pStyle w:val="a4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Кофеин или таурин, или други добавки и стимулиращи съединения, които са свързвани с идеята за енергия и жизненост (член 10б, параграф 7, точка 3 във връзка с член 8б, параграф 2, точка 2 от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растението кафе</w:t>
            </w:r>
            <w:r>
              <w:rPr>
                <w:rStyle w:val="a3"/>
                <w:color w:val="000000"/>
                <w:sz w:val="14"/>
              </w:rPr>
              <w:t xml:space="preserve"> и от </w:t>
            </w:r>
            <w:r>
              <w:rPr>
                <w:rStyle w:val="a3"/>
                <w:b/>
                <w:color w:val="000000"/>
                <w:sz w:val="14"/>
              </w:rPr>
              <w:t>кафе на зърна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270809">
            <w:pPr>
              <w:pStyle w:val="a4"/>
              <w:spacing w:line="276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 xml:space="preserve">чаеното растение </w:t>
            </w:r>
            <w:r>
              <w:rPr>
                <w:rStyle w:val="a3"/>
                <w:color w:val="000000"/>
                <w:sz w:val="14"/>
              </w:rPr>
              <w:t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растението гуарана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270809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йерба мате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270809" w:rsidP="00025909">
            <w:pPr>
              <w:pStyle w:val="a4"/>
              <w:ind w:right="19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дървото кола</w:t>
            </w:r>
            <w:r>
              <w:rPr>
                <w:rStyle w:val="a3"/>
                <w:color w:val="000000"/>
                <w:sz w:val="14"/>
              </w:rPr>
              <w:t xml:space="preserve"> или </w:t>
            </w:r>
            <w:r>
              <w:rPr>
                <w:rStyle w:val="a3"/>
                <w:b/>
                <w:color w:val="000000"/>
                <w:sz w:val="14"/>
              </w:rPr>
              <w:t>ядката от кола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Захар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Глюкоза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Фруктоза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Галактоза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Захароза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Лактоза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Малтоза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270809" w:rsidP="00025909">
            <w:pPr>
              <w:pStyle w:val="a4"/>
              <w:ind w:hanging="13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Други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Малтодекстрин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Инозитол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270809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270809" w:rsidP="00025909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Добавки с оцветяващи свойства за емисиите. (Член 10б, параграф 7, точка 3 във връзка с член 8б, параграф 2, точка 3 от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270809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270809">
            <w:pPr>
              <w:pStyle w:val="a4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3"/>
                <w:b/>
                <w:color w:val="FFFFFF"/>
                <w:sz w:val="16"/>
                <w:u w:val="single"/>
              </w:rPr>
              <w:lastRenderedPageBreak/>
              <w:t>Забранени съставки в електронните цигари, съдържащи никотин, и в безникотиновите електронни цигари, както и в контейнерите за многократно пълнене</w:t>
            </w:r>
          </w:p>
        </w:tc>
      </w:tr>
      <w:tr w:rsidR="00555190" w:rsidRPr="00025909" w14:paraId="5889D192" w14:textId="77777777" w:rsidTr="00270809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  <w:sz w:val="15"/>
              </w:rPr>
              <w:t>Категории вещества, включително правното основание за забраната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  <w:sz w:val="15"/>
              </w:rPr>
              <w:t>Примери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</w:rPr>
              <w:t>Допълнителна обосновка за забраната</w:t>
            </w:r>
          </w:p>
        </w:tc>
      </w:tr>
      <w:tr w:rsidR="00255EB4" w:rsidRPr="00025909" w14:paraId="4D441EB4" w14:textId="77777777" w:rsidTr="00270809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270809" w:rsidP="00555190">
            <w:pPr>
              <w:pStyle w:val="a4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3"/>
                <w:b/>
                <w:color w:val="FFFFFF"/>
                <w:u w:val="single"/>
              </w:rPr>
              <w:t>1.</w:t>
            </w:r>
            <w:r>
              <w:rPr>
                <w:rStyle w:val="a3"/>
                <w:b/>
                <w:color w:val="FFFFFF"/>
              </w:rPr>
              <w:tab/>
            </w:r>
            <w:r>
              <w:rPr>
                <w:rStyle w:val="a3"/>
                <w:b/>
                <w:color w:val="FFFFFF"/>
                <w:u w:val="single"/>
              </w:rPr>
              <w:t>Добавки, които имат CMR свойства в неизгорена форма. (Член 10б, параграф 7, точка 3 във връзка с член 8б, параграф 2, точка 5 от TNRSG; Член 10б, параграф 7, точка 5 от TNRSG)</w:t>
            </w:r>
          </w:p>
        </w:tc>
      </w:tr>
      <w:tr w:rsidR="00255EB4" w:rsidRPr="00025909" w14:paraId="39417571" w14:textId="77777777" w:rsidTr="00270809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 w:rsidTr="00270809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270809">
            <w:pPr>
              <w:pStyle w:val="a4"/>
              <w:spacing w:line="262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1.1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 xml:space="preserve">Вещества, класифицирани в съответствие с приложение VI, част 3 от Регламент (ЕО) № 1272/2008 на Европейския парламент и на Съвета от 16 декември 2008 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 1907/2006 (ОВ L 353, 31.12.2006 г., стр. 1), последно изменен с Регламент (ЕС) 2016/1179 (ОВ L 195, 20.7.2016 г., стр. 11), като </w:t>
            </w:r>
            <w:r>
              <w:rPr>
                <w:rStyle w:val="a3"/>
                <w:b/>
                <w:color w:val="000000"/>
              </w:rPr>
              <w:t>CMR вещества от категория 1A, 1B, 2 или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 w:rsidTr="00270809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270809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1.2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Вещества, класифицирани съгласно списъка на класификациите на Международната агенция за изследване на рака (</w:t>
            </w:r>
            <w:r>
              <w:rPr>
                <w:rStyle w:val="a3"/>
                <w:b/>
                <w:color w:val="000000"/>
              </w:rPr>
              <w:t>IARC</w:t>
            </w:r>
            <w:r>
              <w:rPr>
                <w:rStyle w:val="a3"/>
                <w:color w:val="000000"/>
              </w:rPr>
              <w:t xml:space="preserve">) по отношение на канцерогенните ефекти при хората в </w:t>
            </w:r>
            <w:r>
              <w:rPr>
                <w:rStyle w:val="a3"/>
                <w:b/>
                <w:color w:val="000000"/>
              </w:rPr>
              <w:t>Групи 1, 2A или 2B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 w:rsidTr="00270809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270809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1.3 </w:t>
            </w:r>
            <w:r>
              <w:rPr>
                <w:rStyle w:val="a3"/>
                <w:color w:val="000000"/>
              </w:rPr>
              <w:tab/>
              <w:t>Вещества, класифицирани като „известни“ или „разумно очаквани“, да бъдат канцерогени за хората от Националната токсикологична програма на САЩ (NTP)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 w:rsidTr="00270809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270809" w:rsidP="00025909">
            <w:pPr>
              <w:pStyle w:val="a4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3"/>
                <w:color w:val="000000"/>
              </w:rPr>
              <w:t xml:space="preserve">1.4 </w:t>
            </w:r>
            <w:r>
              <w:rPr>
                <w:rStyle w:val="a3"/>
                <w:color w:val="000000"/>
              </w:rPr>
              <w:tab/>
              <w:t xml:space="preserve">Вещества, които съгласно </w:t>
            </w:r>
            <w:r>
              <w:rPr>
                <w:rStyle w:val="a3"/>
                <w:b/>
                <w:color w:val="000000"/>
              </w:rPr>
              <w:t>списъка на стойностите на MAK и BAT</w:t>
            </w:r>
            <w:r>
              <w:rPr>
                <w:rStyle w:val="a3"/>
                <w:color w:val="000000"/>
              </w:rPr>
              <w:t xml:space="preserve"> (публикуван от Deutsche Forschungsgemeinschaft (DFG)), са класифицирани от Комисията за MAK като имащи канцерогенни ефекти в категории 1, 2, 4 или 5, като тератогенни ефекти в категории A, B или C и като мутагенни ефекти на зародишните клетки в категории 1, 2, 3A или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 w:rsidTr="00270809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270809">
            <w:pPr>
              <w:pStyle w:val="a4"/>
              <w:spacing w:line="257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1.5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Вещества, класифицирани като канцерогенни, мутагенни или токсични за репродукцията от Европейския орган за безопасност на храните (ЕОБХ).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 w:rsidTr="00270809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1.1 — 1.5 Примери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Изофорон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 w:rsidTr="00270809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Пиридин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 w:rsidTr="00270809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Мирцен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 w:rsidTr="00270809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Хризен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 w:rsidTr="00270809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Бензо(a)антрацен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 w:rsidTr="00270809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Бензо(б)флуорантен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 w:rsidTr="00270809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Титаниев диоксид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 w:rsidTr="00270809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Метил евгенол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 w:rsidTr="00270809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Сафрол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 w:rsidTr="00270809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Естрагол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 w:rsidTr="00270809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270809">
            <w:pPr>
              <w:pStyle w:val="a4"/>
              <w:spacing w:line="257" w:lineRule="auto"/>
            </w:pPr>
            <w:r>
              <w:rPr>
                <w:rStyle w:val="a3"/>
                <w:color w:val="000000"/>
              </w:rPr>
              <w:t>1.6 Вещества с ефекти върху репродуктивната система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Парабени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270809">
            <w:pPr>
              <w:pStyle w:val="a4"/>
              <w:spacing w:line="257" w:lineRule="auto"/>
            </w:pPr>
            <w:r>
              <w:rPr>
                <w:rStyle w:val="a3"/>
                <w:color w:val="000000"/>
              </w:rPr>
              <w:t>Пропилпарабен (пропилов естер на парахидроксибензоена киселина)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270809">
            <w:pPr>
              <w:pStyle w:val="a4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 xml:space="preserve">Някои парабени показват </w:t>
            </w:r>
            <w:r>
              <w:rPr>
                <w:rStyle w:val="a3"/>
                <w:i/>
                <w:color w:val="000000"/>
              </w:rPr>
              <w:t>in vivo</w:t>
            </w:r>
            <w:r>
              <w:rPr>
                <w:rStyle w:val="a3"/>
                <w:color w:val="000000"/>
              </w:rPr>
              <w:t xml:space="preserve"> токсични ефекти за репродукцията.</w:t>
            </w:r>
          </w:p>
          <w:p w14:paraId="4C754D05" w14:textId="77777777" w:rsidR="00555190" w:rsidRPr="00555190" w:rsidRDefault="00555190">
            <w:pPr>
              <w:pStyle w:val="a4"/>
              <w:rPr>
                <w:lang w:val="de-DE"/>
              </w:rPr>
            </w:pPr>
          </w:p>
          <w:p w14:paraId="7B8050C2" w14:textId="77777777" w:rsidR="00255EB4" w:rsidRPr="00025909" w:rsidRDefault="00270809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04A70D1A" w14:textId="77777777" w:rsidR="00255EB4" w:rsidRPr="00025909" w:rsidRDefault="00270809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НКБП (Научен комитет по безопасност на потребителите) (2021 г.). Становище относно пропилпарабен (CAS № 94-13-3, EC № 202-307-7), предварителна версия от 27—28 октомври 2020 г., окончателна версия от 30—31 март 2021 г., НКБП/1623/20</w:t>
            </w:r>
          </w:p>
          <w:p w14:paraId="17AE6435" w14:textId="18519780" w:rsidR="00255EB4" w:rsidRPr="00025909" w:rsidRDefault="00255EB4">
            <w:pPr>
              <w:pStyle w:val="a4"/>
              <w:spacing w:line="254" w:lineRule="auto"/>
            </w:pPr>
            <w:hyperlink r:id="rId9" w:history="1">
              <w:r>
                <w:rPr>
                  <w:rStyle w:val="a3"/>
                  <w:color w:val="000000"/>
                  <w:sz w:val="11"/>
                  <w:u w:val="single"/>
                </w:rPr>
                <w:t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4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31D3D0AC" w:rsidR="00255EB4" w:rsidRPr="00555190" w:rsidRDefault="00270809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ЕОБХ (Европейски орган за безопасност на храните) (2004 г.). Становище на Научната група по добавките в храните, ароматизантите, спомагателните вещества при обработката и материалите, които влизат в контакт с храни (AFC), свързано с хидроксибензоати (E 214-219). БЮЛЕТИН НА ЕОБХ DOI: </w:t>
            </w:r>
            <w:hyperlink r:id="rId10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https://doi.org/10.2903/j.efsa.2004.83</w:t>
              </w:r>
            </w:hyperlink>
          </w:p>
        </w:tc>
      </w:tr>
      <w:tr w:rsidR="00255EB4" w:rsidRPr="00555190" w14:paraId="63758B00" w14:textId="77777777" w:rsidTr="00270809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Натриев пропилпарабен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 w:rsidTr="00270809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Калиев пропилпарабен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 w:rsidTr="00270809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Бутилпарабен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 w:rsidTr="00270809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Натриев бутилпарабен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 w:rsidTr="00270809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Калиев бутилпарабен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 w:rsidTr="00270809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Изобутилпарабен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270809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Натриев изобутилпарабен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 w:rsidTr="00270809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270809">
            <w:pPr>
              <w:pStyle w:val="a4"/>
              <w:ind w:firstLine="360"/>
            </w:pPr>
            <w:r>
              <w:rPr>
                <w:rStyle w:val="a3"/>
                <w:color w:val="000000"/>
              </w:rPr>
              <w:t>1.7 Сасафрас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Масло от сасафрас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Съдържа сафрол.</w:t>
            </w:r>
          </w:p>
        </w:tc>
      </w:tr>
      <w:tr w:rsidR="00255EB4" w:rsidRPr="00555190" w14:paraId="040032AD" w14:textId="77777777" w:rsidTr="00270809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Дървесина от сасафрас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 w:rsidTr="00270809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Листа от сасафрас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 w:rsidTr="00270809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Кора от сасафрас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270809" w:rsidP="00555190">
            <w:pPr>
              <w:pStyle w:val="a4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3"/>
                <w:b/>
                <w:color w:val="FFFFFF"/>
                <w:u w:val="single"/>
              </w:rPr>
              <w:lastRenderedPageBreak/>
              <w:t>2.</w:t>
            </w:r>
            <w:r>
              <w:rPr>
                <w:rStyle w:val="a3"/>
                <w:b/>
                <w:color w:val="FFFFFF"/>
              </w:rPr>
              <w:tab/>
            </w:r>
            <w:r>
              <w:rPr>
                <w:rStyle w:val="a3"/>
                <w:b/>
                <w:color w:val="FFFFFF"/>
                <w:u w:val="single"/>
              </w:rPr>
              <w:t>Съставки (с изключение на никотина в течностите, съдържащи никотин, които не представляват опасност за здравето на човека в нагрят или ненагрят вид. (Член 10б, параграф 7, точка 5 от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270809" w:rsidP="00555190">
            <w:pPr>
              <w:pStyle w:val="a4"/>
              <w:tabs>
                <w:tab w:val="left" w:pos="370"/>
              </w:tabs>
            </w:pPr>
            <w:r>
              <w:rPr>
                <w:rStyle w:val="a3"/>
                <w:color w:val="000000"/>
              </w:rPr>
              <w:t xml:space="preserve">2.1 </w:t>
            </w:r>
            <w:r>
              <w:rPr>
                <w:rStyle w:val="a3"/>
                <w:color w:val="000000"/>
              </w:rPr>
              <w:tab/>
              <w:t>Вещества, които притежават CMR свойства в неизгорена форма. (Вж. точка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270809">
            <w:pPr>
              <w:pStyle w:val="a4"/>
              <w:spacing w:line="266" w:lineRule="auto"/>
              <w:ind w:left="360" w:hanging="360"/>
            </w:pPr>
            <w:r>
              <w:rPr>
                <w:rStyle w:val="a3"/>
                <w:color w:val="000000"/>
              </w:rPr>
              <w:t xml:space="preserve">2.2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 xml:space="preserve">Вещества, класифицирани в съответствие с приложение VI, част 3 от Регламент (ЕО) № 1272/2008 на Европейския парламент и на Съвета от 16 декември 2008 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 1907/2006 (ОВ L 353, 31.12.2006 г., стр. 1), последно изменен с Регламент (ЕС) 2016/1179 (ОВ L 195, 20.7.2016 г., стр. 11), като </w:t>
            </w:r>
            <w:r>
              <w:rPr>
                <w:rStyle w:val="a3"/>
                <w:b/>
                <w:color w:val="000000"/>
              </w:rPr>
              <w:t>респираторна сенсибилизация (Resp. Sens. 1)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270809" w:rsidP="00025909">
            <w:pPr>
              <w:pStyle w:val="a4"/>
              <w:spacing w:line="269" w:lineRule="auto"/>
              <w:ind w:left="360" w:right="255" w:hanging="360"/>
            </w:pPr>
            <w:r>
              <w:rPr>
                <w:rStyle w:val="a3"/>
                <w:color w:val="000000"/>
              </w:rPr>
              <w:t xml:space="preserve">2.3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 xml:space="preserve">Вещества, изброени в </w:t>
            </w:r>
            <w:r>
              <w:rPr>
                <w:rStyle w:val="a3"/>
                <w:b/>
                <w:color w:val="000000"/>
              </w:rPr>
              <w:t>приложение III</w:t>
            </w:r>
            <w:r>
              <w:rPr>
                <w:rStyle w:val="a3"/>
                <w:color w:val="000000"/>
              </w:rPr>
              <w:t>, част А от Регламент (ЕО) № 1334/2008 на Европейския парламент и на Съвета от 16 декември 2008 г. относно:</w:t>
            </w:r>
            <w:r>
              <w:rPr>
                <w:rStyle w:val="a3"/>
                <w:b/>
                <w:color w:val="000000"/>
              </w:rPr>
              <w:t>ароматизантите</w:t>
            </w:r>
            <w:r>
              <w:rPr>
                <w:rStyle w:val="a3"/>
                <w:color w:val="000000"/>
              </w:rPr>
              <w:t>, и определени хранителни съставки с ароматични свойства за влагане във или върху храни, както и техни актуализации, са изброени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Агарициева киселина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Алоин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Капсаицин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1,2-бензопирон, кумарин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Хиперицин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Бета-азарон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1-алил-4-метоксибензен, естрагол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Циановодородна киселина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Ментофуран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4-алил-1,2-диметоксибензен, метилевгенол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Пулегон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Квасин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1-алил-3,4-метилендиоксибензен, сафрол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Теукрин 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Туйон (алфа и бета)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270809" w:rsidP="00555190">
            <w:pPr>
              <w:pStyle w:val="a4"/>
              <w:tabs>
                <w:tab w:val="left" w:pos="370"/>
              </w:tabs>
              <w:spacing w:line="264" w:lineRule="auto"/>
            </w:pPr>
            <w:r>
              <w:rPr>
                <w:rStyle w:val="a3"/>
                <w:color w:val="000000"/>
              </w:rPr>
              <w:t xml:space="preserve">2.4 </w:t>
            </w:r>
            <w:r>
              <w:rPr>
                <w:rStyle w:val="a3"/>
                <w:color w:val="000000"/>
              </w:rPr>
              <w:tab/>
              <w:t xml:space="preserve">Вещества, които съгласно </w:t>
            </w:r>
            <w:r>
              <w:rPr>
                <w:rStyle w:val="a3"/>
                <w:b/>
                <w:color w:val="000000"/>
              </w:rPr>
              <w:t xml:space="preserve">списъка на стойностите на MAK и BAT </w:t>
            </w:r>
            <w:r>
              <w:rPr>
                <w:rStyle w:val="a3"/>
                <w:color w:val="000000"/>
              </w:rPr>
              <w:t>(публикуван от Deutsche</w:t>
            </w:r>
          </w:p>
          <w:p w14:paraId="0E2FB79A" w14:textId="77777777" w:rsidR="00255EB4" w:rsidRPr="00555190" w:rsidRDefault="00270809" w:rsidP="00025909">
            <w:pPr>
              <w:pStyle w:val="a4"/>
              <w:spacing w:line="264" w:lineRule="auto"/>
              <w:ind w:left="370" w:right="397"/>
            </w:pPr>
            <w:r>
              <w:rPr>
                <w:rStyle w:val="a3"/>
                <w:color w:val="000000"/>
              </w:rPr>
              <w:t xml:space="preserve">Forschungsgemeinschaft (DFG)), са класифицирани от Комисията за MAK като </w:t>
            </w:r>
            <w:r>
              <w:rPr>
                <w:rStyle w:val="a3"/>
                <w:b/>
                <w:color w:val="000000"/>
              </w:rPr>
              <w:t>съществени алергени</w:t>
            </w:r>
            <w:r>
              <w:rPr>
                <w:rStyle w:val="a3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270809" w:rsidP="00555190">
            <w:pPr>
              <w:pStyle w:val="a4"/>
              <w:tabs>
                <w:tab w:val="left" w:pos="384"/>
              </w:tabs>
            </w:pPr>
            <w:r>
              <w:rPr>
                <w:rStyle w:val="a3"/>
                <w:color w:val="000000"/>
              </w:rPr>
              <w:t>2.5</w:t>
            </w:r>
            <w:r>
              <w:rPr>
                <w:rStyle w:val="a3"/>
                <w:color w:val="000000"/>
              </w:rPr>
              <w:tab/>
              <w:t xml:space="preserve"> Преработени компоненти, екстракти и масла, получени от растението </w:t>
            </w:r>
            <w:r>
              <w:rPr>
                <w:rStyle w:val="a3"/>
                <w:b/>
                <w:color w:val="000000"/>
              </w:rPr>
              <w:t>пенироял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270809">
            <w:pPr>
              <w:pStyle w:val="a4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Пенироял съдържа пулегон, хепатотоксично вещество.</w:t>
            </w:r>
          </w:p>
          <w:p w14:paraId="69E58F96" w14:textId="77777777" w:rsidR="00555190" w:rsidRPr="00555190" w:rsidRDefault="00555190">
            <w:pPr>
              <w:pStyle w:val="a4"/>
              <w:rPr>
                <w:lang w:val="de-DE"/>
              </w:rPr>
            </w:pPr>
          </w:p>
          <w:p w14:paraId="06174B1E" w14:textId="77777777" w:rsidR="00255EB4" w:rsidRPr="00025909" w:rsidRDefault="00270809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46A978DE" w14:textId="5F5604A6" w:rsidR="00255EB4" w:rsidRPr="00025909" w:rsidRDefault="00270809">
            <w:pPr>
              <w:pStyle w:val="a4"/>
              <w:spacing w:line="257" w:lineRule="auto"/>
            </w:pPr>
            <w:r>
              <w:rPr>
                <w:rStyle w:val="a3"/>
                <w:color w:val="000000"/>
                <w:sz w:val="11"/>
              </w:rPr>
              <w:t xml:space="preserve">Европейски орган за безопасност на храните (2008 г.). Пулегон и ментофуран в ароматизанти — Становище на Научната група по добавките в храните, ароматизантите, спомагателните вещества при обработката и материалите, които влизат в контакт с храни (AFC). БЮЛЕТИН НА ЕОБХ 6(3): 298 DOI: </w:t>
            </w:r>
            <w:hyperlink r:id="rId11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270809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Gordon Perry и Khojasteh S. Cyrus (2015 г.). Продължило десетилетия проучване във връзка с острата хепатотоксичност, базирана на метаболизма, от растителни съставки: проучване на практически казус за масло от пенироял. Преразглеждания на метаболизма на лекарствата 47(1): 12-20 DOI: </w:t>
            </w:r>
          </w:p>
          <w:p w14:paraId="6E8EB49D" w14:textId="06686487" w:rsidR="00255EB4" w:rsidRPr="00555190" w:rsidRDefault="00270809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10.3109/03602532.2014.990032.</w:t>
            </w:r>
          </w:p>
          <w:p w14:paraId="73B3CE50" w14:textId="6A0DE588" w:rsidR="00255EB4" w:rsidRPr="00555190" w:rsidRDefault="00255EB4">
            <w:pPr>
              <w:pStyle w:val="a4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3"/>
                  <w:color w:val="000000"/>
                  <w:sz w:val="11"/>
                  <w:u w:val="single"/>
                </w:rPr>
                <w:t>https://doi.org/10.3109/03602532.2014.990032</w:t>
              </w:r>
            </w:hyperlink>
          </w:p>
        </w:tc>
      </w:tr>
    </w:tbl>
    <w:p w14:paraId="701E7EEA" w14:textId="77777777" w:rsidR="00255EB4" w:rsidRPr="00555190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270809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lastRenderedPageBreak/>
              <w:t xml:space="preserve">2.6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Маслени/мазни вещества, като наситени или ненаситени свободни мастни киселини и техни производни; алкани, алкени и алкини с дължина на въглеродната верига от 12 или повече; моно-, ди- и триглицериди; восъци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триглицериди със средна дължина на веригата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270809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 xml:space="preserve">Вдишването или аспирирането на липиди (мазни/маслени вещества) се счита за основна причина за развитието на екзогенна липидна пневмония (хронична пневмония). Екзогенната липидна пневмония може да бъде предизвикана от минерални масла, както и от маслени/мазни вещества от животински и растителен произход. Тъй като научните обяснения винаги се отнасят до масла и мазнини или мазни и маслени вещества като цяло, мазният/масленият характер, а не специфичен състав на веществото, следва да бъде от решаващо значение </w:t>
            </w:r>
            <w:r>
              <w:rPr>
                <w:rStyle w:val="a3"/>
                <w:color w:val="000000"/>
              </w:rPr>
              <w:t>за неблагоприятното въздействие върху здравето (Hadda и Khilnani 2010 г., M. Schwaiblmair et al. 2010 г., Nguyen и Oh 2013 г.).</w:t>
            </w:r>
          </w:p>
          <w:p w14:paraId="731C84BB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56A29327" w14:textId="4AF8069E" w:rsidR="00255EB4" w:rsidRPr="00025909" w:rsidRDefault="00270809">
            <w:pPr>
              <w:pStyle w:val="a4"/>
              <w:spacing w:line="262" w:lineRule="auto"/>
            </w:pPr>
            <w:r>
              <w:rPr>
                <w:rStyle w:val="a3"/>
                <w:color w:val="000000"/>
                <w:sz w:val="11"/>
              </w:rPr>
              <w:t>Hadda Vijay и Khilnani Gopi C. (2010 г.). Липоидна пневмония: преразглеждане. Експертно преразглеждане на медицината в областта на дихателната система 4(6): 799-807</w:t>
            </w:r>
            <w:hyperlink r:id="rId13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4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270809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Nguyen Christopher D и Oh Scott S (2013 г.). Случай на екзогенна липоидна пневмония. Грижа за дихателната система 58(3): e23-e27 DOI: 10.4187)respcare.01727.</w:t>
            </w:r>
          </w:p>
          <w:p w14:paraId="35F41CE7" w14:textId="552B46DE" w:rsidR="00255EB4" w:rsidRPr="00025909" w:rsidRDefault="00255EB4">
            <w:pPr>
              <w:pStyle w:val="a4"/>
              <w:spacing w:line="257" w:lineRule="auto"/>
            </w:pPr>
            <w:hyperlink r:id="rId14" w:history="1">
              <w:r>
                <w:rPr>
                  <w:rStyle w:val="a3"/>
                  <w:color w:val="000000"/>
                  <w:sz w:val="11"/>
                  <w:u w:val="single"/>
                </w:rPr>
                <w:t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60C294A6" w:rsidR="00255EB4" w:rsidRPr="00555190" w:rsidRDefault="00270809">
            <w:pPr>
              <w:pStyle w:val="a4"/>
              <w:spacing w:line="262" w:lineRule="auto"/>
            </w:pPr>
            <w:r>
              <w:rPr>
                <w:rStyle w:val="a3"/>
                <w:color w:val="000000"/>
                <w:sz w:val="11"/>
              </w:rPr>
              <w:t xml:space="preserve">M. Schwaiblmair, et al. (2010 г.). Липидна пневмония — подценяван синдром? Dtsch Med Wochenschr 2010 г.; 135(1/02): 27-31 DOI: 10.1055/s- 0029-1244813. </w:t>
            </w:r>
            <w:hyperlink r:id="rId15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4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1D842215" w:rsidR="00255EB4" w:rsidRPr="00555190" w:rsidRDefault="00270809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Lee Jin Seong, et al. (1998 г.). Скваленова аспирационна пневмония: Тънкослойни КТ и хистопатологични находки1. jkrs 38(3): 453-458 DOI: 10,3348/jkrs.1998.38.3.453. </w:t>
            </w:r>
            <w:hyperlink r:id="rId16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Сквалан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Сквален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270809" w:rsidP="00555190">
            <w:pPr>
              <w:pStyle w:val="a4"/>
              <w:tabs>
                <w:tab w:val="left" w:pos="376"/>
              </w:tabs>
            </w:pPr>
            <w:r>
              <w:rPr>
                <w:rStyle w:val="a3"/>
                <w:color w:val="000000"/>
              </w:rPr>
              <w:t xml:space="preserve">2.7 </w:t>
            </w:r>
            <w:r>
              <w:rPr>
                <w:rStyle w:val="a3"/>
                <w:color w:val="000000"/>
              </w:rPr>
              <w:tab/>
              <w:t>Колофон, смола или смолни киселини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Абиетинова киселина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270809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Смолните изпарения се класифицират като респираторни сенсибилизатори и възможни причинители на астма.</w:t>
            </w:r>
          </w:p>
          <w:p w14:paraId="53F9493D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0808C1D4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„HSE Health and Safety Executive“ (2001 г.). Астмаген? Критични оценки на доказателствата за агенти, свързани с професионалната астма.</w:t>
            </w:r>
          </w:p>
          <w:p w14:paraId="53009E1B" w14:textId="629F1BF1" w:rsidR="00255EB4" w:rsidRPr="00025909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3"/>
                  <w:color w:val="000000"/>
                  <w:sz w:val="11"/>
                  <w:u w:val="single"/>
                </w:rPr>
                <w:t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Пимарова киселина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Изопимарова киселина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Палустринова киселина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Левопимарова киселина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270809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lastRenderedPageBreak/>
              <w:t xml:space="preserve">2.8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Витамин Е ацетат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270809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Витамин Е ацетат е тясно свързан с разпространението на EVALI през 2019 г. (електронни цигари или вейпинг, употреба на продукти, свързани с увреждания на белия дроб) в САЩ.</w:t>
            </w:r>
          </w:p>
          <w:p w14:paraId="556BD566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270809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4D71233E" w14:textId="77777777" w:rsidR="00025909" w:rsidRDefault="00270809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CDC (Центрове за контрол и превенция на заболяванията): Разпространение на увреждания на белия дроб, свързани с употребата на електронни цигари или продукти за вейпинг</w:t>
            </w:r>
          </w:p>
          <w:p w14:paraId="4F80F513" w14:textId="50950082" w:rsidR="00255EB4" w:rsidRPr="00025909" w:rsidRDefault="00270809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(</w:t>
            </w:r>
            <w:hyperlink r:id="rId18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https://www.cdc.gov/tobacco/basic_information/e-cigarettes/severe-lung-disease.html</w:t>
              </w:r>
            </w:hyperlink>
            <w:r>
              <w:rPr>
                <w:rStyle w:val="a3"/>
                <w:color w:val="000000"/>
                <w:sz w:val="11"/>
              </w:rPr>
              <w:t>)</w:t>
            </w:r>
          </w:p>
          <w:p w14:paraId="3AA3B6C3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Blount Benjamin C., et al. (2019 г.). </w:t>
            </w:r>
            <w:r>
              <w:rPr>
                <w:rStyle w:val="a3"/>
                <w:color w:val="000000"/>
                <w:sz w:val="11"/>
              </w:rPr>
              <w:t>Витамин Е ацетат в бронхоалвеоларна лаважна течност, свързана с EVALI. „New England Journal of Medicine“ 382(8): 697-705 DOI:</w:t>
            </w:r>
          </w:p>
          <w:p w14:paraId="331C32A8" w14:textId="0BB658D4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  <w:u w:val="single"/>
              </w:rPr>
              <w:t>10.1056/NEJMoa1916433.</w:t>
            </w:r>
            <w:hyperlink r:id="rId19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https://www.nejm.org/doi/full/10.1056/NEJMoa191643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270809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t xml:space="preserve">2.9 </w:t>
            </w:r>
            <w:r>
              <w:rPr>
                <w:rStyle w:val="a3"/>
                <w:color w:val="000000"/>
              </w:rPr>
              <w:tab/>
              <w:t>Диацетил и някои структурни аналози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Диацетил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270809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Диацетил и 2,3-пентадион могат да причинят тежки възпаления и респираторни заболявания при вдишване. Като предпазна мярка се препоръчва разширяване на обхвата на забраната, така че да се включат структурните аналози 2,3-хексадион и 2,3-хептадион.</w:t>
            </w:r>
          </w:p>
          <w:p w14:paraId="669F3BF0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270809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11E6AB8A" w14:textId="0F90488C" w:rsidR="00255EB4" w:rsidRPr="00025909" w:rsidRDefault="00270809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MAK-Kommission (2015 г.) „Диацетил [документация за стойността на MAK на немски език, 2015 г.].“ Сборни данни за MAK във връзка със здравословните и безопасни условия на труд, 1-42 DOI: </w:t>
            </w:r>
            <w:hyperlink r:id="rId20" w:history="1">
              <w:r w:rsidR="00255EB4">
                <w:rPr>
                  <w:rStyle w:val="a3"/>
                  <w:color w:val="000000"/>
                  <w:sz w:val="11"/>
                </w:rPr>
                <w:t>https://doi.org/10.1002/3527600418.mb43103d0058</w:t>
              </w:r>
            </w:hyperlink>
            <w:r>
              <w:rPr>
                <w:rStyle w:val="a3"/>
                <w:color w:val="000000"/>
                <w:sz w:val="11"/>
              </w:rPr>
              <w:t>.</w:t>
            </w:r>
          </w:p>
          <w:p w14:paraId="63DC81C3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594F8E65" w14:textId="6F54C7FA" w:rsidR="00255EB4" w:rsidRPr="00025909" w:rsidRDefault="00270809">
            <w:pPr>
              <w:pStyle w:val="a4"/>
              <w:spacing w:line="262" w:lineRule="auto"/>
              <w:rPr>
                <w:rStyle w:val="a3"/>
                <w:color w:val="000000"/>
                <w:sz w:val="11"/>
                <w:szCs w:val="11"/>
                <w:u w:val="single"/>
              </w:rPr>
            </w:pPr>
            <w:r>
              <w:rPr>
                <w:rStyle w:val="a3"/>
                <w:color w:val="000000"/>
                <w:sz w:val="11"/>
              </w:rPr>
              <w:t xml:space="preserve">MAK-Kommission (2017 г.) „2,3-пентандион [документация за стойността на MAK на немски език, 2017 г.]. ’ Сборни данни за MAK във връзка със здравословните и безопасни условия на труд, 135160 DOI: </w:t>
            </w:r>
            <w:hyperlink r:id="rId21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https://doi.org/10.1002/3527600418.mb60014d0062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>.</w:t>
            </w:r>
          </w:p>
          <w:p w14:paraId="2C84E059" w14:textId="77777777" w:rsidR="00555190" w:rsidRPr="00025909" w:rsidRDefault="00555190">
            <w:pPr>
              <w:pStyle w:val="a4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270809">
            <w:pPr>
              <w:pStyle w:val="a4"/>
              <w:spacing w:line="262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BfR (Германски федерален институт за оценка на риска) (2015 г.). Оценка на здравето във връзка с добавките за тютюневи изделия и електронни цигари. (на немски език: „Gesundheitliche Bewertung von Zusatzstoffen für Tabakerzeugnisse und elektronische Zigaretten.“) Становище на BfR № 045/2015 от 30 юли 2015 г.</w:t>
            </w:r>
          </w:p>
          <w:p w14:paraId="012EDEE8" w14:textId="77777777" w:rsidR="00555190" w:rsidRPr="00555190" w:rsidRDefault="00555190">
            <w:pPr>
              <w:pStyle w:val="a4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6FA59EAC" w:rsidR="00255EB4" w:rsidRPr="00555190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3"/>
                  <w:color w:val="000000"/>
                  <w:sz w:val="11"/>
                  <w:u w:val="single"/>
                </w:rPr>
                <w:t>https://www.bfr.bund.de/cm/343/gesundheitliche-bewertung-von-zusatzstoffen-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2,3-пентадион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2,3-хексадион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270809">
            <w:pPr>
              <w:pStyle w:val="a4"/>
            </w:pPr>
            <w:r>
              <w:rPr>
                <w:rStyle w:val="a3"/>
                <w:color w:val="000000"/>
              </w:rPr>
              <w:t>2,3-хептадион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270809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t xml:space="preserve">2,10 </w:t>
            </w:r>
            <w:r>
              <w:rPr>
                <w:rStyle w:val="a3"/>
                <w:color w:val="000000"/>
              </w:rPr>
              <w:tab/>
              <w:t>Масло от горчив бадем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270809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Маслото от горчив бадем може естествено да съдържа циановодородна киселина. Циановодородната киселина е мощна отрова, която може да парализира централната дихателна система.</w:t>
            </w:r>
          </w:p>
          <w:p w14:paraId="30573D90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3E476533" w14:textId="77777777" w:rsidR="00255EB4" w:rsidRPr="00555190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Комисия за MAK (2001 г.). Циановодород, калиев и натриев цианид [стойност на MAK]</w:t>
            </w:r>
          </w:p>
          <w:p w14:paraId="54023A4E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Документация на немски език, 2001 г.]. Сборни данни за MAK във връзка със</w:t>
            </w:r>
          </w:p>
          <w:p w14:paraId="7483A7F0" w14:textId="77777777" w:rsidR="00255EB4" w:rsidRPr="00025909" w:rsidRDefault="00270809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здравословните и безопасни условия на труд: 1-19 DOI:</w:t>
            </w:r>
          </w:p>
          <w:p w14:paraId="79CE87B6" w14:textId="0681B974" w:rsidR="00255EB4" w:rsidRPr="00025909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3"/>
                  <w:color w:val="000000"/>
                  <w:sz w:val="11"/>
                  <w:u w:val="single"/>
                </w:rPr>
                <w:t>https://doi.org/10.1002/3527600418.mb7490verd0032.https://onlinelibrary.wiley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270809">
            <w:pPr>
              <w:pStyle w:val="a4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3"/>
                <w:b/>
                <w:color w:val="FFFFFF"/>
                <w:sz w:val="17"/>
                <w:u w:val="single"/>
              </w:rPr>
              <w:lastRenderedPageBreak/>
              <w:t>Забранени съставки в тютюневите изделия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Категории вещества, включително правното основание за забраната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6"/>
              </w:rPr>
              <w:t>Примери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Допълнителна обосновка за забраната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270809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270809" w:rsidP="00555190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Витамини или други добавки, създаващи впечатлението, че тютюневото изделие е полезно за здравето или представлява намалена опасност за здравето. (Член 8б, параграф 2, точка 1 от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270809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Витамините, изброени в приложението „Списък на Съюза“ към Регламент (ЕС) № 609/2013, изменен, в съответствие с член 15 от него.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Аминокиселини и техни производни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Аналгетици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растението коноп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Канабиноиди (естествени или синтетични по произход)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Канабидиол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Хормони и хормоноподобни вещества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Мелатонин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Флавоноиди и фосфолипиди с антиоксидантно действие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Нарингин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270809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270809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Други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хлорид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хидроксид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цитрат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Холин тартрат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Бетаин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S-Аденозил метионин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L-5-Хидрокситриптофан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Карнитин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 хидрохлорид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L-карнитин-L-тартрат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Натриев селенит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270809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270809" w:rsidP="002B5C56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Кофеин или таурин, или други добавки и стимулиращи съединения, които са свързвани с идеята за енергия и жизненост (член 8б, параграф 2, точка 2 от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270809">
            <w:pPr>
              <w:pStyle w:val="a4"/>
              <w:spacing w:line="252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растението кафе</w:t>
            </w:r>
            <w:r>
              <w:rPr>
                <w:rStyle w:val="a3"/>
                <w:color w:val="000000"/>
                <w:sz w:val="14"/>
              </w:rPr>
              <w:t xml:space="preserve"> и от </w:t>
            </w:r>
            <w:r>
              <w:rPr>
                <w:rStyle w:val="a3"/>
                <w:b/>
                <w:color w:val="000000"/>
                <w:sz w:val="14"/>
              </w:rPr>
              <w:t>кафе на зърна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270809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 xml:space="preserve">чаеното растение </w:t>
            </w:r>
            <w:r>
              <w:rPr>
                <w:rStyle w:val="a3"/>
                <w:color w:val="000000"/>
                <w:sz w:val="14"/>
              </w:rPr>
              <w:t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растението гуарана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йерба мате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270809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Компоненти, включително преработени компоненти, екстракти и масла от </w:t>
            </w:r>
            <w:r>
              <w:rPr>
                <w:rStyle w:val="a3"/>
                <w:b/>
                <w:color w:val="000000"/>
                <w:sz w:val="14"/>
              </w:rPr>
              <w:t>дървото кола</w:t>
            </w:r>
            <w:r>
              <w:rPr>
                <w:rStyle w:val="a3"/>
                <w:color w:val="000000"/>
                <w:sz w:val="14"/>
              </w:rPr>
              <w:t xml:space="preserve"> или </w:t>
            </w:r>
            <w:r>
              <w:rPr>
                <w:rStyle w:val="a3"/>
                <w:b/>
                <w:color w:val="000000"/>
                <w:sz w:val="14"/>
              </w:rPr>
              <w:t>ядката от кола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270809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270809" w:rsidP="000259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Други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Малтодекстрин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Инозитол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270809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270809">
            <w:pPr>
              <w:pStyle w:val="a4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Добавки с оцветяващи свойства за емисиите. 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(Член 8б, параграф 2, точка 3 от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270809">
            <w:pPr>
              <w:pStyle w:val="a4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lastRenderedPageBreak/>
              <w:t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270809">
            <w:pPr>
              <w:pStyle w:val="a4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t>За тютюневи изделия за пушене — добавки, улесняващи вдишването или абсорбирането на никотина (член 8б, параграф 2, точка 4 от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270809">
            <w:pPr>
              <w:pStyle w:val="a4"/>
              <w:ind w:firstLine="360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270809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Ментол и аналози, TRPM-8 агонисти, „охлаждащи съединения“, „синтетични охлаждащи вещества“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p-ментан-3-заместени и модифицирани съединения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270809">
            <w:pPr>
              <w:pStyle w:val="a4"/>
              <w:spacing w:line="276" w:lineRule="auto"/>
              <w:rPr>
                <w:rStyle w:val="a3"/>
                <w:color w:val="000000"/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Всички вещества или смеси с охлаждащ или аналгетичен ефект се считат за вещества, които улесняват вдишването.</w:t>
            </w:r>
          </w:p>
          <w:p w14:paraId="5C350D88" w14:textId="77777777" w:rsidR="002B5C56" w:rsidRPr="00555190" w:rsidRDefault="002B5C56">
            <w:pPr>
              <w:pStyle w:val="a4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270809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Позоваване:</w:t>
            </w:r>
          </w:p>
          <w:p w14:paraId="00DE7592" w14:textId="77777777" w:rsidR="00255EB4" w:rsidRPr="00025909" w:rsidRDefault="00270809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Съвместно действие относно контрола на тютюна — WP9: D9.3 Доклад относно партньорското преразглеждане на информацията за подобрено докладване относно приоритетните добавки. RIVM, BfR, ANSES, NIPH, ISS и Независимата група за преразглеждане — WP 9</w:t>
            </w:r>
          </w:p>
          <w:p w14:paraId="7151039B" w14:textId="77777777" w:rsidR="00255EB4" w:rsidRPr="00025909" w:rsidRDefault="00270809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Дата 3 декември 2020 г.</w:t>
            </w:r>
          </w:p>
          <w:p w14:paraId="4C043989" w14:textId="77777777" w:rsidR="00255EB4" w:rsidRPr="00025909" w:rsidRDefault="00270809">
            <w:pPr>
              <w:pStyle w:val="a4"/>
              <w:spacing w:line="271" w:lineRule="auto"/>
              <w:rPr>
                <w:rStyle w:val="a3"/>
                <w:color w:val="000000"/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Реф. № на документа: D9.3</w:t>
            </w:r>
          </w:p>
          <w:p w14:paraId="296CD813" w14:textId="77777777" w:rsidR="002B5C56" w:rsidRPr="00025909" w:rsidRDefault="002B5C56">
            <w:pPr>
              <w:pStyle w:val="a4"/>
              <w:spacing w:line="271" w:lineRule="auto"/>
              <w:rPr>
                <w:sz w:val="10"/>
                <w:szCs w:val="10"/>
              </w:rPr>
            </w:pPr>
          </w:p>
          <w:p w14:paraId="59201542" w14:textId="56F2664C" w:rsidR="00255EB4" w:rsidRPr="00025909" w:rsidRDefault="00255EB4">
            <w:pPr>
              <w:pStyle w:val="a4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3"/>
                  <w:color w:val="000000"/>
                  <w:sz w:val="10"/>
                  <w:u w:val="single"/>
                </w:rPr>
                <w:t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270809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p-ментан-3-карбоксамид, включително p-ментан-3-N-алкилкарбоксамид и p-ментан-3-N-арилкарбоксамид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p-ментан-3-естер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p-ментан-3-етер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p-ментан-3-карбоксилни киселини и техни естери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Други р-ментан-3-заместени и модифицирани съединения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P-ментан алкохоли и техни естери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Примери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N-етил-p-ментан-3-карбоксамид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270809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2-изопропил-5-метил-циклохексанкарбоксилна киселина (4-метоксифенил)амид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270809" w:rsidP="002B5C56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(1R,2S,5R)-N-((етоксикарбонил)метил)-p-ментан-3-карбоксамид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N-терт-бутил-p-ментан-3-карбоксамид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2-изопропил-N,2,3-триметилбутирамид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N-(p-ментан-3-карбонил)-D-аланин етилов естер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N-(4-флуорофенил)-p-ментан-3-карбоксамид (CPS-124)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N-(4-етоксифенил)-p-ментан-3-карбоксамид (CPS-128)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Ментил лактат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Ментоксипропан-1,2-диол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2-изопропил-5-метилциклохексанкарбоксилна киселина 2,3-дихидрокси-пропил естер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Ментон 1,2-глицерол кетал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Мономентил сукцинат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Ментил-3-хидроксибутират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Ментил ацетат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Ментол етилен гликол карбонат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2,3-дихидроксипропил p-ментан-3-карбоксилат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Cis-p-ментан-3,8-диол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Ицилин/охлаждащ агент AG-3-5 (3,4-дихидро-3-(2-хидроксифенил)-6-(3-нитрофенил)-(1H)-пиримидин-2-он)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2-изопропил-N 2,3-триметилбутирамид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Изопулегол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1-(ди-сек-бутил-фосфиноил)-хептан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5-метил-4-(1-пиролидинил)-3-2H-фуранон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(−)-Ментол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(+)-Ментол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Ментон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(-)-Ментон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(+)-Ментон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L-карвон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Гераниол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Линалоол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1,8-цинеол (евкалиптол)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1,4-цинеол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Хидроксицитронелал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2708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270809">
            <w:pPr>
              <w:pStyle w:val="a4"/>
              <w:ind w:firstLine="360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lastRenderedPageBreak/>
              <w:t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270809">
            <w:pPr>
              <w:pStyle w:val="a4"/>
              <w:spacing w:line="257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Компоненти, включително преработени компоненти, екстракти и масла от растения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Мента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Евкалипт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Оцимум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Тимус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Салвия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270809">
            <w:pPr>
              <w:pStyle w:val="a4"/>
              <w:ind w:firstLine="360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Никотинови соли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 бензоат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270809">
            <w:pPr>
              <w:pStyle w:val="a4"/>
              <w:spacing w:line="257" w:lineRule="auto"/>
              <w:rPr>
                <w:rStyle w:val="a3"/>
                <w:color w:val="000000"/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Никотиновите соли могат да се абсорбират в тялото по-бързо, когато се вдишват, и причиняват по-малко дразнене от никотина в свободна форма.</w:t>
            </w:r>
          </w:p>
          <w:p w14:paraId="391B6EE1" w14:textId="77777777" w:rsidR="002B5C56" w:rsidRPr="00555190" w:rsidRDefault="002B5C56">
            <w:pPr>
              <w:pStyle w:val="a4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270809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Позовавания:</w:t>
            </w:r>
          </w:p>
          <w:p w14:paraId="68C962C3" w14:textId="77777777" w:rsidR="00255EB4" w:rsidRPr="00025909" w:rsidRDefault="00270809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O’Connell Grant, et al. (2019 г.). </w:t>
            </w:r>
            <w:r>
              <w:rPr>
                <w:rStyle w:val="a3"/>
                <w:color w:val="000000"/>
                <w:sz w:val="11"/>
              </w:rPr>
              <w:t>Рандомизирано, открито, кръстосано клинично проучване за оценка на фармакокинетичните профили на цигарите и електронните цигари с формули на никотинова сол при възрастни пушачи в САЩ.</w:t>
            </w:r>
          </w:p>
          <w:p w14:paraId="10DEB3F3" w14:textId="77777777" w:rsidR="00255EB4" w:rsidRPr="00025909" w:rsidRDefault="00270809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Вътрешна и спешна медицина 14(6): 853-861 DOI: 10.1007/s11739-019-02025-</w:t>
            </w:r>
          </w:p>
          <w:p w14:paraId="4AAA3456" w14:textId="77777777" w:rsidR="00255EB4" w:rsidRPr="00025909" w:rsidRDefault="00270809">
            <w:pPr>
              <w:pStyle w:val="a4"/>
              <w:spacing w:line="269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3.https://www.ncbi.nlm.nih.gov/pubmed/30712148</w:t>
            </w:r>
          </w:p>
          <w:p w14:paraId="0E83BCBB" w14:textId="77777777" w:rsidR="002B5C56" w:rsidRPr="00025909" w:rsidRDefault="002B5C56">
            <w:pPr>
              <w:pStyle w:val="a4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270809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Caldwell Brent, et al. (2012 г.). Систематично преразглеждане на никотина чрез вдишване: Играе ли роля пътят на вдишване? </w:t>
            </w:r>
            <w:r>
              <w:rPr>
                <w:rStyle w:val="a3"/>
                <w:color w:val="000000"/>
                <w:sz w:val="11"/>
              </w:rPr>
              <w:t>Изследвания в областта на никотина и тютюна 14(10): 1127-1139 DOI:</w:t>
            </w:r>
          </w:p>
          <w:p w14:paraId="3D4AE59F" w14:textId="63ECFAA8" w:rsidR="00255EB4" w:rsidRPr="00025909" w:rsidRDefault="00270809">
            <w:pPr>
              <w:pStyle w:val="a4"/>
              <w:spacing w:line="269" w:lineRule="auto"/>
            </w:pPr>
            <w:r>
              <w:rPr>
                <w:rStyle w:val="a3"/>
                <w:color w:val="000000"/>
                <w:sz w:val="11"/>
              </w:rPr>
              <w:t>10.1093/ntr/nts009.</w:t>
            </w:r>
            <w:hyperlink r:id="rId25" w:history="1">
              <w:r w:rsidR="00255EB4">
                <w:rPr>
                  <w:rStyle w:val="a3"/>
                  <w:color w:val="000000"/>
                  <w:sz w:val="11"/>
                </w:rPr>
                <w:t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4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270809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Leventhal A. M., et al. (2021 г.). Ефект от излагането на електронни цигари със сол срещу никотин на свободна основа върху привлекателността и сетивното преживяване при вейпинга: Рандомизирано клинично изпитване. JAMA Netw Open 4(1): e2032757 DOI: 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 дитартрат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 лактат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 левулинат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 малат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2708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Никотинов салицилат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270809">
            <w:pPr>
              <w:pStyle w:val="a4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lastRenderedPageBreak/>
              <w:t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270809">
            <w:pPr>
              <w:pStyle w:val="a4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t xml:space="preserve">Добавки, които имат CMR свойства в неизгорена форма. </w:t>
            </w:r>
            <w:r>
              <w:rPr>
                <w:rStyle w:val="a3"/>
                <w:b/>
                <w:color w:val="FFFFFF"/>
                <w:sz w:val="12"/>
                <w:u w:val="single"/>
              </w:rPr>
              <w:t>(Член 10б, параграф 7, точка 3 във връзка с член 8б, параграф 2, точка 5 от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270809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270809" w:rsidP="00025909">
            <w:pPr>
              <w:pStyle w:val="a4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Вещества, класифицирани в съответствие с приложение VI, част 3 от Регламент (ЕО) № 1272/2008 на Европейския парламент и на Съвета от 16 декември 2008 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 1907/2006 (ОВ L 353, 31.12.2006 г., стр. 1), последно изменен с Регламент (ЕС) 2016/1179 (ОВ L 195, 20.7.2016 г., стр. 11), като </w:t>
            </w:r>
            <w:r>
              <w:rPr>
                <w:rStyle w:val="a3"/>
                <w:b/>
                <w:color w:val="000000"/>
                <w:sz w:val="12"/>
              </w:rPr>
              <w:t>CMR вещества от категория 1A, 1B, 2 или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270809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270809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Вещества, класифицирани съгласно списъка на класификациите на Международната агенция за изследване на рака (</w:t>
            </w:r>
            <w:r>
              <w:rPr>
                <w:rStyle w:val="a3"/>
                <w:b/>
                <w:color w:val="000000"/>
                <w:sz w:val="12"/>
              </w:rPr>
              <w:t>IARC</w:t>
            </w:r>
            <w:r>
              <w:rPr>
                <w:rStyle w:val="a3"/>
                <w:color w:val="000000"/>
                <w:sz w:val="12"/>
              </w:rPr>
              <w:t xml:space="preserve">) по отношение на канцерогенните ефекти при хората в </w:t>
            </w:r>
            <w:r>
              <w:rPr>
                <w:rStyle w:val="a3"/>
                <w:b/>
                <w:color w:val="000000"/>
                <w:sz w:val="12"/>
              </w:rPr>
              <w:t>Групи 1, 2A или 2B</w:t>
            </w:r>
            <w:r>
              <w:rPr>
                <w:rStyle w:val="a3"/>
                <w:color w:val="000000"/>
                <w:sz w:val="12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270809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270809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Вещества, класифицирани като „известни“ или „разумно очаквани“, да бъдат канцерогени за хората от Националната токсикологична програма на САЩ (NTP)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270809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270809" w:rsidP="00025909">
            <w:pPr>
              <w:pStyle w:val="a4"/>
              <w:spacing w:line="259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Вещества, които съгласно </w:t>
            </w:r>
            <w:r>
              <w:rPr>
                <w:rStyle w:val="a3"/>
                <w:b/>
                <w:color w:val="000000"/>
                <w:sz w:val="12"/>
              </w:rPr>
              <w:t>списъка на стойностите на MAK и BAT</w:t>
            </w:r>
            <w:r>
              <w:rPr>
                <w:rStyle w:val="a3"/>
                <w:color w:val="000000"/>
                <w:sz w:val="12"/>
              </w:rPr>
              <w:t xml:space="preserve"> (публикуван от Deutsche Forschungsgemeinschaft (DFG)), са класифицирани от Комисията за MAK като имащи канцерогенни ефекти в категории 1, 2, 4 или 5, като тератогенни ефекти в категории A, B или C и като мутагенни ефекти на зародишните клетки в категории 1, 2, 3A или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270809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270809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Вещества, класифицирани като канцерогенни, мутагенни или токсични за репродукцията от Европейския орган за безопасност на храните (ЕОБХ).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5.1—5.5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Примери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Изофорон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Пиридин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Мирцен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Хризен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Бензо(a)антрацен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Бензо(б)флуорантен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Титаниев диоксид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Метил евгенол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Сафрол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Естрагол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270809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Вещества с ефекти върху</w:t>
            </w:r>
          </w:p>
          <w:p w14:paraId="2B19C348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репродуктивната система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Парабени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Пропилпарабен (пропилов естер на парахидроксибензоена киселина)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270809">
            <w:pPr>
              <w:pStyle w:val="a4"/>
              <w:spacing w:line="264" w:lineRule="auto"/>
              <w:rPr>
                <w:rStyle w:val="a3"/>
                <w:color w:val="000000"/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Някои парабени показват </w:t>
            </w:r>
            <w:r>
              <w:rPr>
                <w:rStyle w:val="a3"/>
                <w:i/>
                <w:color w:val="000000"/>
                <w:sz w:val="12"/>
              </w:rPr>
              <w:t>in vivo</w:t>
            </w:r>
            <w:r>
              <w:rPr>
                <w:rStyle w:val="a3"/>
                <w:color w:val="000000"/>
                <w:sz w:val="12"/>
              </w:rPr>
              <w:t xml:space="preserve"> токсични ефекти за репродукцията.</w:t>
            </w:r>
          </w:p>
          <w:p w14:paraId="77BB76E7" w14:textId="77777777" w:rsidR="002B5C56" w:rsidRPr="00555190" w:rsidRDefault="002B5C56">
            <w:pPr>
              <w:pStyle w:val="a4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270809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Позовавания:</w:t>
            </w:r>
          </w:p>
          <w:p w14:paraId="13C74431" w14:textId="77777777" w:rsidR="00255EB4" w:rsidRPr="00025909" w:rsidRDefault="00270809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НКБП (Научен комитет по безопасност на потребителите) (2021 г.). Становище относно пропилпарабен (CAS № 94-13-3, EC № 202-307-7), предварителна версия от 27—28 октомври 2020 г., окончателна версия от 30—31 март 2021 г., НКБП/1623/20</w:t>
            </w:r>
          </w:p>
          <w:p w14:paraId="5E8FBB14" w14:textId="10252AEA" w:rsidR="00255EB4" w:rsidRPr="00025909" w:rsidRDefault="00255EB4">
            <w:pPr>
              <w:pStyle w:val="a4"/>
              <w:spacing w:line="257" w:lineRule="auto"/>
              <w:rPr>
                <w:rStyle w:val="a3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3"/>
                  <w:color w:val="000000"/>
                  <w:sz w:val="10"/>
                </w:rPr>
                <w:t>https://health.ec.europa.eu/document/download/7c416df0-2650-4d7a-</w:t>
              </w:r>
            </w:hyperlink>
            <w:r>
              <w:rPr>
                <w:rStyle w:val="a3"/>
                <w:color w:val="000000"/>
                <w:sz w:val="10"/>
                <w:u w:val="single"/>
              </w:rPr>
              <w:t>82f7-650081bf250c_en?filename=sccs_o_243.pdf</w:t>
            </w:r>
          </w:p>
          <w:p w14:paraId="00AF111C" w14:textId="77777777" w:rsidR="002B5C56" w:rsidRPr="00025909" w:rsidRDefault="002B5C56">
            <w:pPr>
              <w:pStyle w:val="a4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270809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ЕОБХ (Европейски орган за безопасност на храните) (2004 г.). Становище на</w:t>
            </w:r>
          </w:p>
          <w:p w14:paraId="2E7AFCBF" w14:textId="076DE174" w:rsidR="00255EB4" w:rsidRPr="00555190" w:rsidRDefault="00270809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 xml:space="preserve">Научната група по добавките в храните, ароматизантите, спомагателните вещества при обработката и материалите, които влизат в контакт с храни (AFC), свързано с парахидроксибензоати (E 214-219). БЮЛЕТИН НА ЕОБХ DOI: </w:t>
            </w:r>
            <w:hyperlink r:id="rId27" w:history="1">
              <w:r w:rsidR="00255EB4">
                <w:rPr>
                  <w:rStyle w:val="a3"/>
                  <w:color w:val="000000"/>
                  <w:sz w:val="10"/>
                  <w:u w:val="single"/>
                </w:rPr>
                <w:t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Натриев пропилпарабен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Калиев пропилпарабен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Бутилпарабен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Натриев бутилпарабен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Калиев бутилпарабен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Изобутилпарабен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Натриев изобутилпарабен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270809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Сасафрас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Масло от сасафрас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Съдържа сафрол.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Дървесина от сасафрас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Листа от сасафрас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270809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Кора от сасафрас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a6"/>
      <w:jc w:val="center"/>
    </w:pPr>
    <w:bookmarkStart w:id="2" w:name="bookmark4"/>
    <w:r>
      <w:rPr>
        <w:rStyle w:val="21"/>
      </w:rPr>
      <w:t>Страница 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</w:t>
    </w:r>
    <w:r>
      <w:rPr>
        <w:rStyle w:val="21"/>
      </w:rPr>
      <w:t xml:space="preserve">от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a6"/>
      <w:jc w:val="center"/>
    </w:pPr>
    <w:r>
      <w:rPr>
        <w:rStyle w:val="21"/>
      </w:rPr>
      <w:t>Страница 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от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rFonts w:ascii="Calibri" w:hAnsi="Calibri"/>
        <w:sz w:val="18"/>
      </w:rPr>
      <w:t>Окончателна версия според Консултативния съвет по съставките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rFonts w:ascii="Calibri" w:hAnsi="Calibri"/>
        <w:sz w:val="18"/>
      </w:rPr>
      <w:t>Окончателна версия според Консултативния съвет по съставките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70809"/>
    <w:rsid w:val="00296790"/>
    <w:rsid w:val="002B5C56"/>
    <w:rsid w:val="0033216F"/>
    <w:rsid w:val="00555190"/>
    <w:rsid w:val="00627665"/>
    <w:rsid w:val="008A46F5"/>
    <w:rsid w:val="008A5D47"/>
    <w:rsid w:val="00A2244C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1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Άλλα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a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a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4">
    <w:name w:val="Άλλα"/>
    <w:basedOn w:val="a"/>
    <w:link w:val="a3"/>
    <w:rPr>
      <w:rFonts w:ascii="Tahoma" w:eastAsia="Tahoma" w:hAnsi="Tahoma" w:cs="Tahoma"/>
      <w:color w:val="141414"/>
      <w:sz w:val="13"/>
      <w:szCs w:val="13"/>
    </w:rPr>
  </w:style>
  <w:style w:type="paragraph" w:styleId="a5">
    <w:name w:val="header"/>
    <w:basedOn w:val="a"/>
    <w:link w:val="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555190"/>
    <w:rPr>
      <w:color w:val="000000"/>
    </w:rPr>
  </w:style>
  <w:style w:type="paragraph" w:styleId="a6">
    <w:name w:val="footer"/>
    <w:basedOn w:val="a"/>
    <w:link w:val="Char0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3560</Words>
  <Characters>19226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EIRINI TSINTZIRA</cp:lastModifiedBy>
  <cp:revision>6</cp:revision>
  <dcterms:created xsi:type="dcterms:W3CDTF">2024-11-08T05:06:00Z</dcterms:created>
  <dcterms:modified xsi:type="dcterms:W3CDTF">2024-11-22T08:34:00Z</dcterms:modified>
</cp:coreProperties>
</file>