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Wykaz substancji zabronionych w wyrobach tytoniowych i papierosach elektronicznych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Poniższy wykaz przedstawia, tytułem przykładu, te substancje lub kategorie substancji, które są obecnie objęte ustawowymi zakazami austriackiej ustawy o tytoniu i ochronie osób niepalących (TNRSG), ale nie stanowi wyczerpującego wykazu.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Składniki zabronione w papierosach elektronicznych zawierających nikotynę i w pojemnikach zapasowych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Kategorie substancji, w tym podstawa prawna zakazu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Przykłady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Witaminy lub inne dodatki, które stwarzają wrażenie, że wyrób tytoniowy ma korzystny wpływ na zdrowie lub stanowi mniejsze zagrożenie dla zdrowia.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(Art. 10b ust. 7 pkt 3 w związku z art. 8b ust. 2 pkt 1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Witaminy wymienione w wykazie unijnym w załączniku do rozporządzenia (UE) nr 609/2013, zmienionego zgodnie z jego art. 15.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Aminokwasy i ich pochodne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Środki przeciwbólowe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</w:t>
            </w:r>
            <w:r>
              <w:rPr>
                <w:rStyle w:val="a"/>
                <w:color w:val="000000"/>
                <w:sz w:val="14"/>
              </w:rPr>
              <w:br/>
            </w:r>
            <w:r>
              <w:rPr>
                <w:rStyle w:val="a"/>
                <w:color w:val="000000"/>
                <w:sz w:val="14"/>
                <w:b/>
              </w:rPr>
              <w:t xml:space="preserve">konopi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Kannabinoidy (pochodzenia naturalnego lub syntetycznego)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Hormony i substancje hormonopodobne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Melatonina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Flawonoidy i fosfolipidy o działaniu przeciwutleniającym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Naringina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Inne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Cholina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Chlorek choliny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Wodorotlenek choliny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Cytrynian choliny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Winian choliny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Betaina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S-adenozylo-L-metionina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L-5-hydroksytryptofan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Karnityna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L-karnityna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Wodorochlorek L-karnityny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L-winian L-karnityny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Selenin sodu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Kofeina lub tauryna lub inne dodatki i związki pobudzające związane z energią i witalnością (art. 10b ust. 7 pkt 3 w związku z art. 8b ust. 2 pkt 2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 </w:t>
            </w:r>
            <w:r>
              <w:rPr>
                <w:rStyle w:val="a"/>
                <w:color w:val="000000"/>
                <w:sz w:val="14"/>
                <w:b/>
              </w:rPr>
              <w:t xml:space="preserve">kawowca</w:t>
            </w:r>
            <w:r>
              <w:rPr>
                <w:rStyle w:val="a"/>
                <w:color w:val="000000"/>
                <w:sz w:val="14"/>
              </w:rPr>
              <w:t xml:space="preserve"> oraz </w:t>
            </w:r>
            <w:r>
              <w:rPr>
                <w:rStyle w:val="a"/>
                <w:color w:val="000000"/>
                <w:sz w:val="14"/>
                <w:b/>
              </w:rPr>
              <w:t xml:space="preserve">ziaren kawy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 </w:t>
            </w:r>
            <w:r>
              <w:rPr>
                <w:rStyle w:val="a"/>
                <w:color w:val="000000"/>
                <w:sz w:val="14"/>
                <w:b/>
              </w:rPr>
              <w:t xml:space="preserve">krzewu herbacianego </w:t>
            </w:r>
            <w:r>
              <w:rPr>
                <w:rStyle w:val="a"/>
                <w:color w:val="000000"/>
                <w:sz w:val="14"/>
              </w:rPr>
              <w:t xml:space="preserve">Kamelia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 </w:t>
            </w:r>
            <w:r>
              <w:rPr>
                <w:rStyle w:val="a"/>
                <w:color w:val="000000"/>
                <w:sz w:val="14"/>
                <w:b/>
              </w:rPr>
              <w:t xml:space="preserve">guarany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olejki z </w:t>
            </w:r>
            <w:r>
              <w:rPr>
                <w:rStyle w:val="a"/>
                <w:color w:val="000000"/>
                <w:sz w:val="14"/>
                <w:b/>
              </w:rPr>
              <w:t xml:space="preserve">drzewa kola</w:t>
            </w:r>
            <w:r>
              <w:rPr>
                <w:rStyle w:val="a"/>
                <w:color w:val="000000"/>
                <w:sz w:val="14"/>
              </w:rPr>
              <w:t xml:space="preserve"> lub </w:t>
            </w:r>
            <w:r>
              <w:rPr>
                <w:rStyle w:val="a"/>
                <w:color w:val="000000"/>
                <w:sz w:val="14"/>
                <w:b/>
              </w:rPr>
              <w:t xml:space="preserve">orzecha kola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Cukier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Glukoza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Fruktoza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Galaktoza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Sacharoza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Laktoza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Maltoza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Inne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Maltodekstryna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Inozytol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Dodatki o właściwościach barwiących stosowane do emisji.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(Art. 10b ust. 7 pkt 3 w związku z art. 8b ust. 2 pkt 3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Składniki zabronione w papierosach elektronicznych zawierających nikotynę i niezawierających nikotyny oraz w pojemnikach zapasowych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Kategorie substancji, w tym podstawa prawna zakazu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Przykłady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Dalsze uzasadnienie zakazu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Dodatki, które mają właściwości CMR w postaci niespalonej.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(art. 10b ust. 7 pkt 3 w związku z art. 8b ust. 2 pkt 5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art. 10b ust. 7 pkt 5 TNRSG)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 sklasyfikowane zgodnie z częścią 3 załącznika VI do rozporządzenia Parlamentu Europejskiego i Rady (WE) nr 1272/2008 z dnia 16 grudnia 2008 r. w sprawie klasyfikacji, oznakowania i pakowania substancji i mieszanin, zmieniającego i uchylającego dyrektywy 67/548/EWG i 1999/45/WE oraz zmieniającego rozporządzenie (WE) nr 1907/2006 (Dz.U. L 353 z 31.12.2006, s. 1), ostatnio zmienionego rozporządzeniem (UE) 2016/1179 (Dz.U. L 195 z 20.7.2016, s. 11), jako </w:t>
            </w:r>
            <w:r>
              <w:rPr>
                <w:rStyle w:val="a"/>
                <w:color w:val="000000"/>
                <w:b/>
              </w:rPr>
              <w:t xml:space="preserve">substancje CMR kategorii 1A, 1B, 2 lub zaburzające laktację.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 sklasyfikowane według wykazu klasyfikacji Międzynarodowej Agencji Badań nad Rakiem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w odniesieniu do działania rakotwórczego u ludzi w </w:t>
            </w:r>
            <w:r>
              <w:rPr>
                <w:rStyle w:val="a"/>
                <w:color w:val="000000"/>
                <w:b/>
              </w:rPr>
              <w:t xml:space="preserve">grupach 1, 2A lub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 sklasyfikowane przez Krajowy Program Toksykologiczny Stanów Zjednoczonych (NTP) jako „znane” lub „racjonalnie przewidywane” substancje rakotwórcze dla ludzi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Substancje, które według </w:t>
            </w:r>
            <w:r>
              <w:rPr>
                <w:rStyle w:val="a"/>
                <w:color w:val="000000"/>
                <w:b/>
              </w:rPr>
              <w:t xml:space="preserve">Wykazu wartości MAK i BAT</w:t>
            </w:r>
            <w:r>
              <w:rPr>
                <w:rStyle w:val="a"/>
                <w:color w:val="000000"/>
              </w:rPr>
              <w:t xml:space="preserve"> (opublikowanego przez Deutsche Forschungsgemeinschaft (DFG)), zostały sklasyfikowane przez Komisję MAK jako mające działanie rakotwórcze w kategoriach 1, 2, 4 lub 5, jako działanie teratogenne w kategoriach A, B lub C oraz jako działanie mutagenne na komórki rozrodcze w kategoriach 1, 2, 3A lub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 sklasyfikowane przez Europejski Urząd ds. Bezpieczeństwa Żywności (EFSA) jako rakotwórcze, mutagenne lub działające szkodliwie na rozrodczość.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Przykłady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Izoforon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Pirydyna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Myrcen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Chryzen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Benzo(a)antracen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Dwutlenek tytanu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Metyloeugenol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Substancje działające na układ rozrodczy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Propyloparaben (ester propylowy kwasu para-hydroksybenzoesowego)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Niektóre parabeny wykazują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skutki działające toksycznie na rozrodczość.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(Odniesienia)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(Komitet Naukowy ds. Bezpieczeństwa Konsumentów)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Opinia w sprawie parabenu propylowego (nr CAS 94-13-3, nr WE 202-307-7), wersja wstępna z 27–28 października 2020 r., wersja ostateczna z 30–31 marca 2021 r.,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https://health.ec.europa.eu/document/download/7c416df0-2650-4d7a-82f7-650081bf250c?filename=sccs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(Europejski Urząd ds. Bezpieczeństwa Żywności)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Opinia panelu naukowego ds. dodatków do żywności, środków aromatyzujących, substancji pomocniczych w przetwórstwie i materiałów pozostających w kontakcie z żywnością (AFC) dotycząca parahydroksybenzoesanów (E 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Dziennik EFSA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Propyloparaben sodu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Propyloparaben potasu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Butyloparaben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Butyloparaben sodu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Butyloparaben potasu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Izobutyloparaben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Izobutyloparaben sodu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sasafras lekarski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Olej </w:t>
            </w:r>
            <w:r>
              <w:rPr>
                <w:rStyle w:val="a"/>
                <w:color w:val="000000"/>
              </w:rPr>
              <w:t xml:space="preserve">z sasafrasu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Zawiera safrol.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Drewno sasafrasu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Liście </w:t>
            </w:r>
            <w:r>
              <w:rPr>
                <w:rStyle w:val="a"/>
                <w:color w:val="000000"/>
              </w:rPr>
              <w:t xml:space="preserve">sasafrasu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Kora </w:t>
            </w:r>
            <w:r>
              <w:rPr>
                <w:rStyle w:val="a"/>
                <w:color w:val="000000"/>
              </w:rPr>
              <w:t xml:space="preserve">sasafrasu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Składniki (z wyjątkiem nikotyny w płynach zawierających nikotynę), które stanowią zagrożenie dla zdrowia ludzkiego w postaci podgrzanej lub niepodgrzanej.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(art. 10b ust. 7 pkt 5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Substancje, które mają właściwości CMR w postaci niespalonej.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(zob. pkt 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 sklasyfikowane zgodnie z częścią 3 załącznika VI do rozporządzenia Parlamentu Europejskiego i Rady (WE) nr 1272/2008 z dnia 16 grudnia 2008 r. w sprawie klasyfikacji, oznakowania i pakowania substancji i mieszanin, zmieniającego i uchylającego dyrektywy 67/548/EWG i 1999/45/WE oraz zmieniającego rozporządzenie (WE) nr 1907/2006 (Dz.U. L 353 z 31.12.2006, s. 1), ostatnio zmienionego rozporządzeniem (UE) 2016/1179 (Dz.U. L 195 z 20.7.2016, s. 11), jako </w:t>
            </w:r>
            <w:r>
              <w:rPr>
                <w:rStyle w:val="a"/>
                <w:color w:val="000000"/>
                <w:b/>
              </w:rPr>
              <w:t xml:space="preserve">działanie uczulające na drogi oddechowe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 wymienione w </w:t>
            </w:r>
            <w:r>
              <w:rPr>
                <w:rStyle w:val="a"/>
                <w:color w:val="000000"/>
                <w:b/>
              </w:rPr>
              <w:t xml:space="preserve">załączniku III</w:t>
            </w:r>
            <w:r>
              <w:rPr>
                <w:rStyle w:val="a"/>
                <w:color w:val="000000"/>
              </w:rPr>
              <w:t xml:space="preserve">, część A rozporządzenia Parlamentu Europejskiego i Rady (WE) nr 1334/2008 z dnia 16 grudnia 2008 r. w sprawie </w:t>
            </w:r>
            <w:r>
              <w:rPr>
                <w:rStyle w:val="a"/>
                <w:color w:val="000000"/>
                <w:b/>
              </w:rPr>
              <w:t xml:space="preserve">śr</w:t>
            </w:r>
            <w:r>
              <w:rPr>
                <w:rStyle w:val="a"/>
                <w:color w:val="000000"/>
                <w:b/>
              </w:rPr>
              <w:t xml:space="preserve">odków aromatyzujących </w:t>
            </w:r>
            <w:r>
              <w:rPr>
                <w:rStyle w:val="a"/>
                <w:color w:val="000000"/>
              </w:rPr>
              <w:t xml:space="preserve">oraz niektórych składników żywności o właściwościach aromatyzujących do stosowania w i na środkach spożywczych, a także ich aktualizacje, są wymienione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Kwas agarowy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Kapsaicyna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1,2-benzopiron, kumaryna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Hiperycyna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β-Azaron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1-alilo-4-metoksybenzen,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Kwas cyjanowodorowy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4-alilo-1,2-dimetoksybenzen, eugenol metylowy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Kwasyna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1-alilo-3,4-metylenodioksybenzen,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Teukryna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Tujony (alfa i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Substancje, które według </w:t>
            </w:r>
            <w:r>
              <w:rPr>
                <w:rStyle w:val="a"/>
                <w:color w:val="000000"/>
                <w:b/>
              </w:rPr>
              <w:t xml:space="preserve">wykazu wartości MAK i BAT </w:t>
            </w:r>
            <w:r>
              <w:rPr>
                <w:rStyle w:val="a"/>
                <w:color w:val="000000"/>
              </w:rPr>
              <w:t xml:space="preserve">(opublikowanego przez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 zostały sklasyfikowane przez Komisję MAK jako </w:t>
            </w:r>
            <w:r>
              <w:rPr>
                <w:rStyle w:val="a"/>
                <w:color w:val="000000"/>
                <w:b/>
              </w:rPr>
              <w:t xml:space="preserve">istotne alergeny</w:t>
            </w:r>
            <w:r>
              <w:rPr>
                <w:rStyle w:val="a"/>
                <w:color w:val="000000"/>
              </w:rPr>
              <w:t xml:space="preserve"> („Sa”, „Sah”).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Przetworzone składniki, ekstrakty i oleje pochodzące z </w:t>
            </w:r>
            <w:r>
              <w:rPr>
                <w:rStyle w:val="a"/>
                <w:color w:val="000000"/>
                <w:b/>
              </w:rPr>
              <w:t xml:space="preserve">mięty polej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Mięta polej zawiera pulegon, substancję hepatotoksyczną.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(Odniesienia)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Europejski Urząd ds. Bezpieczeństwa Żywności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 i mentofuran w środkach aromatyzujących – opinia Panelu Naukowego ds. Dodatków do Żywności, Środków Aromatyzujących, Substancji Pomocniczych w Przetwórstwie i Materiałów mających kontakt z Żywnością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Dziennik EFSA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i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 [Kilkudziesięcioletnie badanie hepatotoksyczności ostrej w oparciu o metabolizm składników ziołowych: studium przypadku olejku mięty polej].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Substancje oleiste/tłuste, takie jak nasycone lub nienasycone wolne kwasy tłuszczowe i ich pochodne;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alkany, alkeny i alkiny o długości łańcucha węglowego 12 lub więcej;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i triglicerydy;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woski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(triglicerydy średniołańcuchowe)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Wdychanie lub aspiracja lipidów (substancji tłuszczowych/oleistych) jest uważana za główną przyczynę rozwoju egzogennego lipidowego zapalenia płuc (przewlekłego zapalenia płuc).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Egzogenne lipidowe zapalenie płuc może być wywoływane przez oleje mineralne, a także przez oleiste/tłuszczowe substancje pochodzenia zwierzęcego i roślinnego.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Ponieważ wyjaśnienia naukowe zawsze odnoszą się do olejów i tłuszczów lub ogólnie do substancji oleistych i tłuszczowych, charakter oleisty/tłuszczowy, a nie specyficzny skład substancji, powinien mieć decydujące znaczenie dla niekorzystnego wpływu na zdrowie (Hadda i Khilnani 2010, M. Schwaiblmair i in. 2010, Nguyen i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(Odniesienia)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i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 [Lipoidowe zapalenie płuc: ogólny zarys].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i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 [Przypadek egzogennego lipidowego zapalenia płuc].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 i in.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 pneumonia – an underestimated syndrome? [Lipidowe zapalenie płuc - bagatelizowany zespół?]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10,1055/S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 i wsp.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 [Zapalenie płuc wywołane aspiracją skwalenu]: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Skwalan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Skwalen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Kalafonia, żywica lub kwasy żywiczne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Kwas abietynowy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Opary żywicy są klasyfikowane jako substancje działające uczulająco na drogi oddechowe i mogące wywoływać astmę.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(Odniesienia)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 [Astmagen? Krytyczna ocena dowodów dotyczących czynników związanych z zawodową astmą oskrzelową].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Kwas pimarowy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Kwas izopimarowy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Kwas palustrowy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Kwas lewopimarowy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Octan witaminy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Octan witaminy E jest ściśle związany z epidemią EVALI (uszkodzenie płuc związane z używaniem e-papierosów lub wapowania) w Stanach Zjednoczonych w 2019 r.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(Odniesienia)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(Centra Kontroli i Prewencji Chorób):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 [Wystąpienie ogniska epidemicznego urazów płuc związanych z używaniem e-papierosów lub produktów do wapowania]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 [Octan witaminy E w płynie oskrzelowo-pęcherzykowym związanym z EVALI].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Diacetyl i niektóre analogi strukturalne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Diacetyl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Diacetyl i 2,3-pentadion mogą powodować ciężkie stany zapalne i choroby układu oddechowego w przypadku wdychania.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Jako środek zapobiegawczy zaleca się rozszerzenie zakazu na analogi strukturalne 2,3-heksadion i 2,3-heptadion.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(Odniesienia)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MAK-Komission (2015) „Diacetyl [Dokumentacja wartości MAK w języku niemieckim, 2015]”.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 [Zbiór MAK z zakresu bezpieczeństwa i higieny pracy],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„2,3-Pentandion [Dokumentacja wartości MAK w języku niemieckim,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Zbiór MAK dotyczący bezpieczeństwa i higieny pracy,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(Niemiecki Federalny Instytut Oceny Ryzyka)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Ocena zdrowotna dodatków do wyrobów tytoniowych i papierosów elektronicznych.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(w języku niemieckim: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„Gesundheitliche Bewertung von Zusatzstoffen für Tabakerzeugnisse und elektronische Zigaretten.”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Opinia BfR nr 045/2015 z dnia 30 lipca 2015 r.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2,3-heksadion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Gorzki olej migdałowy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Gorzki olej migdałowy może naturalnie zawierać kwas cyjanowodorowy.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Kwas cyjanowodorowy jest silną trucizną, która może sparaliżować centralny układ oddechowy.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(Odniesienia)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Komisja MAK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Cyjanowodór, cyjanek potasu i cyjanek sodu [wartość MAK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Dokumentacja w języku niemieckim,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Składniki zabronione w wyrobach tytoniowych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Kategorie substancji, w tym podstawa prawna zakazu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Przykłady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Dalsze uzasadnienie zakazu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Witaminy lub inne dodatki, które stwarzają wrażenie, że wyrób tytoniowy ma korzystny wpływ na zdrowie lub stanowi mniejsze zagrożenie dla zdrowia.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(art. 8b ust. 2 pkt 1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Witaminy wymienione w wykazie unijnym w załączniku do rozporządzenia (UE) nr 609/2013, zmienionego zgodnie z jego art. 15.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Aminokwasy i ich pochodne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Środki przeciwbólowe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 </w:t>
            </w:r>
            <w:r>
              <w:rPr>
                <w:rStyle w:val="a"/>
                <w:color w:val="000000"/>
                <w:sz w:val="14"/>
                <w:b/>
              </w:rPr>
              <w:t xml:space="preserve">konopi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Kannabinoidy (pochodzenia naturalnego lub syntetycznego)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Hormony i substancje hormonopodobne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Flawonoidy i fosfolipidy o działaniu przeciwutleniającym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Inne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Chlorek choliny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Wodorotlenek choliny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Cytrynian choliny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Winian choliny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S-adenozylo-L-metionina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L-5-hydroksytryptofan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Karnityna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L-karnityna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Wodorochlorek L-karnityny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L-winian L-karnityny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Selenin sodu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Kofeina, tauryna lub inne dodatki i związki pobudzające związane z energią i witalnością (art. 8b ust. 2 pkt 2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 </w:t>
            </w:r>
            <w:r>
              <w:rPr>
                <w:rStyle w:val="a"/>
                <w:color w:val="000000"/>
                <w:sz w:val="14"/>
                <w:b/>
              </w:rPr>
              <w:t xml:space="preserve">kawowca</w:t>
            </w:r>
            <w:r>
              <w:rPr>
                <w:rStyle w:val="a"/>
                <w:color w:val="000000"/>
                <w:sz w:val="14"/>
              </w:rPr>
              <w:t xml:space="preserve"> oraz </w:t>
            </w:r>
            <w:r>
              <w:rPr>
                <w:rStyle w:val="a"/>
                <w:color w:val="000000"/>
                <w:sz w:val="14"/>
                <w:b/>
              </w:rPr>
              <w:t xml:space="preserve">ziaren kawy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 </w:t>
            </w:r>
            <w:r>
              <w:rPr>
                <w:rStyle w:val="a"/>
                <w:color w:val="000000"/>
                <w:sz w:val="14"/>
                <w:b/>
              </w:rPr>
              <w:t xml:space="preserve">krzewu herbacianego </w:t>
            </w:r>
            <w:r>
              <w:rPr>
                <w:rStyle w:val="a"/>
                <w:color w:val="000000"/>
                <w:sz w:val="14"/>
              </w:rPr>
              <w:t xml:space="preserve">Kamelia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 </w:t>
            </w:r>
            <w:r>
              <w:rPr>
                <w:rStyle w:val="a"/>
                <w:color w:val="000000"/>
                <w:sz w:val="14"/>
                <w:b/>
              </w:rPr>
              <w:t xml:space="preserve">guarany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z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olejki z </w:t>
            </w:r>
            <w:r>
              <w:rPr>
                <w:rStyle w:val="a"/>
                <w:color w:val="000000"/>
                <w:sz w:val="14"/>
                <w:b/>
              </w:rPr>
              <w:t xml:space="preserve">drzewa kola</w:t>
            </w:r>
            <w:r>
              <w:rPr>
                <w:rStyle w:val="a"/>
                <w:color w:val="000000"/>
                <w:sz w:val="14"/>
              </w:rPr>
              <w:t xml:space="preserve"> lub </w:t>
            </w:r>
            <w:r>
              <w:rPr>
                <w:rStyle w:val="a"/>
                <w:color w:val="000000"/>
                <w:sz w:val="14"/>
                <w:b/>
              </w:rPr>
              <w:t xml:space="preserve">orzecha kola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Inne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Maltodekstryna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Inozytol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Dodatki o właściwościach barwiących stosowane do emisji.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(art. 8b ust. 2 pkt 3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Dodatki ułatwiające wdychanie lub wchłanianie nikotyny w wyrobach tytoniowych (art. 8b ust. 2 pkt 4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i jego analogi, agoniści TRPM-8, „związki chłodzące”, „syntetyczne środki chłodzące”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Związki p-mentanu-3 podstawione i zmodyfikowane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Wszystkie substancje lub mieszaniny o działaniu chłodzącym lub przeciwbólowym są uważane za substancje ułatwiające inhalację.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Odniesienie: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Wspólne działanie dotyczące kontroli wyrobów tytoniowych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Sprawozdanie z wzajemnej oceny rozszerzonych informacji sprawozdawczych dotyczących priorytetowych dodatków.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oraz Niezależny Panel Przeglądowy WP 9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Data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grudnia 2020 r.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Nr ref. dok.: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p-mentan-3-karboksyamid, w tym p-mentan-3-N-alkilokarboksyamid i p-mentan-3-N-arylokarboksyamid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Kwasy p-mentan-3-karboksylowe i ich estry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Pozostałe związki p-mentanu-3 podstawione i modyfikowane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Alkohole p-mentanowe i ich estry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Przykłady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N-etylo-p-mentan-3-karboksyamid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Amid kwasu (4-metoksyfenylo) 2-izopropylo-5-metylo-cykloheksanokarboksylowego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(1R,2S,5R)-N-((etoksykarbonylo)metylo)-p-mentano-3-karboksyamid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N-tert-butylo-p-mentano-3-karboksyamid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2-izopropylo-N,2,3-trimetylobutyramid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Ester etylowy N-(p-mentan-3-karbonylo)-D-alaniny (CPS- 369,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N-(4-fluorofenylo)-p-mentan-3-karboksamid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N-(4-etoksyfenylo)-p-mentan-3-karboksyamid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Mleczan mentylu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Mentoksypropan-1,2-diol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Ester 2,3-dihydroksypropylowy kwasu 2-izopropylo-5-metylocykloheksanokarboksylowego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Ketal 1,2-glicerynowy mentonu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Bursztynian monometylu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Mentylo-3-hydroksymaślan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Octan mentylowy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Węglan mentolu i glikolu etylenowego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P-mentan-3-karboksylan 2,3-dihydroksypropylu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Icylina / środek chłodzący AG-3-5 (3,4-dihydro-3-(2-hydroksyfenylo)-6-(3-nitrofenylo)-(1H)-pirymidyno-2-on)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2-izopropylo-N 2,3-trimetylobutyramid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1-(di-sec-butylo-fosfinoilo)-heptan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5-metylo-4-(1-pirolidynylo)-3-2H-furanon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(−)-Menton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L-karwon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1,8-cyneol (eukaliptol)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1,4-cyneol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Hydroksycytronellal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Składniki, w tym przetworzone składniki, ekstrakty i oleje roślinne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Mięta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Eukaliptus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Bazylia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Tymianek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Sole nikotyny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Benzoesan nikotyny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Sole nikotyny mogą być szybciej wchłaniane do organizmu podczas wdychania i powodować mniej podrażnień niż nikotyna w postaci wolnej.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(Odniesienia)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 i in.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 [Randomizowane, otwarte, krzyżowe badanie kliniczne mające na celu ocenę profili farmakokinetycznych papierosów i e-papierosów z solami nikotyny u dorosłych palaczy w USA].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 i in.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 [Przegląd systematyczny nikotyny zażywanej przez inhalację:</w:t>
            </w:r>
            <w:r>
              <w:rPr>
                <w:rStyle w:val="a"/>
                <w:color w:val="000000"/>
                <w:sz w:val="11"/>
              </w:rPr>
              <w:br/>
            </w:r>
            <w:r>
              <w:rPr>
                <w:rStyle w:val="a"/>
                <w:color w:val="000000"/>
                <w:sz w:val="11"/>
              </w:rPr>
              <w:t xml:space="preserve">czy droga wziewna odgrywa jakąś rolę?]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 [Skutki narażenia na e-papierosy z dodatkiem soli vs. nikotyny w postaci wolnej zasady na atrakcyjność i doznania sensoryczne związane z wapowaniem: randomizowane badanie kliniczne].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Diwinian nikotyny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Mleczan nikotyny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Lewulinian nikotyny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Jabłczan nikotyny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Salicylan nikotyny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Dodatki, które mają właściwości CMR w postaci niespalonej.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(Art. 10b ust. 7 pkt 3 w związku z art. 8b ust. 2 pkt 5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substancje sklasyfikowane zgodnie z częścią 3 załącznika VI do rozporządzenia Parlamentu Europejskiego i Rady (WE) nr 1272/2008 z dnia 16 grudnia 2008 r. w sprawie klasyfikacji, oznakowania i pakowania substancji i mieszanin, zmieniającego i uchylającego dyrektywy 67/548/EWG i 1999/45/WE oraz zmieniającego rozporządzenie (WE) nr 1907/2006 (Dz.U. L 353 z 31.12.2006, s. 1), ostatnio zmienionego rozporządzeniem (UE) 2016/1179 (Dz.U. L 195 z 20.7.2016, s. 11), jako </w:t>
            </w:r>
            <w:r>
              <w:rPr>
                <w:rStyle w:val="a"/>
                <w:color w:val="000000"/>
                <w:sz w:val="12"/>
                <w:b/>
              </w:rPr>
              <w:t xml:space="preserve">substancje CMR kategorii 1A, 1B, 2 lub zaburzające laktację.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Substancje sklasyfikowane według wykazu klasyfikacji Międzynarodowej Agencji Badań nad Rakiem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w odniesieniu do działania rakotwórczego u ludzi w </w:t>
            </w:r>
            <w:r>
              <w:rPr>
                <w:rStyle w:val="a"/>
                <w:color w:val="000000"/>
                <w:sz w:val="12"/>
                <w:b/>
              </w:rPr>
              <w:t xml:space="preserve">grupach 1, 2A lub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Substancje sklasyfikowane przez Krajowy Program Toksykologiczny Stanów Zjednoczonych (NTP) jako „znane” lub „racjonalnie przewidywane” substancje rakotwórcze dla ludzi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Substancje, które według </w:t>
            </w:r>
            <w:r>
              <w:rPr>
                <w:rStyle w:val="a"/>
                <w:color w:val="000000"/>
                <w:sz w:val="12"/>
                <w:b/>
              </w:rPr>
              <w:t xml:space="preserve">Wykazu wartości MAK i BAT</w:t>
            </w:r>
            <w:r>
              <w:rPr>
                <w:rStyle w:val="a"/>
                <w:color w:val="000000"/>
                <w:sz w:val="12"/>
              </w:rPr>
              <w:t xml:space="preserve"> (opublikowanego przez Deutsche Forschungsgemeinschaft (DFG)), zostały sklasyfikowane przez Komisję MAK jako mające działanie rakotwórcze w kategoriach 1, 2, 4 lub 5, jako działanie teratogenne w kategoriach A, B lub C oraz jako działanie mutagenne na komórki rozrodcze w kategoriach 1, 2, 3A lub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Substancje sklasyfikowane przez Europejski Urząd ds. Bezpieczeństwa Żywności (EFSA) jako rakotwórcze, mutagenne lub działające szkodliwie na rozrodczość.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Przykłady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Izoforon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Pirydyna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Myrcen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Chryzen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Benzo(a)antracen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Dwutlenek tytanu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Metyloeugenol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Substancje mające wpływ na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Układ rozrodczy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Propyloparaben (ester propylowy kwasu para-hydroksybenzoesowego)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Niektóre parabeny wykazują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skutki działające toksycznie na rozrodczość.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(Odniesienia)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(Komitet Naukowy ds. Bezpieczeństwa Konsumentów)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Opinia w sprawie parabenu propylowego (nr CAS 94-13-3, nr WE 202-307-7), wersja wstępna z 27–28 października 2020 r., wersja ostateczna z 30–31 marca 2021 r.,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(Europejski Urząd ds. Bezpieczeństwa Żywności)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Opinia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Panel Naukowy ds. Dodatków do Żywności, Środków Aromatyzujących, Substancji Pomocniczych w Przetwórstwie i Materiałów Mających Kontakt z Żywnością (AFC) związany z parahydroksybenzoesanami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Dziennik EFSA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Propyloparaben sodu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Propyloparaben potasu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Butyloparaben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Butyloparaben sodu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Butyloparaben potasu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Izobutyloparaben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Izobutyloparaben sodu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sasafras lekarski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Olej z sasafrasu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Zawiera safrol.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Drewno sasafrasu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Liście sasafrasu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Kora sasafrasu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Strona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z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Strona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z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Ostateczna wersja zgodnie z Komitetem Doradczym ds. Składników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Ostateczna wersja zgodnie z Komitetem Doradczym ds. Składników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