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A513" w14:textId="77777777" w:rsidR="00255EB4" w:rsidRPr="00555190" w:rsidRDefault="00000000">
      <w:pPr>
        <w:pStyle w:val="10"/>
        <w:keepNext/>
        <w:keepLines/>
        <w:rPr>
          <w:rStyle w:val="1"/>
          <w:b/>
          <w:bCs/>
        </w:rPr>
      </w:pPr>
      <w:bookmarkStart w:id="0" w:name="bookmark0"/>
      <w:r>
        <w:rPr>
          <w:rStyle w:val="1"/>
          <w:b/>
        </w:rPr>
        <w:t xml:space="preserve">Seznam prepovedanih snovi v tobačnih izdelkih in elektronskih cigaretah</w:t>
      </w:r>
      <w:bookmarkEnd w:id="0"/>
    </w:p>
    <w:p w14:paraId="6E242289" w14:textId="77777777" w:rsidR="00555190" w:rsidRPr="00555190" w:rsidRDefault="00555190">
      <w:pPr>
        <w:pStyle w:val="10"/>
        <w:keepNext/>
        <w:keepLines/>
        <w:rPr>
          <w:lang w:val="de-DE"/>
        </w:rPr>
      </w:pPr>
    </w:p>
    <w:p w14:paraId="2FAEA8FD" w14:textId="77777777" w:rsidR="00255EB4" w:rsidRDefault="00000000">
      <w:pPr>
        <w:pStyle w:val="22"/>
        <w:keepNext/>
        <w:keepLines/>
        <w:rPr>
          <w:rStyle w:val="21"/>
        </w:rPr>
      </w:pPr>
      <w:bookmarkStart w:id="1" w:name="bookmark2"/>
      <w:r>
        <w:rPr>
          <w:rStyle w:val="21"/>
        </w:rPr>
        <w:t xml:space="preserve">Na naslednjem seznamu so primeri snovi ali kategorij snovi, za katere trenutno veljajo zakonske prepovedi iz zakona o tobaku in zaščiti nekadilcev, vendar seznam ni izčrpen.</w:t>
      </w:r>
      <w:bookmarkEnd w:id="1"/>
    </w:p>
    <w:p w14:paraId="4612E29B" w14:textId="77777777" w:rsidR="00025909" w:rsidRPr="00025909" w:rsidRDefault="00025909" w:rsidP="00025909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de-DE"/>
        </w:rPr>
      </w:pPr>
    </w:p>
    <w:tbl>
      <w:tblPr>
        <w:tblOverlap w:val="never"/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349"/>
        <w:gridCol w:w="1325"/>
        <w:gridCol w:w="2914"/>
      </w:tblGrid>
      <w:tr w:rsidR="00255EB4" w:rsidRPr="00025909" w14:paraId="3CD95767" w14:textId="77777777" w:rsidTr="008A46F5">
        <w:trPr>
          <w:trHeight w:val="341"/>
          <w:jc w:val="center"/>
        </w:trPr>
        <w:tc>
          <w:tcPr>
            <w:tcW w:w="9068" w:type="dxa"/>
            <w:gridSpan w:val="4"/>
            <w:vMerge w:val="restart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5A95B8A4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Prepovedane sestavine v elektronskih cigaretah in posodicah za ponovno polnjenje, ki vsebujejo nikotin</w:t>
            </w:r>
          </w:p>
        </w:tc>
      </w:tr>
      <w:tr w:rsidR="00255EB4" w:rsidRPr="00025909" w14:paraId="488452A5" w14:textId="77777777" w:rsidTr="008A46F5">
        <w:trPr>
          <w:trHeight w:val="276"/>
          <w:jc w:val="center"/>
        </w:trPr>
        <w:tc>
          <w:tcPr>
            <w:tcW w:w="9068" w:type="dxa"/>
            <w:gridSpan w:val="4"/>
            <w:vMerge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78FACC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95AF07F" w14:textId="77777777" w:rsidTr="008A46F5">
        <w:trPr>
          <w:trHeight w:val="637"/>
          <w:jc w:val="center"/>
        </w:trPr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635F6F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Kategorije snovi, vključno s pravno podlago za prepoved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D07B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Primeri</w:t>
            </w:r>
          </w:p>
        </w:tc>
      </w:tr>
      <w:tr w:rsidR="00555190" w:rsidRPr="00555190" w14:paraId="3BF2671A" w14:textId="77777777" w:rsidTr="008A46F5">
        <w:trPr>
          <w:trHeight w:val="4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0C934F7" w14:textId="77777777" w:rsidR="00555190" w:rsidRPr="00555190" w:rsidRDefault="0055519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01D919" w14:textId="77777777" w:rsidR="00555190" w:rsidRPr="00555190" w:rsidRDefault="00555190" w:rsidP="00025909">
            <w:pPr>
              <w:pStyle w:val="a0"/>
              <w:shd w:val="clear" w:color="auto" w:fill="808080"/>
              <w:spacing w:line="276" w:lineRule="auto"/>
              <w:ind w:right="122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Vitamini ali drugi dodatki, ki ustvarjajo vtis, da tobačni izdelek koristi zdravju ali da predstavlja zmanjšano tveganje za zdravje.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(Člen 10b(7), točka 3, v povezavi s členom 8b(2), točka 1, zakona o tobaku in zaščiti nekadilcev)</w:t>
            </w:r>
          </w:p>
        </w:tc>
      </w:tr>
      <w:tr w:rsidR="00255EB4" w:rsidRPr="00025909" w14:paraId="23F39027" w14:textId="77777777" w:rsidTr="008A46F5">
        <w:trPr>
          <w:trHeight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518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F2AF8" w14:textId="3914FF0D" w:rsidR="00255EB4" w:rsidRPr="00555190" w:rsidRDefault="00000000">
            <w:pPr>
              <w:pStyle w:val="a0"/>
              <w:spacing w:line="26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Vitamini s seznama Unije v Prilogi iz člena 15 Uredbe (EU) št. 609/2013, kakor je bila spremenjena.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022C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163DB83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DE9E1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2420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Aminokisline in njihovi derivati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361C69A7" w14:textId="77777777" w:rsidR="00255EB4" w:rsidRPr="00025909" w:rsidRDefault="00255EB4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DF4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64625F0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9210E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A6089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Analgetiki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CA3DE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FCF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2E83DBA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A5295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3F949" w14:textId="756B8688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Sestavine, vključno s predelanimi sestavinami, izvlečki in olja </w:t>
            </w:r>
            <w:r>
              <w:rPr>
                <w:rStyle w:val="a"/>
                <w:color w:val="000000"/>
                <w:sz w:val="14"/>
              </w:rPr>
              <w:br/>
            </w:r>
            <w:r>
              <w:rPr>
                <w:rStyle w:val="a"/>
                <w:color w:val="000000"/>
                <w:sz w:val="14"/>
                <w:b/>
              </w:rPr>
              <w:t xml:space="preserve">rastline konoplje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1A7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B65AC3E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4B5E6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334A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Kanabinoidi (naravnega ali sintetičnega izvora)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1D7234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97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Kanabidiol</w:t>
            </w:r>
          </w:p>
        </w:tc>
      </w:tr>
      <w:tr w:rsidR="00255EB4" w:rsidRPr="00555190" w14:paraId="3D81C78D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68D6DC9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AB998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D25EA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8C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</w:tr>
      <w:tr w:rsidR="00255EB4" w:rsidRPr="00555190" w14:paraId="4F33E36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6D14D42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68DB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4A88D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29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</w:tr>
      <w:tr w:rsidR="00255EB4" w:rsidRPr="00555190" w14:paraId="7C6B4C0F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8EF1F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EA2A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Hormoni in hormonom podobne snovi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457D24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07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</w:t>
            </w:r>
          </w:p>
        </w:tc>
      </w:tr>
      <w:tr w:rsidR="00255EB4" w:rsidRPr="00555190" w14:paraId="3ADC0615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1CE0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93E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Flavonoidi in fosfolipidi z antioksidacijskimi učinki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6D0E5C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62D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</w:t>
            </w:r>
          </w:p>
        </w:tc>
      </w:tr>
      <w:tr w:rsidR="00255EB4" w:rsidRPr="00555190" w14:paraId="360B245D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3902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B1D25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Drugo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ADF8B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1E3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Holin</w:t>
            </w:r>
          </w:p>
        </w:tc>
      </w:tr>
      <w:tr w:rsidR="00255EB4" w:rsidRPr="00555190" w14:paraId="4C06698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47ED694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0FAE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394CD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1C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Holin klorid</w:t>
            </w:r>
          </w:p>
        </w:tc>
      </w:tr>
      <w:tr w:rsidR="00255EB4" w:rsidRPr="00555190" w14:paraId="41E73744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0A7AD1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6166E8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59C142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07F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Holin hidroksid</w:t>
            </w:r>
          </w:p>
        </w:tc>
      </w:tr>
      <w:tr w:rsidR="00255EB4" w:rsidRPr="00555190" w14:paraId="6667DB19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400FE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AAE255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5DA9A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2B4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Holin citrat</w:t>
            </w:r>
          </w:p>
        </w:tc>
      </w:tr>
      <w:tr w:rsidR="00255EB4" w:rsidRPr="00555190" w14:paraId="6360CB27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94D3BC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2FB18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5D9BE3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68F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Holin tartrat</w:t>
            </w:r>
          </w:p>
        </w:tc>
      </w:tr>
      <w:tr w:rsidR="00255EB4" w:rsidRPr="00555190" w14:paraId="4B299CE5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35E7C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AE2973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1D0486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E04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</w:t>
            </w:r>
          </w:p>
        </w:tc>
      </w:tr>
      <w:tr w:rsidR="00255EB4" w:rsidRPr="00555190" w14:paraId="1EDB4CD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674D14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A8CC9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61C709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8F2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S-adenozil metionin</w:t>
            </w:r>
          </w:p>
        </w:tc>
      </w:tr>
      <w:tr w:rsidR="00255EB4" w:rsidRPr="00555190" w14:paraId="07139321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1EC7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DDCBC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782A45F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A20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L-5-hidroksitriptofan</w:t>
            </w:r>
          </w:p>
        </w:tc>
      </w:tr>
      <w:tr w:rsidR="00255EB4" w:rsidRPr="00555190" w14:paraId="3F432C3E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5000F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E5B1DD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89553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A9D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Karnitin</w:t>
            </w:r>
          </w:p>
        </w:tc>
      </w:tr>
      <w:tr w:rsidR="00255EB4" w:rsidRPr="00555190" w14:paraId="4E64395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F05148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0F135E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0AD442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056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</w:t>
            </w:r>
          </w:p>
        </w:tc>
      </w:tr>
      <w:tr w:rsidR="00255EB4" w:rsidRPr="00555190" w14:paraId="3A3390DD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75F7EBE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432128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A2BCE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A2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 hidroklorid</w:t>
            </w:r>
          </w:p>
        </w:tc>
      </w:tr>
      <w:tr w:rsidR="00255EB4" w:rsidRPr="00555190" w14:paraId="5C2B662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749393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F24BF0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FC17D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4C0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L-karnitin-L-tartrat</w:t>
            </w:r>
          </w:p>
        </w:tc>
      </w:tr>
      <w:tr w:rsidR="00255EB4" w:rsidRPr="00555190" w14:paraId="14A8C8BE" w14:textId="77777777" w:rsidTr="00025909">
        <w:trPr>
          <w:trHeight w:val="19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7FA0C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EB214C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0D40ED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A50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Natrijev selenit</w:t>
            </w:r>
          </w:p>
        </w:tc>
      </w:tr>
      <w:tr w:rsidR="00255EB4" w:rsidRPr="00555190" w14:paraId="02CD6420" w14:textId="77777777" w:rsidTr="008A46F5">
        <w:trPr>
          <w:trHeight w:val="216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A29EF6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D1F5BF" w14:textId="77777777" w:rsidR="00255EB4" w:rsidRPr="00555190" w:rsidRDefault="00000000" w:rsidP="00555190">
            <w:pPr>
              <w:pStyle w:val="a0"/>
              <w:shd w:val="clear" w:color="auto" w:fill="808080"/>
              <w:spacing w:line="266" w:lineRule="auto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Kofein ali tavrin ali drugi dodatki in poživila, ki so povezani z energijo in vitalnostjo (člen 10b(7), točka 3, v povezavi s členom 8b(2), točka 2, zakona o tobaku in zaščiti nekadilcev)</w:t>
            </w:r>
          </w:p>
        </w:tc>
      </w:tr>
      <w:tr w:rsidR="00255EB4" w:rsidRPr="00555190" w14:paraId="148B99EC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C86DAE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7C8850A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427E0B0" w14:textId="77777777" w:rsidTr="008A46F5">
        <w:trPr>
          <w:trHeight w:val="3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CB8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FD898" w14:textId="3152EC03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Sestavine, vključno s predelanimi sestavinami, izvlečki in olja </w:t>
            </w:r>
            <w:r>
              <w:rPr>
                <w:rStyle w:val="a"/>
                <w:color w:val="000000"/>
                <w:sz w:val="14"/>
                <w:b/>
              </w:rPr>
              <w:t xml:space="preserve">kavovca</w:t>
            </w:r>
            <w:r>
              <w:rPr>
                <w:rStyle w:val="a"/>
                <w:color w:val="000000"/>
                <w:sz w:val="14"/>
              </w:rPr>
              <w:t xml:space="preserve"> in </w:t>
            </w:r>
            <w:r>
              <w:rPr>
                <w:rStyle w:val="a"/>
                <w:color w:val="000000"/>
                <w:sz w:val="14"/>
                <w:b/>
              </w:rPr>
              <w:t xml:space="preserve">njegovih zrn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51C3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A842609" w14:textId="77777777" w:rsidTr="00025909">
        <w:trPr>
          <w:trHeight w:val="3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3AC1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C9968" w14:textId="77777777" w:rsidR="00255EB4" w:rsidRPr="00555190" w:rsidRDefault="00000000">
            <w:pPr>
              <w:pStyle w:val="a0"/>
              <w:spacing w:line="27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Sestavine, vključno s predelanimi sestavinami, izvlečki in olja </w:t>
            </w:r>
            <w:r>
              <w:rPr>
                <w:rStyle w:val="a"/>
                <w:color w:val="000000"/>
                <w:sz w:val="14"/>
                <w:b/>
              </w:rPr>
              <w:t xml:space="preserve">čajevca </w:t>
            </w:r>
            <w:r>
              <w:rPr>
                <w:rStyle w:val="a"/>
                <w:color w:val="000000"/>
                <w:sz w:val="14"/>
                <w:i/>
                <w:iCs/>
              </w:rPr>
              <w:t xml:space="preserve">Camellia sinensis</w:t>
            </w:r>
            <w:r>
              <w:rPr>
                <w:rStyle w:val="a"/>
                <w:color w:val="000000"/>
                <w:sz w:val="14"/>
              </w:rPr>
              <w:t xml:space="preserve"> (L.) Kuntze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227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2F0EAC2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111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753292" w14:textId="6AA7F20B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Sestavine, vključno s predelanimi sestavinami, izvlečki in olja </w:t>
            </w:r>
            <w:r>
              <w:rPr>
                <w:rStyle w:val="a"/>
                <w:color w:val="000000"/>
                <w:sz w:val="14"/>
                <w:b/>
              </w:rPr>
              <w:t xml:space="preserve">rastline gvarane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DC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BC0A09D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36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6C954" w14:textId="60872044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Sestavine, vključno s predelanimi sestavinami, izvlečki in olja </w:t>
            </w:r>
            <w:r>
              <w:rPr>
                <w:rStyle w:val="a"/>
                <w:color w:val="000000"/>
                <w:sz w:val="14"/>
                <w:b/>
              </w:rPr>
              <w:t xml:space="preserve">matečaja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49F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311D3E9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E61A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AA06B" w14:textId="4BF9398E" w:rsidR="00255EB4" w:rsidRPr="00555190" w:rsidRDefault="00000000" w:rsidP="00025909">
            <w:pPr>
              <w:pStyle w:val="a0"/>
              <w:ind w:right="194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Sestavine, vključno s predelanimi sestavinami, izvlečki in olja </w:t>
            </w:r>
            <w:r>
              <w:rPr>
                <w:rStyle w:val="a"/>
                <w:color w:val="000000"/>
                <w:sz w:val="14"/>
                <w:b/>
              </w:rPr>
              <w:t xml:space="preserve">kole</w:t>
            </w:r>
            <w:r>
              <w:rPr>
                <w:rStyle w:val="a"/>
                <w:color w:val="000000"/>
                <w:sz w:val="14"/>
              </w:rPr>
              <w:t xml:space="preserve"> ali </w:t>
            </w:r>
            <w:r>
              <w:rPr>
                <w:rStyle w:val="a"/>
                <w:color w:val="000000"/>
                <w:sz w:val="14"/>
                <w:b/>
              </w:rPr>
              <w:t xml:space="preserve">njenih semen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FB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5EFDCBA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7189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77751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Sladkor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CD37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FC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Glukoza</w:t>
            </w:r>
          </w:p>
        </w:tc>
      </w:tr>
      <w:tr w:rsidR="00255EB4" w:rsidRPr="00555190" w14:paraId="522D273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DF3B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8D82A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7F2A47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BDE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Fruktoza</w:t>
            </w:r>
          </w:p>
        </w:tc>
      </w:tr>
      <w:tr w:rsidR="00255EB4" w:rsidRPr="00555190" w14:paraId="0A4CA069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94772C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50C2E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F58A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9CC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Galaktoza</w:t>
            </w:r>
          </w:p>
        </w:tc>
      </w:tr>
      <w:tr w:rsidR="00255EB4" w:rsidRPr="00555190" w14:paraId="4FF3854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8B29F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7927D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9E6BCF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6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Saharoza</w:t>
            </w:r>
          </w:p>
        </w:tc>
      </w:tr>
      <w:tr w:rsidR="00255EB4" w:rsidRPr="00555190" w14:paraId="55E0D791" w14:textId="77777777" w:rsidTr="00025909">
        <w:trPr>
          <w:trHeight w:val="235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4C4C0BD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C6E3E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C6AF0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459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Laktoza</w:t>
            </w:r>
          </w:p>
        </w:tc>
      </w:tr>
      <w:tr w:rsidR="00255EB4" w:rsidRPr="00555190" w14:paraId="4670B5B6" w14:textId="77777777" w:rsidTr="00025909">
        <w:trPr>
          <w:trHeight w:val="230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BAB43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EA14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BCCDEA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585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Maltoza</w:t>
            </w:r>
          </w:p>
        </w:tc>
      </w:tr>
      <w:tr w:rsidR="00255EB4" w:rsidRPr="00555190" w14:paraId="3F4299F3" w14:textId="77777777" w:rsidTr="00025909">
        <w:trPr>
          <w:trHeight w:val="2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7D950" w14:textId="77777777" w:rsidR="00255EB4" w:rsidRPr="00555190" w:rsidRDefault="00000000" w:rsidP="00025909">
            <w:pPr>
              <w:pStyle w:val="a0"/>
              <w:ind w:hanging="13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</w:tcPr>
          <w:p w14:paraId="7B58B5D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Drugo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545DD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13C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Maltodekstrin</w:t>
            </w:r>
          </w:p>
        </w:tc>
      </w:tr>
      <w:tr w:rsidR="00255EB4" w:rsidRPr="00555190" w14:paraId="3180EBF8" w14:textId="77777777" w:rsidTr="008A46F5">
        <w:trPr>
          <w:trHeight w:val="202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8E5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</w:tcPr>
          <w:p w14:paraId="4B1FD0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1E932D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A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Inozitol</w:t>
            </w:r>
          </w:p>
        </w:tc>
      </w:tr>
      <w:tr w:rsidR="00255EB4" w:rsidRPr="00025909" w14:paraId="50E5AC69" w14:textId="77777777" w:rsidTr="008A46F5">
        <w:trPr>
          <w:trHeight w:val="27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9E9549F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7603532" w14:textId="77777777" w:rsidR="00255EB4" w:rsidRPr="00025909" w:rsidRDefault="00000000" w:rsidP="00025909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Dodatki z barvilnimi lastnostmi za emisije.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(Člen 10b(7), točka 3, v povezavi s členom 8b(2), točka 3, zakona o tobaku in zaščiti nekadilcev)</w:t>
            </w:r>
          </w:p>
        </w:tc>
      </w:tr>
      <w:tr w:rsidR="00255EB4" w:rsidRPr="00025909" w14:paraId="483A2523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6140B8B" w14:textId="77777777" w:rsidR="00255EB4" w:rsidRPr="00025909" w:rsidRDefault="00255EB4">
            <w:pPr>
              <w:rPr>
                <w:lang w:val="pl-PL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A0B8D58" w14:textId="77777777" w:rsidR="00255EB4" w:rsidRPr="00025909" w:rsidRDefault="00255EB4">
            <w:pPr>
              <w:rPr>
                <w:lang w:val="pl-PL"/>
              </w:rPr>
            </w:pPr>
          </w:p>
        </w:tc>
      </w:tr>
    </w:tbl>
    <w:p w14:paraId="1416E786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BCA3059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D6B07B2" w14:textId="77777777" w:rsidR="00555190" w:rsidRPr="00025909" w:rsidRDefault="00555190">
      <w:pPr>
        <w:pStyle w:val="22"/>
        <w:keepNext/>
        <w:keepLines/>
        <w:spacing w:line="240" w:lineRule="auto"/>
        <w:rPr>
          <w:lang w:val="pl-PL"/>
        </w:rPr>
        <w:sectPr w:rsidR="00555190" w:rsidRPr="00025909" w:rsidSect="00555190">
          <w:headerReference w:type="default" r:id="rId6"/>
          <w:footerReference w:type="default" r:id="rId7"/>
          <w:footerReference w:type="first" r:id="rId8"/>
          <w:pgSz w:w="11906" w:h="16838" w:code="9"/>
          <w:pgMar w:top="1418" w:right="1750" w:bottom="1276" w:left="1495" w:header="680" w:footer="68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4765"/>
        <w:gridCol w:w="11"/>
        <w:gridCol w:w="2630"/>
        <w:gridCol w:w="19"/>
        <w:gridCol w:w="4037"/>
      </w:tblGrid>
      <w:tr w:rsidR="00255EB4" w:rsidRPr="00025909" w14:paraId="715BDC71" w14:textId="77777777" w:rsidTr="001652C2">
        <w:trPr>
          <w:trHeight w:val="475"/>
        </w:trPr>
        <w:tc>
          <w:tcPr>
            <w:tcW w:w="14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13316C" w14:textId="77777777" w:rsidR="00255EB4" w:rsidRPr="00555190" w:rsidRDefault="00000000">
            <w:pPr>
              <w:pStyle w:val="a0"/>
              <w:shd w:val="clear" w:color="auto" w:fill="000000"/>
              <w:rPr>
                <w:sz w:val="16"/>
                <w:szCs w:val="16"/>
                <w:u w:val="single"/>
              </w:rPr>
            </w:pPr>
            <w:r>
              <w:rPr>
                <w:rStyle w:val="a"/>
                <w:b/>
                <w:color w:val="FFFFFF"/>
                <w:sz w:val="16"/>
                <w:u w:val="single"/>
              </w:rPr>
              <w:t xml:space="preserve">Prepovedane sestavine v elektronskih cigaretah in posodicah za ponovno polnjenje, ki vsebujejo nikotin ali ne</w:t>
            </w:r>
          </w:p>
        </w:tc>
      </w:tr>
      <w:tr w:rsidR="00555190" w:rsidRPr="00025909" w14:paraId="5889D192" w14:textId="77777777" w:rsidTr="001652C2">
        <w:trPr>
          <w:trHeight w:val="216"/>
        </w:trPr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9DC8E4" w14:textId="60B325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Kategorije snovi, vključno s pravno podlago za prepoved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30B954" w14:textId="05115B39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Primeri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24BD94" w14:textId="05E53C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</w:rPr>
              <w:t xml:space="preserve">Dodatna utemeljitev prepovedi</w:t>
            </w:r>
          </w:p>
        </w:tc>
      </w:tr>
      <w:tr w:rsidR="00255EB4" w:rsidRPr="00025909" w14:paraId="4D441EB4" w14:textId="77777777" w:rsidTr="001652C2">
        <w:trPr>
          <w:trHeight w:val="235"/>
        </w:trPr>
        <w:tc>
          <w:tcPr>
            <w:tcW w:w="14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F6A54CE" w14:textId="77777777" w:rsidR="00255EB4" w:rsidRPr="00025909" w:rsidRDefault="00000000" w:rsidP="00555190">
            <w:pPr>
              <w:pStyle w:val="a0"/>
              <w:shd w:val="clear" w:color="auto" w:fill="808080"/>
              <w:tabs>
                <w:tab w:val="left" w:pos="356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1.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Dodatki, ki imajo v neizgoreli obliki rakotvorne, mutagene ali za razmnoževanje strupen (CMR) lastnosti.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(Člen 10b(7), točka 3, v povezavi s členom 8b(2), točka 5, zakona o tobaku in zaščiti nekadilcev;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člen 10b(7), točka 5, zakona o tobaku in zaščiti nekadilcev)</w:t>
            </w:r>
          </w:p>
        </w:tc>
      </w:tr>
      <w:tr w:rsidR="00255EB4" w:rsidRPr="00025909" w14:paraId="39417571" w14:textId="77777777" w:rsidTr="001652C2">
        <w:trPr>
          <w:trHeight w:val="276"/>
        </w:trPr>
        <w:tc>
          <w:tcPr>
            <w:tcW w:w="140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5ABE40" w14:textId="77777777" w:rsidR="00255EB4" w:rsidRPr="00025909" w:rsidRDefault="00255EB4">
            <w:pPr>
              <w:rPr>
                <w:lang w:val="pl-PL"/>
              </w:rPr>
            </w:pPr>
          </w:p>
        </w:tc>
      </w:tr>
      <w:tr w:rsidR="00255EB4" w:rsidRPr="00025909" w14:paraId="3A3E4782" w14:textId="77777777">
        <w:trPr>
          <w:trHeight w:val="124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41E0" w14:textId="0FD44A06" w:rsidR="00255EB4" w:rsidRPr="00555190" w:rsidRDefault="00000000">
            <w:pPr>
              <w:pStyle w:val="a0"/>
              <w:spacing w:line="262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Snovi, ki so v skladu z delom 3 Priloge VI k Uredbi (ES) št. 1272/2008 Evropskega parlamenta in Sveta z dne 16. decembra 2008 o razvrščanju, označevanju in pakiranju snovi ter zmesi, o spremembi in razveljavitvi direktiv 67/548/EGS in 1999/45/ES ter spremembi Uredbe (ES) št. 1907/2006 (UL L 353, 31.12.2006, str. 1), kakor je bila nazadnje spremenjena z Uredbo (EU) 2016/1179 (UL L 195, 20.7.2016, str. 11), razvrščene kot </w:t>
            </w:r>
            <w:r>
              <w:rPr>
                <w:rStyle w:val="a"/>
                <w:color w:val="000000"/>
                <w:b/>
              </w:rPr>
              <w:t xml:space="preserve">snovi CMR kategorije 1A, 1B, 2 ali Lact.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2EF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4A29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1F71827" w14:textId="77777777">
        <w:trPr>
          <w:trHeight w:val="54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A191A" w14:textId="003C86AB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Snovi, ki so v skladu s seznamom razvrstitev Mednarodne agencije za raziskave raka (</w:t>
            </w:r>
            <w:r>
              <w:rPr>
                <w:rStyle w:val="a"/>
                <w:color w:val="000000"/>
                <w:b/>
              </w:rPr>
              <w:t xml:space="preserve">IARC</w:t>
            </w:r>
            <w:r>
              <w:rPr>
                <w:rStyle w:val="a"/>
                <w:color w:val="000000"/>
              </w:rPr>
              <w:t xml:space="preserve">) v zvezi z rakotvornimi učinki pri ljudeh razvrščene v </w:t>
            </w:r>
            <w:r>
              <w:rPr>
                <w:rStyle w:val="a"/>
                <w:color w:val="000000"/>
                <w:b/>
              </w:rPr>
              <w:t xml:space="preserve">skupino 1, 2A ali 2B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1A9D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ECF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03B599A" w14:textId="77777777">
        <w:trPr>
          <w:trHeight w:val="509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66E6E" w14:textId="2D06F622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Snovi, ki so v skladu z nacionalnim programom ZDA za toksikologijo uvrščene med snovi, za katere je znano ali se razumno pričakuje, da povzročajo raka pri ljudeh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738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A9F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D0015D4" w14:textId="77777777">
        <w:trPr>
          <w:trHeight w:val="816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2FC57" w14:textId="043BCA65" w:rsidR="00255EB4" w:rsidRPr="00555190" w:rsidRDefault="00000000" w:rsidP="00025909">
            <w:pPr>
              <w:pStyle w:val="a0"/>
              <w:tabs>
                <w:tab w:val="left" w:pos="356"/>
              </w:tabs>
              <w:spacing w:line="262" w:lineRule="auto"/>
              <w:ind w:left="416" w:right="302" w:hanging="416"/>
            </w:pPr>
            <w:r>
              <w:rPr>
                <w:rStyle w:val="a"/>
                <w:color w:val="000000"/>
              </w:rPr>
              <w:t xml:space="preserve">1.4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Snovi, ki jih je komisija za MAK v skladu s </w:t>
            </w:r>
            <w:r>
              <w:rPr>
                <w:rStyle w:val="a"/>
                <w:color w:val="000000"/>
                <w:b/>
              </w:rPr>
              <w:t xml:space="preserve">seznamom vrednosti MAK in BAT</w:t>
            </w:r>
            <w:r>
              <w:rPr>
                <w:rStyle w:val="a"/>
                <w:color w:val="000000"/>
              </w:rPr>
              <w:t xml:space="preserve"> (ki ga je objavila Deutsche Forschungsgemeinschaft (DFG)) uvrstila med rakotvorne snovi kategorije 1, 2, 4 ali 5, kot teratogene snovi v kategorijo A, B ali C in kot mutagene za zarodne celice v kategorijo 1, 2, 3A ali 3B.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74B8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580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5E0D7C3" w14:textId="77777777">
        <w:trPr>
          <w:trHeight w:val="341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24792" w14:textId="3D1E6889" w:rsidR="00255EB4" w:rsidRPr="00555190" w:rsidRDefault="00000000">
            <w:pPr>
              <w:pStyle w:val="a0"/>
              <w:spacing w:line="257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Snovi, ki jih je Evropska agencija za varnost hrane (EFSA) uvrstila med rakotvorne, mutagene ali strupene za razmnoževanje.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098E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F98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329273" w14:textId="77777777">
        <w:trPr>
          <w:trHeight w:val="18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348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1.1–1.5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Primeri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D2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Izoforon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D848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8916AE" w14:textId="77777777">
        <w:trPr>
          <w:trHeight w:val="19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92A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9CF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Piridin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D2C4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01F6F92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7FE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C81C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Mircen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3E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F7B187B" w14:textId="77777777">
        <w:trPr>
          <w:trHeight w:val="211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82B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0F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Krizen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B4A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6289B8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66F3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67DA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Benzo(a)antracen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E6F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8CBBFB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4A37A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6CDE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Benzo(b)fluoranten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5D9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8DD16C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468E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800F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Titanov dioksid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CD6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B6C10FA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A7FB9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CBF0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Metil evgenol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64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3AF3645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D41A8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A0FA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Safrol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0B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7C4A8DE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C1FB9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C9EF3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Estragol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AAFB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65F087D" w14:textId="77777777">
        <w:trPr>
          <w:trHeight w:val="40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F4A3A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1.6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Snovi, ki vplivajo na reproduktivni sistem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F7D6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Parabeni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A5BDD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Propilparaben (propil ester para-hidroksibenzojske kisline)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14C2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Nekateri parabeni kažejo </w:t>
            </w:r>
            <w:r>
              <w:rPr>
                <w:rStyle w:val="a"/>
                <w:color w:val="000000"/>
                <w:i/>
              </w:rPr>
              <w:t xml:space="preserve">in vivo</w:t>
            </w:r>
            <w:r>
              <w:rPr>
                <w:rStyle w:val="a"/>
                <w:color w:val="000000"/>
              </w:rPr>
              <w:t xml:space="preserve"> reprotoksične učinke.</w:t>
            </w:r>
          </w:p>
          <w:p w14:paraId="4C754D05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7B8050C2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Sklici:</w:t>
            </w:r>
          </w:p>
          <w:p w14:paraId="04A70D1A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SCCS (Scientific Committee on Consumer Safety – znanstveni odbor za varstvo potrošnikov)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Opinion on Propylparaben (CAS No 94-13-3, EC No 202-307-7)</w:t>
            </w:r>
            <w:r>
              <w:rPr>
                <w:rStyle w:val="a"/>
                <w:color w:val="000000"/>
                <w:sz w:val="11"/>
              </w:rPr>
              <w:t xml:space="preserve"> (Mnenje o propilparabenu, št. CAS 94-13-3, št. ES 202-307-7), predhodna različica z dne 27. in 28. oktobra 2020, končna različica z dne 30. in 31. marca 2021, SCCS/1623/20</w:t>
            </w:r>
          </w:p>
          <w:p w14:paraId="17AE6435" w14:textId="77777777" w:rsidR="00255EB4" w:rsidRPr="00025909" w:rsidRDefault="00255EB4">
            <w:pPr>
              <w:pStyle w:val="a0"/>
              <w:spacing w:line="254" w:lineRule="auto"/>
            </w:pPr>
            <w:hyperlink r:id="rId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https://health.ec.europa.eu/document/download/7c416df0-2650-4d7a-82f7-650081bf250c_en?filename=sccs%20o%20243.pdf</w:t>
              </w:r>
            </w:hyperlink>
          </w:p>
          <w:p w14:paraId="06E4BE0C" w14:textId="77777777" w:rsidR="00555190" w:rsidRPr="00025909" w:rsidRDefault="00555190">
            <w:pPr>
              <w:pStyle w:val="a0"/>
              <w:spacing w:line="254" w:lineRule="auto"/>
              <w:rPr>
                <w:sz w:val="11"/>
                <w:szCs w:val="11"/>
                <w:lang w:val="es-ES"/>
              </w:rPr>
            </w:pPr>
          </w:p>
          <w:p w14:paraId="1846FCDA" w14:textId="77777777" w:rsidR="00255EB4" w:rsidRPr="00555190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EFSA (Evropska agencija za varnost hrane) (2004).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Opinion of the Scientific Panel on food additives, flavourings, processing aids and materials in contact with food (AFC) related to para hydroxybenzoates (E 214-219)</w:t>
            </w:r>
            <w:r>
              <w:rPr>
                <w:rStyle w:val="a"/>
                <w:color w:val="000000"/>
                <w:sz w:val="11"/>
              </w:rPr>
              <w:t xml:space="preserve"> (Mnenje znanstvenega odbora za aditive za živila, arome, pomožna tehnološka sredstva in materiale, namenjene za stik z živili (AFC), v zvezi s parahidroksibenzoati (E 214–219)).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0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63758B00" w14:textId="77777777">
        <w:trPr>
          <w:trHeight w:val="211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6D5A6A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686A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6E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Natrijev propilparaben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BEDF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4A0FB3" w14:textId="77777777">
        <w:trPr>
          <w:trHeight w:val="182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2F62708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8358E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BE2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Kalijev propilparaben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8EFF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C5840A" w14:textId="77777777">
        <w:trPr>
          <w:trHeight w:val="16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A49186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38E64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1B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F6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8DABE7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5675AF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19555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C2A3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Natrijev butilparaben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BAB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0DC654" w14:textId="77777777">
        <w:trPr>
          <w:trHeight w:val="149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40895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004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7757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Kalijev butilparaben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329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75C440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17E81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435D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0EDA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Izobutilparaben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54D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4F56C1E" w14:textId="77777777" w:rsidTr="00555190">
        <w:trPr>
          <w:trHeight w:val="390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FF6A6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492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DD6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Natrijev izobutilparaben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E12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F72EA01" w14:textId="77777777">
        <w:trPr>
          <w:trHeight w:val="17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7C9C" w14:textId="77777777" w:rsidR="00255EB4" w:rsidRPr="00555190" w:rsidRDefault="00000000">
            <w:pPr>
              <w:pStyle w:val="a0"/>
              <w:ind w:firstLine="360"/>
            </w:pPr>
            <w:r>
              <w:rPr>
                <w:rStyle w:val="a"/>
                <w:color w:val="000000"/>
              </w:rPr>
              <w:t xml:space="preserve">1.7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Sasafras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651F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Sasafrazovo olje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AD7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Vsebuje safrol.</w:t>
            </w:r>
          </w:p>
        </w:tc>
      </w:tr>
      <w:tr w:rsidR="00255EB4" w:rsidRPr="00555190" w14:paraId="040032AD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87E32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34C1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Sasafrazov les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6C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6CC182" w14:textId="77777777">
        <w:trPr>
          <w:trHeight w:val="18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4BC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BFBE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Sasafrazovo listje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BF6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00BF84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866D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D9B3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Sasafrazovo lubje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9DA0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6C0143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109"/>
      </w:tblGrid>
      <w:tr w:rsidR="00255EB4" w:rsidRPr="00555190" w14:paraId="0D43449C" w14:textId="77777777" w:rsidTr="001652C2">
        <w:trPr>
          <w:trHeight w:val="432"/>
        </w:trPr>
        <w:tc>
          <w:tcPr>
            <w:tcW w:w="1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1D4D6D9" w14:textId="77777777" w:rsidR="00255EB4" w:rsidRPr="00555190" w:rsidRDefault="00000000" w:rsidP="00555190">
            <w:pPr>
              <w:pStyle w:val="a0"/>
              <w:shd w:val="clear" w:color="auto" w:fill="808080"/>
              <w:tabs>
                <w:tab w:val="left" w:pos="384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2.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Sestavine (razen nikotina v tekočinah, ki vsebujejo nikotin), ki v segreti ali nesegreti obliki ogrožajo zdravje ljudi.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(Člen 10b(7), točka 5, zakona o tobaku in zaščiti nekadilcev)</w:t>
            </w:r>
          </w:p>
        </w:tc>
      </w:tr>
      <w:tr w:rsidR="00255EB4" w:rsidRPr="00555190" w14:paraId="4D0852CB" w14:textId="77777777" w:rsidTr="001652C2">
        <w:trPr>
          <w:trHeight w:val="1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BDF39" w14:textId="730B0D54" w:rsidR="00255EB4" w:rsidRPr="00555190" w:rsidRDefault="00000000" w:rsidP="00555190">
            <w:pPr>
              <w:pStyle w:val="a0"/>
              <w:tabs>
                <w:tab w:val="left" w:pos="370"/>
              </w:tabs>
            </w:pPr>
            <w:r>
              <w:rPr>
                <w:rStyle w:val="a"/>
                <w:color w:val="000000"/>
              </w:rPr>
              <w:t xml:space="preserve">2.1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Snovi, ki imajo v nezgoreli obliki lastnosti CMR.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(Glej točko 1.)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83A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27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A75ED6" w14:textId="77777777">
        <w:trPr>
          <w:trHeight w:val="1262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D1D5F" w14:textId="0A0B368C" w:rsidR="00255EB4" w:rsidRPr="00555190" w:rsidRDefault="00000000">
            <w:pPr>
              <w:pStyle w:val="a0"/>
              <w:spacing w:line="266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Snovi, ki so v skladu z delom 3 Priloge VI k Uredbi (ES) št. 1272/2008 Evropskega parlamenta in Sveta z dne 16. decembra 2008 o razvrščanju, označevanju in pakiranju snovi ter zmesi, o spremembi in razveljavitvi direktiv 67/548/EGS in 1999/45/ES ter spremembi Uredbe (ES) št. 1907/2006 (UL L 353, 31.12.2006, str. 1), kakor je bila nazadnje spremenjena z Uredbo (EU) 2016/1179 (UL L 195, 20.7.2016, str. 11), razvrščene kot </w:t>
            </w:r>
            <w:r>
              <w:rPr>
                <w:rStyle w:val="a"/>
                <w:color w:val="000000"/>
                <w:b/>
              </w:rPr>
              <w:t xml:space="preserve">snovi, ki povzročajo preobčutljivost dihal (Resp. Sens.)</w:t>
            </w:r>
            <w:r>
              <w:rPr>
                <w:rStyle w:val="a"/>
                <w:color w:val="000000"/>
                <w:b/>
              </w:rPr>
              <w:t xml:space="preserve"> </w:t>
            </w:r>
            <w:r>
              <w:rPr>
                <w:rStyle w:val="a"/>
                <w:color w:val="000000"/>
                <w:b/>
              </w:rPr>
              <w:t xml:space="preserve">1)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CA75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A3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CA60890" w14:textId="77777777">
        <w:trPr>
          <w:trHeight w:val="16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E2E0E" w14:textId="183C85AE" w:rsidR="00255EB4" w:rsidRPr="00555190" w:rsidRDefault="00000000" w:rsidP="00025909">
            <w:pPr>
              <w:pStyle w:val="a0"/>
              <w:spacing w:line="269" w:lineRule="auto"/>
              <w:ind w:left="360" w:right="255" w:hanging="360"/>
            </w:pPr>
            <w:r>
              <w:rPr>
                <w:rStyle w:val="a"/>
                <w:color w:val="000000"/>
              </w:rPr>
              <w:t xml:space="preserve">2.3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Snovi, navedene v </w:t>
            </w:r>
            <w:r>
              <w:rPr>
                <w:rStyle w:val="a"/>
                <w:color w:val="000000"/>
                <w:b/>
              </w:rPr>
              <w:t xml:space="preserve">Prilogi III</w:t>
            </w:r>
            <w:r>
              <w:rPr>
                <w:rStyle w:val="a"/>
                <w:color w:val="000000"/>
              </w:rPr>
              <w:t xml:space="preserve">, del A, Uredbe (ES) št. 1334/2008 Evropskega parlamenta in Sveta z dne 16. decembra 2008 o </w:t>
            </w:r>
            <w:r>
              <w:rPr>
                <w:rStyle w:val="a"/>
                <w:color w:val="000000"/>
                <w:b/>
              </w:rPr>
              <w:t xml:space="preserve">aromah</w:t>
            </w:r>
            <w:r>
              <w:rPr>
                <w:rStyle w:val="a"/>
                <w:color w:val="000000"/>
              </w:rPr>
              <w:t xml:space="preserve">in</w:t>
            </w:r>
            <w:r>
              <w:rPr>
                <w:rStyle w:val="a"/>
                <w:color w:val="000000"/>
                <w:b/>
              </w:rPr>
              <w:t xml:space="preserve"> </w:t>
            </w:r>
            <w:r>
              <w:rPr>
                <w:rStyle w:val="a"/>
                <w:color w:val="000000"/>
              </w:rPr>
              <w:t xml:space="preserve">nekaterih sestavinah živil z aromatičnimi lastnostmi za uporabo v in na živilih ter njihove posodobitve so navedene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9A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Agarična kislina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B8A5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AF0825" w14:textId="77777777">
        <w:trPr>
          <w:trHeight w:val="18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A34C8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CF86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Aloin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0AA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0A8C126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D87A1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0879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Kapsaicin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D9CE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F1D2CE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6C55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D99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1,2-benzopiron, kumarin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8BB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271D310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1152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678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Hipericin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8AB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B4F0C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AE52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5E8E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Beta-azaron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AB2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B91FA5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86FA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AE77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1-alil-4-metoksibenzen, estragol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F3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00C425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FC77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522B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Cianovodikova kislina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1763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3292FC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180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5B4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Mentofuran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794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1E85C2" w14:textId="77777777">
        <w:trPr>
          <w:trHeight w:val="15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1B75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63198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4-alil-1,2-dimetoksibenzen, metil evgenol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93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AC9431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E36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4EA4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Pulegon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B9CC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3BC1F2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0E02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3A3D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Kvasin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268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8FD076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049B9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11FE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1-alil-3,4-metilendioksibenzen, safrol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E86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1FD7CA2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1509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E3CD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Teukrin 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2CC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DC39B3A" w14:textId="77777777">
        <w:trPr>
          <w:trHeight w:val="16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303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0BB7E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Tujon (alfa in beta)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AA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1ECC37A" w14:textId="77777777">
        <w:trPr>
          <w:trHeight w:val="629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6C3BA" w14:textId="64E121CD" w:rsidR="00255EB4" w:rsidRPr="00555190" w:rsidRDefault="00000000" w:rsidP="00555190">
            <w:pPr>
              <w:pStyle w:val="a0"/>
              <w:tabs>
                <w:tab w:val="left" w:pos="370"/>
              </w:tabs>
              <w:spacing w:line="264" w:lineRule="auto"/>
            </w:pPr>
            <w:r>
              <w:rPr>
                <w:rStyle w:val="a"/>
                <w:color w:val="000000"/>
              </w:rPr>
              <w:t xml:space="preserve">2.4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Snovi, ki jih je komisija za MAK v skladu s </w:t>
            </w:r>
            <w:r>
              <w:rPr>
                <w:rStyle w:val="a"/>
                <w:color w:val="000000"/>
                <w:b/>
              </w:rPr>
              <w:t xml:space="preserve">seznamom vrednosti MAK in BAT</w:t>
            </w:r>
            <w:r>
              <w:rPr>
                <w:rStyle w:val="a"/>
                <w:color w:val="000000"/>
              </w:rPr>
              <w:t xml:space="preserve"> (ki ga je objavila Deutsche</w:t>
            </w:r>
          </w:p>
          <w:p w14:paraId="0E2FB79A" w14:textId="77777777" w:rsidR="00255EB4" w:rsidRPr="00555190" w:rsidRDefault="00000000" w:rsidP="00025909">
            <w:pPr>
              <w:pStyle w:val="a0"/>
              <w:spacing w:line="264" w:lineRule="auto"/>
              <w:ind w:left="370" w:right="397"/>
            </w:pPr>
            <w:r>
              <w:rPr>
                <w:rStyle w:val="a"/>
                <w:color w:val="000000"/>
              </w:rPr>
              <w:t xml:space="preserve">Forschungsgemeinschaft (DFG)) uvrstila med </w:t>
            </w:r>
            <w:r>
              <w:rPr>
                <w:rStyle w:val="a"/>
                <w:color w:val="000000"/>
                <w:b/>
              </w:rPr>
              <w:t xml:space="preserve">aktivne alergene</w:t>
            </w:r>
            <w:r>
              <w:rPr>
                <w:rStyle w:val="a"/>
                <w:color w:val="000000"/>
              </w:rPr>
              <w:t xml:space="preserve"> („Sa“, „Sah“).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33A5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188E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3FEC6D3" w14:textId="77777777">
        <w:trPr>
          <w:trHeight w:val="25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411D1" w14:textId="54F6F859" w:rsidR="00255EB4" w:rsidRPr="00555190" w:rsidRDefault="00000000" w:rsidP="00555190">
            <w:pPr>
              <w:pStyle w:val="a0"/>
              <w:tabs>
                <w:tab w:val="left" w:pos="384"/>
              </w:tabs>
            </w:pPr>
            <w:r>
              <w:rPr>
                <w:rStyle w:val="a"/>
                <w:color w:val="000000"/>
              </w:rPr>
              <w:t xml:space="preserve">2.5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Predelane sestavine, izvlečki in olja, pridobljeni iz </w:t>
            </w:r>
            <w:r>
              <w:rPr>
                <w:rStyle w:val="a"/>
                <w:color w:val="000000"/>
                <w:b/>
              </w:rPr>
              <w:t xml:space="preserve">polaja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C21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8918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Polaj vsebuje pulegon, ki je hepatotoksično snov.</w:t>
            </w:r>
          </w:p>
          <w:p w14:paraId="69E58F96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06174B1E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Sklici:</w:t>
            </w:r>
          </w:p>
          <w:p w14:paraId="46A978DE" w14:textId="77777777" w:rsidR="00255EB4" w:rsidRPr="00025909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  <w:sz w:val="11"/>
              </w:rPr>
              <w:t xml:space="preserve">Evropska agencija za varnost hrane (2008).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Pulegone and Menthofuran in flavourings - Opinion of the Scientific Panel on Food Additives, Flavourings, Processing Aids and Materials in contact with Food (AFC)</w:t>
            </w:r>
            <w:r>
              <w:rPr>
                <w:rStyle w:val="a"/>
                <w:color w:val="000000"/>
                <w:sz w:val="11"/>
              </w:rPr>
              <w:t xml:space="preserve"> (Pulegon in mentofuran v aromah – mnenje znanstvenega odbora za aditive za živila, arome, pomožna tehnološka sredstva in materiale, namenjene za stik z živili (AFC)).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Journal, zv. 6(3):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298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https://doi.org/10.2903/j.efsa.2008.298</w:t>
              </w:r>
            </w:hyperlink>
          </w:p>
          <w:p w14:paraId="07C407B5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6DE5443D" w14:textId="77777777" w:rsidR="00555190" w:rsidRPr="00555190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Gordon Perry in Khojasteh S. Cyrus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A decades-long investigation of acute metabolism-based hepatotoxicity by herbal constituents: a case study of pennyroyal oil</w:t>
            </w:r>
            <w:r>
              <w:rPr>
                <w:rStyle w:val="a"/>
                <w:color w:val="000000"/>
                <w:sz w:val="11"/>
              </w:rPr>
              <w:t xml:space="preserve"> (Desetletno raziskovanje akutne presnovne hepatotoksičnosti z rastlinskimi sestavinami: študija primera olja polaja).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Drug Metabolism Reviews</w:t>
            </w:r>
            <w:r>
              <w:rPr>
                <w:rStyle w:val="a"/>
                <w:color w:val="000000"/>
                <w:sz w:val="11"/>
              </w:rPr>
              <w:t xml:space="preserve">, zv. 47(1):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str. 12–20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</w:p>
          <w:p w14:paraId="6E8EB49D" w14:textId="0668648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10.3109/03602532.2014.990032.</w:t>
            </w:r>
          </w:p>
          <w:p w14:paraId="73B3CE50" w14:textId="77777777" w:rsidR="00255EB4" w:rsidRPr="00555190" w:rsidRDefault="00255EB4">
            <w:pPr>
              <w:pStyle w:val="a0"/>
              <w:spacing w:line="257" w:lineRule="auto"/>
              <w:rPr>
                <w:sz w:val="11"/>
                <w:szCs w:val="11"/>
              </w:rPr>
            </w:pPr>
            <w:hyperlink r:id="rId1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https://doi.org/10.3109/03602532.2014.990032</w:t>
              </w:r>
            </w:hyperlink>
          </w:p>
        </w:tc>
      </w:tr>
    </w:tbl>
    <w:p w14:paraId="701E7EE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075"/>
      </w:tblGrid>
      <w:tr w:rsidR="00255EB4" w:rsidRPr="00555190" w14:paraId="77A19341" w14:textId="77777777">
        <w:trPr>
          <w:trHeight w:val="17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7D749" w14:textId="0F77D704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Oljne/mastne snovi, kot so nasičene ali nenasičene proste maščobne kisline in njihovi derivati;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alkani, alkeni in alkini z dolžino ogljikove verige C12 ali več;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mono-, di- in trigliceridi;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voski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E4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MCT (srednjeverižni trigliceridi)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CE29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Vdihavanje ali aspiracija lipidov (maščobne/oljne snovi) velja za glavni vzrok razvoja eksogene lipidne pljučnice (kronične pljučnice).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Eksogeno lipidno pljučnico lahko sprožijo mineralna olja ter mastne/maščobne snovi živalskega in rastlinskega izvora.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Ker se znanstvene razlage vedno nanašajo na olja in maščobe ali oljne in maščobne snovi na splošno, bi morale biti za škodljiv učinek na zdravje odločilne oljne/maščobne lastnosti in ne specifična sestava snovi (Hadda in Khilnani 2010, M. Schwaiblmair </w:t>
            </w:r>
            <w:r>
              <w:rPr>
                <w:rStyle w:val="a"/>
                <w:color w:val="000000"/>
                <w:i/>
                <w:iCs/>
              </w:rPr>
              <w:t xml:space="preserve">et al.</w:t>
            </w:r>
            <w:r>
              <w:rPr>
                <w:rStyle w:val="a"/>
                <w:color w:val="000000"/>
              </w:rPr>
              <w:t xml:space="preserve"> 2010, Nguyen in Oh 2013).</w:t>
            </w:r>
          </w:p>
          <w:p w14:paraId="731C84BB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33F4EFDC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Sklici:</w:t>
            </w:r>
          </w:p>
          <w:p w14:paraId="56A29327" w14:textId="77777777" w:rsidR="00255EB4" w:rsidRPr="00025909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Hadda Vijay in Khilnani Gopi, C.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Lipoid pneumonia: an overview</w:t>
            </w:r>
            <w:r>
              <w:rPr>
                <w:rStyle w:val="a"/>
                <w:color w:val="000000"/>
                <w:sz w:val="11"/>
              </w:rPr>
              <w:t xml:space="preserve"> (Lipoidna pljučnica: pregled).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Expert Review of Respiratory Medicine</w:t>
            </w:r>
            <w:r>
              <w:rPr>
                <w:rStyle w:val="a"/>
                <w:color w:val="000000"/>
                <w:sz w:val="11"/>
              </w:rPr>
              <w:t xml:space="preserve">, zv. 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str. 799–807</w:t>
            </w:r>
            <w:hyperlink r:id="rId1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 https://doi.org/10.1586/ers.10.74</w:t>
              </w:r>
            </w:hyperlink>
          </w:p>
          <w:p w14:paraId="77568942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3E0DE9A7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Nguyen Christopher, D. in Oh Scott, S. (2013).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A Case of Exogenous Lipoid Pneumonia</w:t>
            </w:r>
            <w:r>
              <w:rPr>
                <w:rStyle w:val="a"/>
                <w:color w:val="000000"/>
                <w:sz w:val="11"/>
              </w:rPr>
              <w:t xml:space="preserve"> (Primer eksogene lipoidne pljučnice).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Respiratory Care</w:t>
            </w:r>
            <w:r>
              <w:rPr>
                <w:rStyle w:val="a"/>
                <w:color w:val="000000"/>
                <w:sz w:val="11"/>
              </w:rPr>
              <w:t xml:space="preserve">, zv. 58(3): e23-e27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10.4187)respcare.01727.</w:t>
            </w:r>
          </w:p>
          <w:p w14:paraId="35F41CE7" w14:textId="2161BFF5" w:rsidR="00255EB4" w:rsidRPr="00025909" w:rsidRDefault="00255EB4">
            <w:pPr>
              <w:pStyle w:val="a0"/>
              <w:spacing w:line="257" w:lineRule="auto"/>
            </w:pPr>
            <w:hyperlink r:id="rId14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https://rc.rcjournal.com/content/respcare/58/3/e23.full.pdf</w:t>
              </w:r>
            </w:hyperlink>
          </w:p>
          <w:p w14:paraId="21DAE37F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  <w:lang w:val="it-IT"/>
              </w:rPr>
            </w:pPr>
          </w:p>
          <w:p w14:paraId="7105ACAC" w14:textId="77777777" w:rsidR="00255EB4" w:rsidRPr="00555190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M. Schwaiblmair,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et al.</w:t>
            </w:r>
            <w:r>
              <w:rPr>
                <w:rStyle w:val="a"/>
                <w:color w:val="000000"/>
                <w:sz w:val="11"/>
              </w:rPr>
              <w:t xml:space="preserve">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Lipid pneumonia – an underestimated syndrome?</w:t>
            </w:r>
            <w:r>
              <w:rPr>
                <w:rStyle w:val="a"/>
                <w:color w:val="000000"/>
                <w:sz w:val="11"/>
              </w:rPr>
              <w:t xml:space="preserve"> (Lipidna pljučnica – podcenjen sindrom?)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Dtsch Med Wochenschr</w:t>
            </w:r>
            <w:r>
              <w:rPr>
                <w:rStyle w:val="a"/>
                <w:color w:val="000000"/>
                <w:sz w:val="11"/>
              </w:rPr>
              <w:t xml:space="preserve"> 2010;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135(1/02):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str. 27–31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10.1055/s- 0029-1244813.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5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https://www.thieme-connect.com/products/ejournals/abstract/10.1055/s-0029-1244813</w:t>
              </w:r>
            </w:hyperlink>
          </w:p>
          <w:p w14:paraId="3A027EA0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01BE2BC3" w14:textId="7777777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Lee Jin Seong,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et al.</w:t>
            </w:r>
            <w:r>
              <w:rPr>
                <w:rStyle w:val="a"/>
                <w:color w:val="000000"/>
                <w:sz w:val="11"/>
              </w:rPr>
              <w:t xml:space="preserve"> (1998).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Squalene Aspiration Pneumonia: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Thin-Section CT and Histopathologic Findings1</w:t>
            </w:r>
            <w:r>
              <w:rPr>
                <w:rStyle w:val="a"/>
                <w:color w:val="000000"/>
                <w:sz w:val="11"/>
              </w:rPr>
              <w:t xml:space="preserve"> (Skvalenska aspiracijska pljučnica: CT s tankim prerezom in histopatološke ugotovitve1). jkrs, zv. 38(3):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str. 453–458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10.3348/jkrs.1998.38.3.453.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6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http://dx.doi.org/10.3348/jkrs.1998.38.3.453</w:t>
              </w:r>
            </w:hyperlink>
          </w:p>
        </w:tc>
      </w:tr>
      <w:tr w:rsidR="00255EB4" w:rsidRPr="00555190" w14:paraId="60353643" w14:textId="77777777">
        <w:trPr>
          <w:trHeight w:val="20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B266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CABF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Skvalan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C9D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1C9F074" w14:textId="77777777">
        <w:trPr>
          <w:trHeight w:val="206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6F9D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B212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Skvalen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B3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A2B464" w14:textId="77777777">
        <w:trPr>
          <w:trHeight w:val="4229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1A73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5608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53EA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BE6592" w14:textId="77777777">
        <w:trPr>
          <w:trHeight w:val="173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F1AB3" w14:textId="1D7B83D3" w:rsidR="00255EB4" w:rsidRPr="00555190" w:rsidRDefault="00000000" w:rsidP="00555190">
            <w:pPr>
              <w:pStyle w:val="a0"/>
              <w:tabs>
                <w:tab w:val="left" w:pos="376"/>
              </w:tabs>
            </w:pPr>
            <w:r>
              <w:rPr>
                <w:rStyle w:val="a"/>
                <w:color w:val="000000"/>
              </w:rPr>
              <w:t xml:space="preserve">2.7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Kolofonija, smola ali smolne kisline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00B9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Abietinska kislina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3D8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Smolni hlapi so razvrščeni kot povzročitelji preobčutljivosti dihal in možni sprožilci astme.</w:t>
            </w:r>
          </w:p>
          <w:p w14:paraId="53F9493D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2188614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Sklici:</w:t>
            </w:r>
          </w:p>
          <w:p w14:paraId="0808C1D4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HSE Health and Safety Executive (izvršilni organ za zdravje in varnost HSE)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Astmagen?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Critical assessments of the evidence for agents implicated in occupational asthma</w:t>
            </w:r>
            <w:r>
              <w:rPr>
                <w:rStyle w:val="a"/>
                <w:color w:val="000000"/>
                <w:sz w:val="11"/>
              </w:rPr>
              <w:t xml:space="preserve"> (Astmagen? Kritične ocene dokazov o povzročiteljih poklicne astme).</w:t>
            </w:r>
          </w:p>
          <w:p w14:paraId="53009E1B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17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https://www.hse.gov.uk/asthma/asthmagen.pdf</w:t>
              </w:r>
            </w:hyperlink>
          </w:p>
        </w:tc>
      </w:tr>
      <w:tr w:rsidR="00255EB4" w:rsidRPr="00555190" w14:paraId="4245D0C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B843A" w14:textId="77777777" w:rsidR="00255EB4" w:rsidRPr="00025909" w:rsidRDefault="00255EB4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C9E6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Pimarična kislina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CC1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B3740DB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6BD3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5511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Izopimarična kislina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2AC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DD2DD3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BFD13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B46D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Palustrična kislina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A521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810C8B" w14:textId="77777777">
        <w:trPr>
          <w:trHeight w:val="504"/>
        </w:trPr>
        <w:tc>
          <w:tcPr>
            <w:tcW w:w="7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3EB3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943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Levopimarična kislina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AF0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56CAF85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3"/>
        <w:gridCol w:w="2674"/>
        <w:gridCol w:w="4090"/>
      </w:tblGrid>
      <w:tr w:rsidR="00255EB4" w:rsidRPr="00555190" w14:paraId="5BD038D0" w14:textId="77777777">
        <w:trPr>
          <w:trHeight w:val="233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675F4" w14:textId="267D0740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2.8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Acetat vitamina 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7E2A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6E9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Acetat vitamina E je tesno povezan močnim povečanjem primerov poškodb pljuč, povezanih z uporabo izdelkov za e-cigarete ali vejpanje, v Združenih državah Amerike leta 2019.</w:t>
            </w:r>
          </w:p>
          <w:p w14:paraId="556BD566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C367059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Sklici:</w:t>
            </w:r>
          </w:p>
          <w:p w14:paraId="4D71233E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CDC (Centers for Disease Control and Prevention – centri za obvladovanje in preprečevanje bolezni):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Outbreak of Lung Injury Associated with the Use of E-Cigarette, or Vaping, Products</w:t>
            </w:r>
            <w:r>
              <w:rPr>
                <w:rStyle w:val="a"/>
                <w:color w:val="000000"/>
                <w:sz w:val="11"/>
              </w:rPr>
              <w:t xml:space="preserve"> (Močno povečanje primerov poškodb pljuč, povezanih z uporabo izdelkov za e-cigarete ali vejpanje)</w:t>
            </w:r>
          </w:p>
          <w:p w14:paraId="4F80F513" w14:textId="6C8F3856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</w:t>
            </w:r>
            <w:hyperlink r:id="rId18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https://www.cdc.gov/tobacco/basic_information/e-cigarettes/severe-lung-disease.html</w:t>
              </w:r>
            </w:hyperlink>
            <w:r>
              <w:rPr>
                <w:rStyle w:val="a"/>
                <w:color w:val="000000"/>
                <w:sz w:val="11"/>
              </w:rPr>
              <w:t xml:space="preserve">)</w:t>
            </w:r>
          </w:p>
          <w:p w14:paraId="3AA3B6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2146C5BA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Blount Benjamin, C.,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et al.</w:t>
            </w:r>
            <w:r>
              <w:rPr>
                <w:rStyle w:val="a"/>
                <w:color w:val="000000"/>
                <w:sz w:val="11"/>
              </w:rPr>
              <w:t xml:space="preserve">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Vitamin E Acetate in Bronchoalveolar-Lavage Fluid Associated with EVALI</w:t>
            </w:r>
            <w:r>
              <w:rPr>
                <w:rStyle w:val="a"/>
                <w:color w:val="000000"/>
                <w:sz w:val="11"/>
              </w:rPr>
              <w:t xml:space="preserve"> (Acetat vitamina E v bronhoalveolarnem izpirku, povezan s poškodbami pljuč, povezanimi z uporabo izdelkov za e-cigarete ali vejpanje).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New England Journal of Medicine</w:t>
            </w:r>
            <w:r>
              <w:rPr>
                <w:rStyle w:val="a"/>
                <w:color w:val="000000"/>
                <w:sz w:val="11"/>
              </w:rPr>
              <w:t xml:space="preserve">, zv. 382(8):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str. 697–705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31C32A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  <w:u w:val="single"/>
              </w:rPr>
              <w:t xml:space="preserve">10.1056/NEJMoa1916433.</w:t>
            </w:r>
            <w:hyperlink r:id="rId1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https://www.nejm.org/doi/full/10.1056/NEJMoa191643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3</w:t>
            </w:r>
          </w:p>
        </w:tc>
      </w:tr>
      <w:tr w:rsidR="00255EB4" w:rsidRPr="00025909" w14:paraId="60A243F4" w14:textId="77777777">
        <w:trPr>
          <w:trHeight w:val="154"/>
        </w:trPr>
        <w:tc>
          <w:tcPr>
            <w:tcW w:w="7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5EF9" w14:textId="258BF4AC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2.9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Diacetil in nekateri strukturni analogi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8676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Diacetil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9D72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Diacetil in 2,3-pentadion lahko pri vdihavanju povzročita hudo vnetje in bolezni dihal.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Kot previdnostni ukrep se priporoča razširitev prepovedi na strukturna analoga 2,3-heksadion in 2,3-heptadion.</w:t>
            </w:r>
          </w:p>
          <w:p w14:paraId="669F3BF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0AEF1AE0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Sklici:</w:t>
            </w:r>
          </w:p>
          <w:p w14:paraId="11E6AB8A" w14:textId="77777777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(komisija za MAK) (2015), Diacetil [dokumentacija z vrednostjo MAK v nemščini, 2015].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The MAK-Collection for Occupational Health and Safety</w:t>
            </w:r>
            <w:r>
              <w:rPr>
                <w:rStyle w:val="a"/>
                <w:color w:val="000000"/>
                <w:sz w:val="11"/>
              </w:rPr>
              <w:t xml:space="preserve">, str. 1–42.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0" w:history="1">
              <w:r>
                <w:rPr>
                  <w:rStyle w:val="a"/>
                  <w:color w:val="000000"/>
                  <w:sz w:val="11"/>
                </w:rPr>
                <w:t xml:space="preserve">https://doi.org/10.1002/3527600418.mb43103d0058</w:t>
              </w:r>
            </w:hyperlink>
            <w:r>
              <w:rPr>
                <w:rStyle w:val="a"/>
                <w:color w:val="000000"/>
                <w:sz w:val="11"/>
              </w:rPr>
              <w:t xml:space="preserve">.</w:t>
            </w:r>
          </w:p>
          <w:p w14:paraId="63DC81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594F8E65" w14:textId="77777777" w:rsidR="00255EB4" w:rsidRPr="00025909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  <w:u w:val="single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(komisija za MAK) (2017). 2,3-pentandion [dokumentacija z vrednostjo MAK v nemščini, 2017].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Safety, 135160.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https://doi.org/10.1002/3527600418.mb60014d0062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.</w:t>
            </w:r>
          </w:p>
          <w:p w14:paraId="2C84E059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5C169A8C" w14:textId="77777777" w:rsidR="00255EB4" w:rsidRPr="00555190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BfR (nemški zvezni inštitut za oceno tveganja)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Zdravstvena ocena dodatkov za tobačne izdelke in elektronske cigarete.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(v nemščini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Gesundheitliche Bewertung von Zusatzstoffen für Tabakerzeugnisse und elektronische Zigaretten</w:t>
            </w:r>
            <w:r>
              <w:rPr>
                <w:rStyle w:val="a"/>
                <w:color w:val="000000"/>
                <w:sz w:val="11"/>
              </w:rPr>
              <w:t xml:space="preserve">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Mnenje BfR št. 045/2015 z dne 30. julija 2015.</w:t>
            </w:r>
          </w:p>
          <w:p w14:paraId="012EDEE8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6A33CF3D" w14:textId="77777777" w:rsidR="00255EB4" w:rsidRPr="00555190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https://www.bfr.bund.de/cm/343/gesundheitliche-bewertung-von-zusatzstoffen-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fuer-tabakerzeugnisse-und-elektronische-zigaretten.pdf</w:t>
            </w:r>
          </w:p>
        </w:tc>
      </w:tr>
      <w:tr w:rsidR="00255EB4" w:rsidRPr="00555190" w14:paraId="736A2820" w14:textId="77777777">
        <w:trPr>
          <w:trHeight w:val="206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5DDF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0AC3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2,3-pentadion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73E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0D387A5" w14:textId="77777777">
        <w:trPr>
          <w:trHeight w:val="211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2513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2223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2,3-heksadion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8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AAD57D" w14:textId="77777777">
        <w:trPr>
          <w:trHeight w:val="2434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0798DD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01A8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2,3-heptadion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328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39561E" w14:textId="77777777">
        <w:trPr>
          <w:trHeight w:val="14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CF1D4" w14:textId="05363CD6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2.10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Grenko mandljevo olje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63A0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9CA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Grenko mandljevo olje lahko naravno vsebuje cianovodikovo kislino.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Cianovodikova kislina je močen strup, ki lahko paralizira centralni respiratorni sistem.</w:t>
            </w:r>
          </w:p>
          <w:p w14:paraId="30573D9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4CED828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Sklici:</w:t>
            </w:r>
          </w:p>
          <w:p w14:paraId="3E476533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(komisija za MAK)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Vodikov cianid, kalijev in natrijev cianid [dokumentacija z vrednostjo MAK</w:t>
            </w:r>
          </w:p>
          <w:p w14:paraId="54023A4E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v nemščini, 2001].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The MAK-Collection for Occupational</w:t>
            </w:r>
          </w:p>
          <w:p w14:paraId="7483A7F0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  <w:i/>
                <w:iCs/>
              </w:rPr>
              <w:t xml:space="preserve">Health and Safety</w:t>
            </w:r>
            <w:r>
              <w:rPr>
                <w:rStyle w:val="a"/>
                <w:color w:val="000000"/>
                <w:sz w:val="11"/>
              </w:rPr>
              <w:t xml:space="preserve">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str. 1–19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79CE87B6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https://doi.org/10.1002/3527600418.mb7490verd0032.https://onlinelibrary.wiley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.com/doi/abs/10.1002/3527600418. mb7490verd0032</w:t>
            </w:r>
          </w:p>
        </w:tc>
      </w:tr>
    </w:tbl>
    <w:p w14:paraId="49A98042" w14:textId="77777777" w:rsidR="00255EB4" w:rsidRPr="00025909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485"/>
        <w:gridCol w:w="3561"/>
        <w:gridCol w:w="3692"/>
      </w:tblGrid>
      <w:tr w:rsidR="00255EB4" w:rsidRPr="00555190" w14:paraId="4DC47012" w14:textId="77777777" w:rsidTr="00025909">
        <w:trPr>
          <w:trHeight w:val="485"/>
        </w:trPr>
        <w:tc>
          <w:tcPr>
            <w:tcW w:w="14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AA4923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Prepovedane sestavine v tobačnih izdelkih</w:t>
            </w:r>
          </w:p>
        </w:tc>
      </w:tr>
      <w:tr w:rsidR="00555190" w:rsidRPr="00025909" w14:paraId="309C2D5C" w14:textId="77777777" w:rsidTr="00025909">
        <w:trPr>
          <w:trHeight w:val="216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0C50C3" w14:textId="77777777" w:rsidR="00555190" w:rsidRPr="00555190" w:rsidRDefault="0055519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Kategorije snovi, vključno s pravno podlago za prepoved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9E68A6" w14:textId="566EA66D" w:rsidR="00555190" w:rsidRPr="00555190" w:rsidRDefault="00555190">
            <w:pPr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6"/>
              </w:rPr>
              <w:t xml:space="preserve">Primeri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A217542" w14:textId="77777777" w:rsidR="00555190" w:rsidRPr="00555190" w:rsidRDefault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Dodatna utemeljitev prepovedi</w:t>
            </w:r>
          </w:p>
        </w:tc>
      </w:tr>
      <w:tr w:rsidR="00255EB4" w:rsidRPr="00555190" w14:paraId="6C1BBE6F" w14:textId="77777777" w:rsidTr="00025909">
        <w:trPr>
          <w:trHeight w:val="5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7284E7BA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FBACB72" w14:textId="77777777" w:rsidR="00255EB4" w:rsidRPr="00555190" w:rsidRDefault="00000000" w:rsidP="00555190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Vitamini ali drugi dodatki, ki ustvarjajo vtis, da tobačni izdelek koristi zdravju ali da predstavlja zmanjšano tveganje za zdravje.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(Člen 8b(2), točka 1, zakona o tobaku in zaščiti nekadilcev)</w:t>
            </w:r>
          </w:p>
        </w:tc>
      </w:tr>
      <w:tr w:rsidR="00255EB4" w:rsidRPr="00025909" w14:paraId="46A0E861" w14:textId="77777777" w:rsidTr="00025909">
        <w:trPr>
          <w:trHeight w:val="4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A96C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21933C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Vitamini s seznama Unije v Prilogi iz člena 15 Uredbe (EU) št. 609/2013, kakor je bila spremenjena.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A608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0A8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613F215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FB233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6403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Aminokisline in njihovi derivati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CEF3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F6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374D59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ADAC9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E80B9E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Analgetiki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2618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23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1033C79" w14:textId="77777777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EFF71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4BA4DB0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Sestavine, vključno s predelanimi sestavinami, izvlečki in olja </w:t>
            </w:r>
            <w:r>
              <w:rPr>
                <w:rStyle w:val="a"/>
                <w:color w:val="000000"/>
                <w:sz w:val="14"/>
                <w:b/>
              </w:rPr>
              <w:t xml:space="preserve">rastline konoplje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341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F45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EBE7F81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3B9A2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65673A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Kanabinoidi (naravnega ali sintetičnega izvora)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5DAB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Kanabidiol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4C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8C7BC2C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D2E57B3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65E72DB7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1AE7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E845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0AAFFAC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18AB12A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0BB4F2F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9770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D67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D2F9344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F5A07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D91A4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Hormoni in hormonom podobne snovi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904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5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FD7AE94" w14:textId="77777777">
        <w:trPr>
          <w:trHeight w:val="1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16D7F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29128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Flavonoidi in fosfolipidi z antioksidacijskimi učinki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774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1C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07EE9E2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2FE6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72C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Drugo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A89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Holin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40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94437CB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FDF68A0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8BDC70C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9FA3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Holin klorid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F3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988C25E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91D61EE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742B2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B11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Holin hidroksid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E18C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1C45D7A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E9535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D283BA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45A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Holin citrat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66C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82E158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542E218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1E885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B684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Holin tartrat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CF2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C4DEDD2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AFC9EA7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85F58D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FB3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3A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78DB8A6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4A94A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D91BB7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070C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S-adenozil metionin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92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AB29715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2F1A2A1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AF8CA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39CD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L-5-hidroksitriptofan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AE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4AC01BD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305AECA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2B367FF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8F04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34F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B72463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5CB871B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C0AC9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C5E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E4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E09F343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6BFBE37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95370F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1172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 hidroklorid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38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9426D6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EC60F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F404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0B6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L-karnitin-L-tartrat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D7A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7AE8625" w14:textId="77777777">
        <w:trPr>
          <w:trHeight w:val="197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46BB75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364B9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E95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Natrijev selenit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B2B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88EDD5" w14:textId="77777777" w:rsidTr="00025909">
        <w:trPr>
          <w:trHeight w:val="2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7D5D22B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09A842" w14:textId="77777777" w:rsidR="00255EB4" w:rsidRPr="002B5C56" w:rsidRDefault="00000000" w:rsidP="002B5C56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Kofein ali tavrin ali drugi dodatki in poživila, ki so povezani z energijo in vitalnostjo (člen 8b(2), točka 2, zakona o tobaku in zaščiti nekadilcev)</w:t>
            </w:r>
          </w:p>
        </w:tc>
      </w:tr>
      <w:tr w:rsidR="00255EB4" w:rsidRPr="00555190" w14:paraId="641D2DDA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A18AF9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15EC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95DAAE1" w14:textId="77777777" w:rsidTr="00025909">
        <w:trPr>
          <w:trHeight w:val="3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ECDF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004F8" w14:textId="77777777" w:rsidR="00255EB4" w:rsidRPr="00555190" w:rsidRDefault="00000000">
            <w:pPr>
              <w:pStyle w:val="a0"/>
              <w:spacing w:line="252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Sestavine, vključno s predelanimi sestavinami, izvlečki in olja </w:t>
            </w:r>
            <w:r>
              <w:rPr>
                <w:rStyle w:val="a"/>
                <w:color w:val="000000"/>
                <w:sz w:val="14"/>
                <w:b/>
              </w:rPr>
              <w:t xml:space="preserve">kavovca</w:t>
            </w:r>
            <w:r>
              <w:rPr>
                <w:rStyle w:val="a"/>
                <w:color w:val="000000"/>
                <w:sz w:val="14"/>
              </w:rPr>
              <w:t xml:space="preserve"> in </w:t>
            </w:r>
            <w:r>
              <w:rPr>
                <w:rStyle w:val="a"/>
                <w:color w:val="000000"/>
                <w:sz w:val="14"/>
                <w:b/>
              </w:rPr>
              <w:t xml:space="preserve">njegovih zrn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9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EA1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7C4A3C6E" w14:textId="77777777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165DD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E5D86E1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Sestavine, vključno s predelanimi sestavinami, izvlečki in olja </w:t>
            </w:r>
            <w:r>
              <w:rPr>
                <w:rStyle w:val="a"/>
                <w:color w:val="000000"/>
                <w:sz w:val="14"/>
                <w:b/>
              </w:rPr>
              <w:t xml:space="preserve">čajevca </w:t>
            </w:r>
            <w:r>
              <w:rPr>
                <w:rStyle w:val="a"/>
                <w:color w:val="000000"/>
                <w:sz w:val="14"/>
                <w:i/>
                <w:iCs/>
              </w:rPr>
              <w:t xml:space="preserve">Camellia sinensis</w:t>
            </w:r>
            <w:r>
              <w:rPr>
                <w:rStyle w:val="a"/>
                <w:color w:val="000000"/>
                <w:sz w:val="14"/>
              </w:rPr>
              <w:t xml:space="preserve"> (L.) Kuntze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C5D6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EF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A55B80B" w14:textId="77777777" w:rsidTr="002B5C56">
        <w:trPr>
          <w:trHeight w:val="2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D3415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C3E7A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Sestavine, vključno s predelanimi sestavinami, izvlečki in olja </w:t>
            </w:r>
            <w:r>
              <w:rPr>
                <w:rStyle w:val="a"/>
                <w:color w:val="000000"/>
                <w:sz w:val="14"/>
                <w:b/>
              </w:rPr>
              <w:t xml:space="preserve">rastline gvarane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3D0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E82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25DD7E1" w14:textId="77777777" w:rsidTr="002B5C56">
        <w:trPr>
          <w:trHeight w:val="2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23C1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048EE4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Sestavine, vključno s predelanimi sestavinami, izvlečki in olja </w:t>
            </w:r>
            <w:r>
              <w:rPr>
                <w:rStyle w:val="a"/>
                <w:color w:val="000000"/>
                <w:sz w:val="14"/>
                <w:b/>
              </w:rPr>
              <w:t xml:space="preserve">matečaja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765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37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A352A29" w14:textId="77777777">
        <w:trPr>
          <w:trHeight w:val="3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FBAB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431BC2FF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Sestavine, vključno s predelanimi sestavinami, izvlečki in olja </w:t>
            </w:r>
            <w:r>
              <w:rPr>
                <w:rStyle w:val="a"/>
                <w:color w:val="000000"/>
                <w:sz w:val="14"/>
                <w:b/>
              </w:rPr>
              <w:t xml:space="preserve">kole</w:t>
            </w:r>
            <w:r>
              <w:rPr>
                <w:rStyle w:val="a"/>
                <w:color w:val="000000"/>
                <w:sz w:val="14"/>
              </w:rPr>
              <w:t xml:space="preserve"> ali </w:t>
            </w:r>
            <w:r>
              <w:rPr>
                <w:rStyle w:val="a"/>
                <w:color w:val="000000"/>
                <w:sz w:val="14"/>
                <w:b/>
              </w:rPr>
              <w:t xml:space="preserve">njenih semen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47E7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50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D2FF316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F1F9E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78CB721" w14:textId="77777777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Drugo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A58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Maltodekstrin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DE5A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5E58658" w14:textId="77777777" w:rsidTr="00025909">
        <w:trPr>
          <w:trHeight w:val="182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D6E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23D156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9F0D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Inozitol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58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8E90544" w14:textId="77777777" w:rsidTr="00025909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15F9F3B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C6C7C4B" w14:textId="77777777" w:rsidR="00255EB4" w:rsidRPr="002B5C56" w:rsidRDefault="00000000">
            <w:pPr>
              <w:pStyle w:val="a0"/>
              <w:shd w:val="clear" w:color="auto" w:fill="808080"/>
              <w:ind w:firstLine="36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Dodatki z barvilnimi lastnostmi za emisije.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(Člen 8b(2), točka 3, zakona o tobaku in zaščiti nekadilcev)</w:t>
            </w:r>
          </w:p>
        </w:tc>
      </w:tr>
      <w:tr w:rsidR="00255EB4" w:rsidRPr="00555190" w14:paraId="68A16A54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E7BC82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B9B6A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1378F8CD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68"/>
        <w:gridCol w:w="3802"/>
        <w:gridCol w:w="3240"/>
        <w:gridCol w:w="3374"/>
      </w:tblGrid>
      <w:tr w:rsidR="00255EB4" w:rsidRPr="00025909" w14:paraId="558500D0" w14:textId="77777777" w:rsidTr="0033216F">
        <w:trPr>
          <w:trHeight w:val="1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2ED939C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4.</w:t>
            </w:r>
          </w:p>
        </w:tc>
        <w:tc>
          <w:tcPr>
            <w:tcW w:w="1238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4497EC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Dodatki, ki olajšajo vdihavanje ali vnos nikotina, za tobačne izdelke (člen 8b(2), točka 4, zakona o tobaku in zaščiti nekadilcev)</w:t>
            </w:r>
          </w:p>
        </w:tc>
      </w:tr>
      <w:tr w:rsidR="00255EB4" w:rsidRPr="00025909" w14:paraId="1DCC306B" w14:textId="77777777" w:rsidTr="0033216F">
        <w:trPr>
          <w:trHeight w:val="276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A7D21B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23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83A13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DC72AC" w14:textId="77777777" w:rsidTr="0033216F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A3B42" w14:textId="77777777" w:rsidR="00255EB4" w:rsidRPr="00555190" w:rsidRDefault="00000000">
            <w:pPr>
              <w:pStyle w:val="a0"/>
              <w:ind w:firstLine="36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4.1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02A45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 in analogi, agonisti TRPM-8, „hladilne spojine“, „sintetična hladilna sredstva“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263F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P-mentan-3-substituirane in modificirane spojine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2F9B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BCDD" w14:textId="77777777" w:rsidR="00255EB4" w:rsidRDefault="00000000">
            <w:pPr>
              <w:pStyle w:val="a0"/>
              <w:spacing w:line="276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Vse snovi ali zmesi s hladilnimi ali analgetičnimi učinki se štejejo za snovi, ki olajšajo vdihavanje.</w:t>
            </w:r>
          </w:p>
          <w:p w14:paraId="5C350D88" w14:textId="77777777" w:rsidR="002B5C56" w:rsidRPr="00555190" w:rsidRDefault="002B5C56">
            <w:pPr>
              <w:pStyle w:val="a0"/>
              <w:spacing w:line="276" w:lineRule="auto"/>
              <w:rPr>
                <w:sz w:val="12"/>
                <w:szCs w:val="12"/>
                <w:lang w:val="de-DE"/>
              </w:rPr>
            </w:pPr>
          </w:p>
          <w:p w14:paraId="363741A7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Sklic:</w:t>
            </w:r>
          </w:p>
          <w:p w14:paraId="00DE7592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  <w:i/>
                <w:iCs/>
              </w:rPr>
              <w:t xml:space="preserve">Joint Action on Tobacco control WP9: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  <w:i/>
                <w:iCs/>
              </w:rPr>
              <w:t xml:space="preserve">D9.3 Report on the peer review of the enhanced reporting information on priority additives</w:t>
            </w:r>
            <w:r>
              <w:rPr>
                <w:rStyle w:val="a"/>
                <w:color w:val="000000"/>
                <w:sz w:val="10"/>
              </w:rPr>
              <w:t xml:space="preserve"> (Delovni sveženj 9 za skupno ukrepanje na področju nazora tobaka: poročilo D9.3 o strokovnem pregledu izboljšanih informacij za poročanje o prednostnih aditivih).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RIVM, BfR, ANSES, NIPH, ISS in WP 9 Independent Review Panel.</w:t>
            </w:r>
          </w:p>
          <w:p w14:paraId="7151039B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Datum: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3.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december 2020</w:t>
            </w:r>
          </w:p>
          <w:p w14:paraId="4C043989" w14:textId="77777777" w:rsidR="00255EB4" w:rsidRPr="00025909" w:rsidRDefault="00000000">
            <w:pPr>
              <w:pStyle w:val="a0"/>
              <w:spacing w:line="271" w:lineRule="auto"/>
              <w:rPr>
                <w:rStyle w:val="a"/>
                <w:color w:val="000000"/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Ref. št. dok.: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</w:t>
            </w:r>
          </w:p>
          <w:p w14:paraId="296CD813" w14:textId="77777777" w:rsidR="002B5C56" w:rsidRPr="00025909" w:rsidRDefault="002B5C56">
            <w:pPr>
              <w:pStyle w:val="a0"/>
              <w:spacing w:line="271" w:lineRule="auto"/>
              <w:rPr>
                <w:sz w:val="10"/>
                <w:szCs w:val="10"/>
              </w:rPr>
            </w:pPr>
          </w:p>
          <w:p w14:paraId="59201542" w14:textId="77777777" w:rsidR="00255EB4" w:rsidRPr="00025909" w:rsidRDefault="00255EB4">
            <w:pPr>
              <w:pStyle w:val="a0"/>
              <w:spacing w:line="266" w:lineRule="auto"/>
              <w:rPr>
                <w:sz w:val="10"/>
                <w:szCs w:val="10"/>
              </w:rPr>
            </w:pPr>
            <w:hyperlink r:id="rId24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https://jaotc.eu/wp-content/uploads/2021/04/D9.3-Report-on-the-peer-review-of-the-enhanced-reporting-information-on-priority-additives.pdf</w:t>
              </w:r>
            </w:hyperlink>
          </w:p>
        </w:tc>
      </w:tr>
      <w:tr w:rsidR="00255EB4" w:rsidRPr="00555190" w14:paraId="1372039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280754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DE8FF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636B" w14:textId="77777777" w:rsidR="00255EB4" w:rsidRPr="00025909" w:rsidRDefault="00000000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P-mentan-3-karboksamid, vključno s p-mentan-3-N-alkilkarboksamidom in p-mentan-3-N-arilkarboksamidom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2BF1C" w14:textId="77777777" w:rsidR="00255EB4" w:rsidRPr="00025909" w:rsidRDefault="00255EB4"/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7AB3" w14:textId="77777777" w:rsidR="00255EB4" w:rsidRPr="00025909" w:rsidRDefault="00255EB4"/>
        </w:tc>
      </w:tr>
      <w:tr w:rsidR="00255EB4" w:rsidRPr="00555190" w14:paraId="4C7A95A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0742D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59E4A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662B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P-mentan-3-ester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45B4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E67A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07511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C25C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1EB4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E90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P-mentan-3-eter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475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06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5464E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BE18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C659D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DD5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P-mentan-3-karboksilne kisline in njihovi estri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44D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96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DB61F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5F3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2EB4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989C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Druge p-mentan-3-substituirane in modificirane spojine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7F9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4B6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0D7CB4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DDD2C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C0BA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742E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P-mentanski alkoholi in njihovi estri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1E9E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645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32B335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9D1C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67F5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FC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Primeri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99FF0" w14:textId="77777777" w:rsidR="00255EB4" w:rsidRPr="00025909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N-etil-p-mentan-3-karboksamid (WS-3)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9CA4" w14:textId="77777777" w:rsidR="00255EB4" w:rsidRPr="00025909" w:rsidRDefault="00255EB4"/>
        </w:tc>
      </w:tr>
      <w:tr w:rsidR="00255EB4" w:rsidRPr="00555190" w14:paraId="7AB86C0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D82E0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27EEE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7C22BD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D81EE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2-izopropil-5-metil-cikloheksankarboksilna kislina (4-metoksifenil) amid (WS-12)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E5610" w14:textId="77777777" w:rsidR="00255EB4" w:rsidRPr="00025909" w:rsidRDefault="00255EB4"/>
        </w:tc>
      </w:tr>
      <w:tr w:rsidR="00255EB4" w:rsidRPr="00025909" w14:paraId="7446709F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15BFBC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94BC4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C6815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1CB38" w14:textId="77777777" w:rsidR="00255EB4" w:rsidRPr="00025909" w:rsidRDefault="00000000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(1R,2S,5R)-N-((etoksikarbonil)metil)-p-mentan-3-karboksamid (WS-5)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D1CC" w14:textId="77777777" w:rsidR="00255EB4" w:rsidRPr="00025909" w:rsidRDefault="00255EB4">
            <w:pPr>
              <w:rPr>
                <w:lang w:val="pt-BR"/>
              </w:rPr>
            </w:pPr>
          </w:p>
        </w:tc>
      </w:tr>
      <w:tr w:rsidR="002B5C56" w:rsidRPr="002B5C56" w14:paraId="0415078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B8B15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F38044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8C9029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35E78" w14:textId="1B678DA9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N-terc-butil-p-mentan-3-karboksamid (WS-14)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F8D0" w14:textId="77777777" w:rsidR="002B5C56" w:rsidRPr="002B5C56" w:rsidRDefault="002B5C56" w:rsidP="002B5C56"/>
        </w:tc>
      </w:tr>
      <w:tr w:rsidR="002B5C56" w:rsidRPr="002B5C56" w14:paraId="309E6A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E6F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A5E5AC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8CB68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0190A" w14:textId="58ED8BA2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2-izopropil-N,2,3-trimetilbutiramid (WS-23)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80AE" w14:textId="77777777" w:rsidR="002B5C56" w:rsidRPr="002B5C56" w:rsidRDefault="002B5C56" w:rsidP="002B5C56"/>
        </w:tc>
      </w:tr>
      <w:tr w:rsidR="002B5C56" w:rsidRPr="002B5C56" w14:paraId="58BC38F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2E20D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6E10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33D8F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D4808" w14:textId="33D7F321" w:rsidR="002B5C56" w:rsidRPr="002B5C56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N-(p-mentan-3-karbonil)-D-alanin etil ester (CPS-369, WS-109)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0D68" w14:textId="77777777" w:rsidR="002B5C56" w:rsidRPr="002B5C56" w:rsidRDefault="002B5C56" w:rsidP="002B5C56"/>
        </w:tc>
      </w:tr>
      <w:tr w:rsidR="002B5C56" w:rsidRPr="00555190" w14:paraId="2B6553F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E1DC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28CD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1A7F7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56761" w14:textId="6D66691E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N-(4-fluorofenil)-p-mentan-3-karboksamid (CPS-124)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B40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3645E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E3DD5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FDF1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0DAEC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6C330" w14:textId="42940EFA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CPS-125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D97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17D75B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C0E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E5B93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0783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1612C" w14:textId="77777777" w:rsidR="002B5C56" w:rsidRPr="00555190" w:rsidRDefault="002B5C56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N-(4-etoksifenil)-p-mentan-3-karboksamid (CPS-128)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CAF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CC1229D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1E9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B709B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C14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AA793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CPS-368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73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615191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9C3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AA66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BDAE2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F02F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Mentil laktat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37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34184E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01CA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763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744D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1880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Mentoksipropan-1,2-diol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CFFE3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2FE607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458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F83D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2BB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082F6" w14:textId="77777777" w:rsidR="002B5C56" w:rsidRPr="00555190" w:rsidRDefault="002B5C56" w:rsidP="002B5C56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2-izopropil-5-metilcikloheksankarbonilna kislina 2,3-dihidroksi-propil ester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E79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6F8DB9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C81E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63FA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05DEB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EBB0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 1,2-glicerol ketal (Frescolat MGA)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A92A7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914303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D48A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856B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307C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EA66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Monomentil sukcinat (Frescolat ML)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84F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D43229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A1C5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F4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0138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AAFF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Mentil-3-hidroksibutirat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C480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29CC11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28E4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87BF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9054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C5E5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Mentil acetat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135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759769D9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A91F5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245A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E9B5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9F681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 etilenglikol karbonat (Frescolat MGC)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788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7DB6F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C4A59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2549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34B6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19D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2,3-dihidroksipropil p-mentan-3-karboksilat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1C5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D99292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5A13E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A5C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8A2D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BD5E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Cis-p-mentan-3,8-diol (PMD38)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E75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682F2E6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C9A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4B539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D2348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340F0" w14:textId="7BB590C9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Icilin / hladilno sredstvo AG-3-5 (3,4-dihidro-3-(2-hidroksifenil)-6-(3-nitrofenil)-(1H)-pirimidin-2-on)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EFCA6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5F600E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13941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5D19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6320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AC5EF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2-izopropil-N 2,3-trimetilbutiramid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37E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196C2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D38D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98BC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45A0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EF81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Izopulegol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742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17CDFA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4D8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1076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EBF4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C0F2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1-(di-sek-butil-fosfinil)-heptan (W-148, CPS-148)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623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150949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9CA1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F4F57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8F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62B1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5-metil-4-(1-pirolidinil)-3-2H-furanon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B3D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BF830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60B83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874C7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8DB6F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1090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4A8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DBF6BC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103D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D2D8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7F5B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998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4B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773018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6865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C714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36B9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2764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0BB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87F115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F148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94440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01D20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30D1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0E3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0E6175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82E0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9FD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AE9E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D91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(−)-menton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3C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F8ADD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AD07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CD10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ABEB4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E1F05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D1F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A20872E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4A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3FD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FBE1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C3CE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L-karvon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BE9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3CA716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EECF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069A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A8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763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Geraniol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CD1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DFECD1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C77A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36D3E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6B178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2B07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Linalol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34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30B460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E09C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9AC46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E8A5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D6E3D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1,8-cineol (evkaliptol)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FD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282076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8A2DB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8C81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0981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832C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1,4-kineol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D68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B743543" w14:textId="77777777" w:rsidTr="00025909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1D91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26B3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84D1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13E9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Hidroksicitronelal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B6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</w:tbl>
    <w:p w14:paraId="642C470B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160"/>
        <w:gridCol w:w="4176"/>
        <w:gridCol w:w="3562"/>
        <w:gridCol w:w="3706"/>
      </w:tblGrid>
      <w:tr w:rsidR="00255EB4" w:rsidRPr="00555190" w14:paraId="528DFC59" w14:textId="77777777" w:rsidTr="00025909">
        <w:trPr>
          <w:trHeight w:val="17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E6D01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88A70" w14:textId="77777777" w:rsidR="00255EB4" w:rsidRPr="00555190" w:rsidRDefault="00000000">
            <w:pPr>
              <w:pStyle w:val="a0"/>
              <w:spacing w:line="257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Sestavine, vključno s predelanimi sestavinami, izvlečki in olja rastlin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3EB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Meta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CBE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01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D25D0C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6CDC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1374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1FB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Evkaliptus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2E8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6D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031910B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889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C71C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454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Ocimum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83BE6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81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CCCC44D" w14:textId="77777777" w:rsidTr="00025909">
        <w:trPr>
          <w:trHeight w:val="17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5F3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761D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1067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Timus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D26CC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415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D1AD22" w14:textId="77777777" w:rsidTr="00025909">
        <w:trPr>
          <w:trHeight w:val="17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9381D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E99E2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41D3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Salvia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C1E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70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687E1D" w14:textId="77777777" w:rsidTr="00025909">
        <w:trPr>
          <w:trHeight w:val="16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AE0C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4.3</w:t>
            </w:r>
          </w:p>
        </w:tc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0BAC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Nikotinske soli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A5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Nikotinski benzoat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9CAE" w14:textId="77777777" w:rsidR="00255EB4" w:rsidRDefault="00000000">
            <w:pPr>
              <w:pStyle w:val="a0"/>
              <w:spacing w:line="257" w:lineRule="auto"/>
              <w:rPr>
                <w:rStyle w:val="a"/>
                <w:color w:val="000000"/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Nikotinske soli se lahko pri vdihavanju hitreje absorbirajo v telo in povzročijo manj draženja kot nikotin v prosti obliki.</w:t>
            </w:r>
          </w:p>
          <w:p w14:paraId="391B6EE1" w14:textId="77777777" w:rsidR="002B5C56" w:rsidRPr="00555190" w:rsidRDefault="002B5C56">
            <w:pPr>
              <w:pStyle w:val="a0"/>
              <w:spacing w:line="257" w:lineRule="auto"/>
              <w:rPr>
                <w:sz w:val="14"/>
                <w:szCs w:val="14"/>
                <w:lang w:val="de-DE"/>
              </w:rPr>
            </w:pPr>
          </w:p>
          <w:p w14:paraId="4ECEA629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Sklici:</w:t>
            </w:r>
          </w:p>
          <w:p w14:paraId="68C962C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O’Connell Grant,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et al.</w:t>
            </w:r>
            <w:r>
              <w:rPr>
                <w:rStyle w:val="a"/>
                <w:color w:val="000000"/>
                <w:sz w:val="11"/>
              </w:rPr>
              <w:t xml:space="preserve">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A randomised, open-label, cross-over clinical study to evaluate the pharmacokinetic profiles of cigarettes and e-cigarettes with nicotine salt formulations in US adult smokers</w:t>
            </w:r>
            <w:r>
              <w:rPr>
                <w:rStyle w:val="a"/>
                <w:color w:val="000000"/>
                <w:sz w:val="11"/>
              </w:rPr>
              <w:t xml:space="preserve"> (Randomizirana, odprta, navzkrižna klinična študija za oceno farmakokinetičnih profilov cigaret in e-cigaret s formulacijami nikotinske soli pri odraslih kadilcih v ZDA).</w:t>
            </w:r>
          </w:p>
          <w:p w14:paraId="10DEB3F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  <w:i/>
                <w:iCs/>
              </w:rPr>
              <w:t xml:space="preserve">Internal and emergency medicine</w:t>
            </w:r>
            <w:r>
              <w:rPr>
                <w:rStyle w:val="a"/>
                <w:color w:val="000000"/>
                <w:sz w:val="11"/>
              </w:rPr>
              <w:t xml:space="preserve">, zv. 14(6):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str. 853–861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10.1007/s11739-019-02025-</w:t>
            </w:r>
          </w:p>
          <w:p w14:paraId="4AAA3456" w14:textId="77777777" w:rsidR="00255EB4" w:rsidRPr="00025909" w:rsidRDefault="00000000">
            <w:pPr>
              <w:pStyle w:val="a0"/>
              <w:spacing w:line="269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3.https://www.ncbi.nlm.nih.gov/pubmed/30712148</w:t>
            </w:r>
          </w:p>
          <w:p w14:paraId="0E83BCB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5CC2EEAA" w14:textId="730DB6FB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Caldwell Brent,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et al.</w:t>
            </w:r>
            <w:r>
              <w:rPr>
                <w:rStyle w:val="a"/>
                <w:color w:val="000000"/>
                <w:sz w:val="11"/>
              </w:rPr>
              <w:t xml:space="preserve"> (2012).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A Systematic Review of Nicotine by Inhalation: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Is There a Role for the Inhaled Route?</w:t>
            </w:r>
            <w:r>
              <w:rPr>
                <w:rStyle w:val="a"/>
                <w:color w:val="000000"/>
                <w:sz w:val="11"/>
              </w:rPr>
              <w:t xml:space="preserve"> (Sistematični pregled nikotina z vdihavanjem: ali ima inhalacijska pot kakšnen pomen?)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Nicotine &amp; Tobacco Research</w:t>
            </w:r>
            <w:r>
              <w:rPr>
                <w:rStyle w:val="a"/>
                <w:color w:val="000000"/>
                <w:sz w:val="11"/>
              </w:rPr>
              <w:t xml:space="preserve">, zv. 14(10):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str. 1127–1139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D4AE59F" w14:textId="77777777" w:rsidR="00255EB4" w:rsidRPr="00025909" w:rsidRDefault="00000000">
            <w:pPr>
              <w:pStyle w:val="a0"/>
              <w:spacing w:line="269" w:lineRule="auto"/>
            </w:pPr>
            <w:r>
              <w:rPr>
                <w:rStyle w:val="a"/>
                <w:color w:val="000000"/>
                <w:sz w:val="11"/>
              </w:rPr>
              <w:t xml:space="preserve">10.1093/ntr/nts009.</w:t>
            </w:r>
            <w:hyperlink r:id="rId25" w:history="1">
              <w:r>
                <w:rPr>
                  <w:rStyle w:val="a"/>
                  <w:color w:val="000000"/>
                  <w:sz w:val="11"/>
                </w:rPr>
                <w:t xml:space="preserve">https://doi.org/10.1093/ntr/nts009</w:t>
              </w:r>
            </w:hyperlink>
          </w:p>
          <w:p w14:paraId="3E649CE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7D57D3E2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Leventhal, A. M.,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et al.</w:t>
            </w:r>
            <w:r>
              <w:rPr>
                <w:rStyle w:val="a"/>
                <w:color w:val="000000"/>
                <w:sz w:val="11"/>
              </w:rPr>
              <w:t xml:space="preserve">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Effect of Exposure to e-Cigarettes With Salt vs Free-Base Nicotine on the Appeal and Sensory Experience of Vaping: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A Randomized Clinical Trial</w:t>
            </w:r>
            <w:r>
              <w:rPr>
                <w:rStyle w:val="a"/>
                <w:color w:val="000000"/>
                <w:sz w:val="11"/>
              </w:rPr>
              <w:t xml:space="preserve"> (Vpliv, ki ga ima izpostavljenost e-cigaretam s soljo v primerjavi s prostim nikotinom na privlačnost in senzorične izkušnje vejpanja: randomizirano klinično preskušanje).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JAMA Netw Open</w:t>
            </w:r>
            <w:r>
              <w:rPr>
                <w:rStyle w:val="a"/>
                <w:color w:val="000000"/>
                <w:sz w:val="11"/>
              </w:rPr>
              <w:t xml:space="preserve">, zv. 4(1): e2032757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10,1001/jamanetworkopen.2020.32757</w:t>
            </w:r>
          </w:p>
        </w:tc>
      </w:tr>
      <w:tr w:rsidR="00255EB4" w:rsidRPr="00555190" w14:paraId="72506690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ADF8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81CF77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F1C8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 ditartrat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12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28E0E20" w14:textId="77777777" w:rsidTr="00025909">
        <w:trPr>
          <w:trHeight w:val="16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7BA0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EDA167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DAA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 laktat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4C7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E8C864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08AE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B9DE9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B8F4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 levulinat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995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8085BEC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5C951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1D0A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BCE0C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 malat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92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161C6F3" w14:textId="77777777" w:rsidTr="00025909">
        <w:trPr>
          <w:trHeight w:val="245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B27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93C9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73E8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 salicilat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086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F1A0BD3" w14:textId="0A2AC122" w:rsidR="002B5C56" w:rsidRDefault="002B5C56">
      <w:pPr>
        <w:rPr>
          <w:lang w:val="de-DE"/>
        </w:rPr>
      </w:pPr>
    </w:p>
    <w:p w14:paraId="253FEDA0" w14:textId="77777777" w:rsidR="002B5C56" w:rsidRDefault="002B5C56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877"/>
        <w:gridCol w:w="3633"/>
        <w:gridCol w:w="3091"/>
        <w:gridCol w:w="3226"/>
      </w:tblGrid>
      <w:tr w:rsidR="00255EB4" w:rsidRPr="00555190" w14:paraId="1A406E72" w14:textId="77777777" w:rsidTr="00025909">
        <w:trPr>
          <w:trHeight w:val="26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5449CA8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5.</w:t>
            </w:r>
          </w:p>
        </w:tc>
        <w:tc>
          <w:tcPr>
            <w:tcW w:w="118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43AAE60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Dodatki, ki imajo v neizgoreli obliki rakotvorne, mutagene ali za razmnoževanje strupen (CMR) lastnosti.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(Člen 10b(7), točka 3, v povezavi s členom 8b(2), točka 5, zakona o tobaku in zaščiti nekadilcev)</w:t>
            </w:r>
          </w:p>
        </w:tc>
      </w:tr>
      <w:tr w:rsidR="00255EB4" w:rsidRPr="00555190" w14:paraId="17E5959F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4D9CF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18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FB25C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F4D2709" w14:textId="77777777" w:rsidTr="00025909">
        <w:trPr>
          <w:trHeight w:val="11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A31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E1A6C1" w14:textId="77777777" w:rsidR="00255EB4" w:rsidRPr="00555190" w:rsidRDefault="00000000" w:rsidP="00025909">
            <w:pPr>
              <w:pStyle w:val="a0"/>
              <w:spacing w:line="262" w:lineRule="auto"/>
              <w:ind w:right="144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Snovi, ki so v skladu z delom 3 Priloge VI k Uredbi (ES) št. 1272/2008 Evropskega parlamenta in Sveta z dne 16. decembra 2008 o razvrščanju, označevanju in pakiranju snovi ter zmesi, o spremembi in razveljavitvi direktiv 67/548/EGS in 1999/45/ES ter spremembi Uredbe (ES) št. 1907/2006 (UL L 353, 31.12.2006, str. 1), kakor je bila nazadnje spremenjena z Uredbo (EU) 2016/1179 (UL L 195, 20.7.2016, str. 11), razvrščene kot </w:t>
            </w:r>
            <w:r>
              <w:rPr>
                <w:rStyle w:val="a"/>
                <w:color w:val="000000"/>
                <w:sz w:val="12"/>
                <w:b/>
              </w:rPr>
              <w:t xml:space="preserve">snovi CMR kategorije 1A, 1B, 2 ali Lact.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7235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28E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8D5B40" w14:textId="77777777" w:rsidTr="00025909">
        <w:trPr>
          <w:trHeight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F78EE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5.2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2F3BA0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Snovi, ki so v skladu s seznamom razvrstitev Mednarodne agencije za raziskave raka (</w:t>
            </w:r>
            <w:r>
              <w:rPr>
                <w:rStyle w:val="a"/>
                <w:color w:val="000000"/>
                <w:sz w:val="12"/>
                <w:b/>
              </w:rPr>
              <w:t xml:space="preserve">IARC</w:t>
            </w:r>
            <w:r>
              <w:rPr>
                <w:rStyle w:val="a"/>
                <w:color w:val="000000"/>
                <w:sz w:val="12"/>
              </w:rPr>
              <w:t xml:space="preserve">) v zvezi z rakotvornimi učinki pri ljudeh razvrščene v </w:t>
            </w:r>
            <w:r>
              <w:rPr>
                <w:rStyle w:val="a"/>
                <w:color w:val="000000"/>
                <w:sz w:val="12"/>
                <w:b/>
              </w:rPr>
              <w:t xml:space="preserve">skupino 1, 2A ali 2B</w:t>
            </w:r>
            <w:r>
              <w:rPr>
                <w:rStyle w:val="a"/>
                <w:color w:val="000000"/>
                <w:sz w:val="12"/>
              </w:rPr>
              <w:t xml:space="preserve"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F1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64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5B1F717" w14:textId="77777777" w:rsidTr="00025909">
        <w:trPr>
          <w:trHeight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2993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5.3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BB8B4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Snovi, ki so v skladu z nacionalnim programom ZDA za toksikologijo uvrščene med snovi, za katere je znano ali se razumno pričakuje, da povzročajo raka pri ljudeh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9AB4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A7F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D892253" w14:textId="77777777" w:rsidTr="00025909">
        <w:trPr>
          <w:trHeight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0FBF4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5.4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5F1188" w14:textId="06C099AD" w:rsidR="00255EB4" w:rsidRPr="00555190" w:rsidRDefault="00000000" w:rsidP="00025909">
            <w:pPr>
              <w:pStyle w:val="a0"/>
              <w:spacing w:line="259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Snovi, ki jih je komisija za MAK v skladu s </w:t>
            </w:r>
            <w:r>
              <w:rPr>
                <w:rStyle w:val="a"/>
                <w:color w:val="000000"/>
                <w:sz w:val="12"/>
                <w:b/>
              </w:rPr>
              <w:t xml:space="preserve">seznamom vrednosti MAK in BAT</w:t>
            </w:r>
            <w:r>
              <w:rPr>
                <w:rStyle w:val="a"/>
                <w:color w:val="000000"/>
                <w:sz w:val="12"/>
              </w:rPr>
              <w:t xml:space="preserve"> (ki ga je objavila Deutsche Forschungsgemeinschaft (DFG)) uvrstila med rakotvorne snovi kategorije 1, 2, 4 ali 5, kot teratogene snovi v kategorijo A, B ali C in kot mutagene za zarodne celice v kategorijo 1, 2, 3A ali 3B.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0712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1B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4CB6479" w14:textId="77777777" w:rsidTr="00025909"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6D359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5.5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6C749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Snovi, ki jih je Evropska agencija za varnost hrane (EFSA) uvrstila med rakotvorne, mutagene ali strupene za razmnoževanje.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2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499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891F0C3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A5364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5.1–5.5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BE1EF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Primeri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691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Izoforon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9F6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D3DB72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E21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4BD918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A0E7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Piridin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1E2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4C05EB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662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3AA60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0BA2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Mircen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5E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4181FFC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EEB5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8969C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5400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Krizen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50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154D95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FC38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24D596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C91C6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Benzo(a)antracen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37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49BD6E8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315E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00B3D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F56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Benzo(b)fluoranten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92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841083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9056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161B7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79C1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Titanov dioksid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9B4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8C09DE5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46DB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351A92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2DB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Metil evgenol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76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5FCD696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65B4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179924D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0DD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Safrol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AA0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26B10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C0F37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848CD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D47C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Estragol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A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3EE4A2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10C64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25256F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Snovi, ki vplivajo na</w:t>
            </w:r>
          </w:p>
          <w:p w14:paraId="2B19C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reproduktivni sistem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55E3A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Parabeni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C8BF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Propilparaben (propil ester para-hidroksibenzojske kisline)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8C13" w14:textId="77777777" w:rsidR="00255EB4" w:rsidRDefault="00000000">
            <w:pPr>
              <w:pStyle w:val="a0"/>
              <w:spacing w:line="264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Nekateri parabeni kažejo </w:t>
            </w:r>
            <w:r>
              <w:rPr>
                <w:rStyle w:val="a"/>
                <w:color w:val="000000"/>
                <w:sz w:val="12"/>
                <w:i/>
              </w:rPr>
              <w:t xml:space="preserve">in vivo</w:t>
            </w:r>
            <w:r>
              <w:rPr>
                <w:rStyle w:val="a"/>
                <w:color w:val="000000"/>
                <w:sz w:val="12"/>
              </w:rPr>
              <w:t xml:space="preserve"> reprotoksične učinke.</w:t>
            </w:r>
          </w:p>
          <w:p w14:paraId="77BB76E7" w14:textId="77777777" w:rsidR="002B5C56" w:rsidRPr="00555190" w:rsidRDefault="002B5C56">
            <w:pPr>
              <w:pStyle w:val="a0"/>
              <w:spacing w:line="264" w:lineRule="auto"/>
              <w:rPr>
                <w:sz w:val="12"/>
                <w:szCs w:val="12"/>
                <w:lang w:val="de-DE"/>
              </w:rPr>
            </w:pPr>
          </w:p>
          <w:p w14:paraId="6FF48CB7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Sklici:</w:t>
            </w:r>
          </w:p>
          <w:p w14:paraId="13C74431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SCCS (Scientific Committee on Consumer Safety – znanstveni odbor za varstvo potrošnikov) (2021).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  <w:i/>
                <w:iCs/>
              </w:rPr>
              <w:t xml:space="preserve">Opinion on Propylparaben (CAS No 94-13-3, EC No 202-307-7)</w:t>
            </w:r>
            <w:r>
              <w:rPr>
                <w:rStyle w:val="a"/>
                <w:color w:val="000000"/>
                <w:sz w:val="10"/>
              </w:rPr>
              <w:t xml:space="preserve"> (Mnenje o propilparabenu, št. CAS 94-13-3, št. ES 202-307-7), predhodna različica z dne 27. in 28. oktobra 2020, končna različica z dne 30. in 31. marca 2021, SCCS/1623/20</w:t>
            </w:r>
          </w:p>
          <w:p w14:paraId="5E8FBB14" w14:textId="77777777" w:rsidR="00255EB4" w:rsidRPr="00025909" w:rsidRDefault="00255EB4">
            <w:pPr>
              <w:pStyle w:val="a0"/>
              <w:spacing w:line="257" w:lineRule="auto"/>
              <w:rPr>
                <w:rStyle w:val="a"/>
                <w:color w:val="000000"/>
                <w:sz w:val="10"/>
                <w:szCs w:val="10"/>
                <w:u w:val="single"/>
              </w:rPr>
            </w:pPr>
            <w:hyperlink r:id="rId26" w:history="1">
              <w:r>
                <w:rPr>
                  <w:rStyle w:val="a"/>
                  <w:color w:val="000000"/>
                  <w:sz w:val="10"/>
                </w:rPr>
                <w:t xml:space="preserve">https://health.ec.europa.eu/document/download/7c416df0-2650-4d7a-</w:t>
              </w:r>
            </w:hyperlink>
            <w:r>
              <w:rPr>
                <w:rStyle w:val="a"/>
                <w:color w:val="000000"/>
                <w:sz w:val="10"/>
                <w:u w:val="single"/>
              </w:rPr>
              <w:t xml:space="preserve">82f7-650081bf250c_en?filename=sccs_o_243.pdf</w:t>
            </w:r>
          </w:p>
          <w:p w14:paraId="00AF111C" w14:textId="77777777" w:rsidR="002B5C56" w:rsidRPr="00025909" w:rsidRDefault="002B5C56">
            <w:pPr>
              <w:pStyle w:val="a0"/>
              <w:spacing w:line="257" w:lineRule="auto"/>
              <w:rPr>
                <w:sz w:val="10"/>
                <w:szCs w:val="10"/>
              </w:rPr>
            </w:pPr>
          </w:p>
          <w:p w14:paraId="4B08DFB5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EFSA (Evropska agencija za varnost hrane) (2004).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  <w:i/>
                <w:iCs/>
              </w:rPr>
              <w:t xml:space="preserve">Opinion of the</w:t>
            </w:r>
          </w:p>
          <w:p w14:paraId="2E7AFCBF" w14:textId="77777777" w:rsidR="00255EB4" w:rsidRPr="00555190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  <w:i/>
                <w:iCs/>
              </w:rPr>
              <w:t xml:space="preserve">Scientific Panel on food additives, flavourings, processing aids and materials in contact with food (AFC) related to para hydroxybenzoates (E 214-219)</w:t>
            </w:r>
            <w:r>
              <w:rPr>
                <w:rStyle w:val="a"/>
                <w:color w:val="000000"/>
                <w:sz w:val="10"/>
              </w:rPr>
              <w:t xml:space="preserve"> (Mnenje znanstvenega odbora za aditive za živila, arome, pomožna tehnološka sredstva in materiale, namenjene za stik z živili (AFC), v zvezi s parahidroksibenzoati (E 214–219)).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EFSA Journal DOI: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hyperlink r:id="rId27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5EB1C820" w14:textId="77777777" w:rsidTr="00025909">
        <w:trPr>
          <w:trHeight w:val="18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5EBF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2BCB8AF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9F5DA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9B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Natrijev propilparaben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F87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EA90414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575A5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33209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95F8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199CD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Kalijev propilparaben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6215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7F5367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E63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540986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AC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92DF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00F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0B82EB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F6A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889902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AE98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E9C7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Natrijev butilparaben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5DB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8DA5AC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3DD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4C096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7755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E31D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Kalijev butilparaben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389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E90287E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8DD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79B86E0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1A32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C502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Izobutilparaben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CB3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46A9EE4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6E3B0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EDA1E9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3FAB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2E8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Natrijev izobutilparaben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AD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90F427" w14:textId="77777777" w:rsidTr="00025909">
        <w:trPr>
          <w:trHeight w:val="77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E813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9902CD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160D3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0635F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6B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2CA1B91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F351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1B88044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953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965D4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02D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7EE686F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5C06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5.7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271D8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Sasafras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5C673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Sasafrazovo olje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F8F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Vsebuje safrol.</w:t>
            </w:r>
          </w:p>
        </w:tc>
      </w:tr>
      <w:tr w:rsidR="00255EB4" w:rsidRPr="00555190" w14:paraId="6C9A2CBD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94D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B8D40E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5E4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Sasafrazov les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99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D61A26F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350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1BE3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93D2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Sasafrazovo listje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B156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1E1E06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139C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1EB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5715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Sasafrazovo lubje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D71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4D72D48C" w14:textId="77777777" w:rsidR="00296790" w:rsidRPr="00555190" w:rsidRDefault="00296790">
      <w:pPr>
        <w:rPr>
          <w:lang w:val="de-DE"/>
        </w:rPr>
      </w:pPr>
    </w:p>
    <w:sectPr w:rsidR="00296790" w:rsidRPr="00555190" w:rsidSect="002B5C56">
      <w:headerReference w:type="first" r:id="rId28"/>
      <w:pgSz w:w="18720" w:h="12240" w:orient="landscape"/>
      <w:pgMar w:top="1586" w:right="1851" w:bottom="1041" w:left="207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7D29" w14:textId="77777777" w:rsidR="00627665" w:rsidRDefault="00627665">
      <w:r>
        <w:separator/>
      </w:r>
    </w:p>
  </w:endnote>
  <w:endnote w:type="continuationSeparator" w:id="0">
    <w:p w14:paraId="2D8B5A6E" w14:textId="77777777" w:rsidR="00627665" w:rsidRDefault="006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DEA0" w14:textId="766888E0" w:rsidR="00555190" w:rsidRDefault="00555190" w:rsidP="00555190">
    <w:pPr>
      <w:pStyle w:val="Footer"/>
      <w:jc w:val="center"/>
    </w:pPr>
    <w:bookmarkStart w:id="2" w:name="bookmark4"/>
    <w:r>
      <w:rPr>
        <w:rStyle w:val="21"/>
      </w:rPr>
      <w:t xml:space="preserve">Stran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od 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2</w:t>
    </w:r>
    <w:r w:rsidRPr="00555190">
      <w:rPr>
        <w:rStyle w:val="21"/>
        <w:b/>
      </w:rP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012A" w14:textId="724A713D" w:rsidR="00555190" w:rsidRDefault="00555190" w:rsidP="00555190">
    <w:pPr>
      <w:pStyle w:val="Footer"/>
      <w:jc w:val="center"/>
    </w:pPr>
    <w:r>
      <w:rPr>
        <w:rStyle w:val="21"/>
      </w:rPr>
      <w:t xml:space="preserve">Stran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od 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13</w:t>
    </w:r>
    <w:r w:rsidRPr="00555190">
      <w:rPr>
        <w:rStyle w:val="21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6CA1" w14:textId="77777777" w:rsidR="00627665" w:rsidRDefault="00627665"/>
  </w:footnote>
  <w:footnote w:type="continuationSeparator" w:id="0">
    <w:p w14:paraId="771FFACE" w14:textId="77777777" w:rsidR="00627665" w:rsidRDefault="0062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D597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0D57D284" w14:textId="01FABE9A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Končna različica po sklepu svetovalnega odbora za sestavine</w:t>
    </w:r>
  </w:p>
  <w:p w14:paraId="38656AD9" w14:textId="0290F01A" w:rsidR="00255EB4" w:rsidRPr="00555190" w:rsidRDefault="00255EB4">
    <w:pPr>
      <w:spacing w:line="1" w:lineRule="exac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270F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419F2737" w14:textId="77777777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Končna različica po sklepu svetovalnega odbora za sestavine</w:t>
    </w:r>
  </w:p>
  <w:p w14:paraId="11B04EBC" w14:textId="77777777" w:rsidR="00555190" w:rsidRPr="00555190" w:rsidRDefault="00555190" w:rsidP="00555190">
    <w:pPr>
      <w:spacing w:line="1" w:lineRule="exact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dirty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4"/>
    <w:rsid w:val="00025909"/>
    <w:rsid w:val="001652C2"/>
    <w:rsid w:val="0024331C"/>
    <w:rsid w:val="00255EB4"/>
    <w:rsid w:val="00296790"/>
    <w:rsid w:val="002B5C56"/>
    <w:rsid w:val="0033216F"/>
    <w:rsid w:val="00555190"/>
    <w:rsid w:val="00627665"/>
    <w:rsid w:val="008A46F5"/>
    <w:rsid w:val="00E5705F"/>
    <w:rsid w:val="00F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4FB1"/>
  <w15:docId w15:val="{989224BE-25D7-497C-8B6E-E682C3E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sl-SI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Επικεφαλίδα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Κεφαλίδα ή υποσέλιδο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DefaultParagraphFont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Άλλα_"/>
    <w:basedOn w:val="DefaultParagraphFont"/>
    <w:link w:val="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1414"/>
      <w:sz w:val="13"/>
      <w:szCs w:val="13"/>
      <w:u w:val="none"/>
    </w:rPr>
  </w:style>
  <w:style w:type="paragraph" w:customStyle="1" w:styleId="10">
    <w:name w:val="Επικεφαλίδα #1"/>
    <w:basedOn w:val="Normal"/>
    <w:link w:val="1"/>
    <w:pPr>
      <w:spacing w:line="257" w:lineRule="auto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Κεφαλίδα ή υποσέλιδο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Επικεφαλίδα #2"/>
    <w:basedOn w:val="Normal"/>
    <w:link w:val="21"/>
    <w:pPr>
      <w:spacing w:line="257" w:lineRule="auto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a0">
    <w:name w:val="Άλλα"/>
    <w:basedOn w:val="Normal"/>
    <w:link w:val="a"/>
    <w:rPr>
      <w:rFonts w:ascii="Tahoma" w:eastAsia="Tahoma" w:hAnsi="Tahoma" w:cs="Tahoma"/>
      <w:color w:val="141414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i.org/10.1586/ers.10.74" TargetMode="External"/><Relationship Id="rId18" Type="http://schemas.openxmlformats.org/officeDocument/2006/relationships/hyperlink" Target="https://www.cdc.gov/tobacco/basic_information/e-cigarettes/severe-lung-disease.html" TargetMode="External"/><Relationship Id="rId26" Type="http://schemas.openxmlformats.org/officeDocument/2006/relationships/hyperlink" Target="https://health.ec.europa.eu/document/download/7c416df0-2650-4d7a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3527600418._mb60014d006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i.org/10.3109/03602532.2014.990032" TargetMode="External"/><Relationship Id="rId17" Type="http://schemas.openxmlformats.org/officeDocument/2006/relationships/hyperlink" Target="https://www.hse.gov.uk/asthma/asthmagen.pdf" TargetMode="External"/><Relationship Id="rId25" Type="http://schemas.openxmlformats.org/officeDocument/2006/relationships/hyperlink" Target="https://doi.org/10.1093/ntr/nts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3348/jkrs.1998.38.3.453" TargetMode="External"/><Relationship Id="rId20" Type="http://schemas.openxmlformats.org/officeDocument/2006/relationships/hyperlink" Target="https://doi.org/10.1002/3527600418.mb43103d00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i.org/10.2903/j.efsa.2008.298" TargetMode="External"/><Relationship Id="rId24" Type="http://schemas.openxmlformats.org/officeDocument/2006/relationships/hyperlink" Target="https://jaotc.eu/wp-content/uploads/2021/04/D9.3-Report-on-the-peer-review-of-the-enhanced-reporting-information-on-priority-additive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ieme-connect.com/products/ejournals/abstract/10.1055/s-0029-1244813" TargetMode="External"/><Relationship Id="rId23" Type="http://schemas.openxmlformats.org/officeDocument/2006/relationships/hyperlink" Target="https://doi.org/10.1002/3527600418.mb7490verd0032.https://onlinelibrary.wile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oi.org/10.2903/j.efsa.2004.83" TargetMode="External"/><Relationship Id="rId19" Type="http://schemas.openxmlformats.org/officeDocument/2006/relationships/hyperlink" Target="https://www.nejm.org/doi/full/10.1056/NEJMoa1916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alth.ec.europa.eu/document/download/7c416df0-2650-4d7a-82f7-650081bf250c_en?filename=sccs_o_243._pdf" TargetMode="External"/><Relationship Id="rId14" Type="http://schemas.openxmlformats.org/officeDocument/2006/relationships/hyperlink" Target="https://rc.rcjournal.com/content/respcare/58/3/e23.full.pdf" TargetMode="External"/><Relationship Id="rId22" Type="http://schemas.openxmlformats.org/officeDocument/2006/relationships/hyperlink" Target="https://www.bfr.bund.de/cm/343/gesundheitliche-bewertung-von-zusatzstoffen-" TargetMode="External"/><Relationship Id="rId27" Type="http://schemas.openxmlformats.org/officeDocument/2006/relationships/hyperlink" Target="https://doi.org/10.2903/j.efsa.2004.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3315</Words>
  <Characters>18899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Vejdovszky Katharina</dc:creator>
  <cp:keywords/>
  <cp:lastModifiedBy>Anastasia Stavroulaki</cp:lastModifiedBy>
  <cp:revision>5</cp:revision>
  <dcterms:created xsi:type="dcterms:W3CDTF">2024-11-08T05:06:00Z</dcterms:created>
  <dcterms:modified xsi:type="dcterms:W3CDTF">2024-11-08T09:08:00Z</dcterms:modified>
</cp:coreProperties>
</file>