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Jedná se o strojový překlad.</w:t>
      </w:r>
    </w:p>
    <w:p w14:paraId="48A46481" w14:textId="77777777">
      <w:pPr>
        <w:pStyle w:val="P68B1DB1-Title1"/>
        <w:spacing w:before="0"/>
        <w:ind w:left="0"/>
      </w:pPr>
    </w:p>
    <w:p w14:paraId="5DDBFD33" w14:textId="3AD4A40E">
      <w:pPr>
        <w:pStyle w:val="P68B1DB1-Title1"/>
        <w:spacing w:before="0"/>
        <w:ind w:left="0"/>
      </w:pPr>
      <w:r>
        <w:t xml:space="preserve">Judikatura týkající se směrnice (EU) 2015/1535</w:t>
      </w:r>
    </w:p>
    <w:p w14:paraId="5AFCD03C" w14:textId="77777777">
      <w:pPr>
        <w:pStyle w:val="BodyText"/>
      </w:pPr>
    </w:p>
    <w:p w14:paraId="55805DA1" w14:textId="3A3D4AA9">
      <w:pPr>
        <w:pStyle w:val="BodyText"/>
      </w:pPr>
      <w:r>
        <w:t xml:space="preserve">Tento dokument uvádí hlavní rozsudky a usnesení Soudního dvora Evropské unie týkající se oblasti působnosti a působnosti směrnice (EU) 2015/1535, která stanoví postup při poskytování informací v oblasti technických předpisů a předpisů pro služby informační společnosti. Jeho cílem je sloužit jako vodítko pro správní orgány členských států, průmysl a občany.</w:t>
      </w:r>
    </w:p>
    <w:p w14:paraId="4F3E66AE" w14:textId="77777777">
      <w:pPr>
        <w:pStyle w:val="BodyText"/>
        <w:rPr>
          <w:sz w:val="22"/>
          <w:szCs w:val="18"/>
        </w:rPr>
      </w:pPr>
    </w:p>
    <w:p w14:paraId="53D6EBA0" w14:textId="77777777">
      <w:pPr>
        <w:pStyle w:val="BodyText"/>
      </w:pPr>
      <w:r>
        <w:t xml:space="preserve">Vzhledem k tomu, že tento dokument není vyčerpávající, některá relevantní rozhodnutí nemusí být zahrnuta.</w:t>
      </w:r>
    </w:p>
    <w:p w14:paraId="771A43E5" w14:textId="77777777">
      <w:pPr>
        <w:pStyle w:val="BodyText"/>
      </w:pPr>
    </w:p>
    <w:p w14:paraId="45186CE0" w14:textId="45ABA22D">
      <w:pPr>
        <w:pStyle w:val="BodyText"/>
      </w:pPr>
      <w:r>
        <w:t xml:space="preserve">Rozsudky jsou prezentovány v chronologickém pořadí a dokument je rozdělen do čtyř částí:</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Rozhodnutí, z nichž byly v tomto dokumentu sestaveny výňatky, odkazují na následné směrnice o postupu při poskytování informací v oblasti technických předpisů. Následující srovnávací tabulka ilustruje kontinuitu jejich hlavních ustanovení</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Srovnávací tabulka hlavních ustanovení </w:t>
      </w:r>
    </w:p>
    <w:p w14:paraId="74F41B86" w14:textId="7258661E">
      <w:pPr>
        <w:pStyle w:val="P68B1DB1-Normal5"/>
        <w:spacing w:after="0" w:line="240" w:lineRule="auto"/>
        <w:jc w:val="center"/>
        <w:rPr>
          <w:bCs/>
        </w:rPr>
      </w:pPr>
      <w:r>
        <w:t xml:space="preserve">Směrnice (EU) 2015/1535, 98/34/ES a 83/189/EHS</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Obsah ustanovení</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Směrnice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Směrnice 98/34/ES</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Směrnice 83/189/EHS</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Definice „výrobků“</w:t>
            </w:r>
          </w:p>
        </w:tc>
        <w:tc>
          <w:tcPr>
            <w:tcW w:w="2457" w:type="dxa"/>
          </w:tcPr>
          <w:p w14:paraId="4A418F3D" w14:textId="11CADE6C">
            <w:pPr>
              <w:pStyle w:val="P68B1DB1-Normal7"/>
              <w:spacing w:line="240" w:lineRule="auto"/>
            </w:pPr>
            <w:r>
              <w:t xml:space="preserve">Čl. 1 odst. 1 písm. a)</w:t>
            </w:r>
          </w:p>
        </w:tc>
        <w:tc>
          <w:tcPr>
            <w:tcW w:w="2315" w:type="dxa"/>
          </w:tcPr>
          <w:p w14:paraId="5020F0EC" w14:textId="29FBC8B8">
            <w:pPr>
              <w:pStyle w:val="P68B1DB1-Normal7"/>
              <w:spacing w:line="240" w:lineRule="auto"/>
            </w:pPr>
            <w:r>
              <w:t xml:space="preserve">Čl. 1 odst. 1</w:t>
            </w:r>
          </w:p>
        </w:tc>
        <w:tc>
          <w:tcPr>
            <w:tcW w:w="2315" w:type="dxa"/>
          </w:tcPr>
          <w:p w14:paraId="1AC77ECE" w14:textId="6BC392C6">
            <w:pPr>
              <w:pStyle w:val="P68B1DB1-Normal7"/>
              <w:spacing w:line="240" w:lineRule="auto"/>
            </w:pPr>
            <w:r>
              <w:t xml:space="preserve">Čl. 1 bod 7</w:t>
            </w:r>
          </w:p>
        </w:tc>
      </w:tr>
      <w:tr w14:paraId="4F3F95AF" w14:textId="77777777">
        <w:trPr>
          <w:trHeight w:val="599"/>
        </w:trPr>
        <w:tc>
          <w:tcPr>
            <w:tcW w:w="3119" w:type="dxa"/>
          </w:tcPr>
          <w:p w14:paraId="42CDA066" w14:textId="77777777">
            <w:pPr>
              <w:pStyle w:val="P68B1DB1-Normal7"/>
              <w:spacing w:line="240" w:lineRule="auto"/>
            </w:pPr>
            <w:r>
              <w:t xml:space="preserve">Definice „služeb“</w:t>
            </w:r>
          </w:p>
        </w:tc>
        <w:tc>
          <w:tcPr>
            <w:tcW w:w="2457" w:type="dxa"/>
          </w:tcPr>
          <w:p w14:paraId="658F3867" w14:textId="6E2F4A98">
            <w:pPr>
              <w:pStyle w:val="P68B1DB1-Normal7"/>
              <w:spacing w:line="240" w:lineRule="auto"/>
            </w:pPr>
            <w:r>
              <w:t xml:space="preserve">Čl. 1 odst. 1 písm. b)</w:t>
            </w:r>
          </w:p>
        </w:tc>
        <w:tc>
          <w:tcPr>
            <w:tcW w:w="2315" w:type="dxa"/>
          </w:tcPr>
          <w:p w14:paraId="4273AEF8" w14:textId="51C8B937">
            <w:pPr>
              <w:pStyle w:val="P68B1DB1-Normal7"/>
              <w:spacing w:line="240" w:lineRule="auto"/>
            </w:pPr>
            <w:r>
              <w:t xml:space="preserve">Čl. 1 odst.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Definice „technické specifikace“</w:t>
            </w:r>
          </w:p>
        </w:tc>
        <w:tc>
          <w:tcPr>
            <w:tcW w:w="2457" w:type="dxa"/>
          </w:tcPr>
          <w:p w14:paraId="1CD6781C" w14:textId="4816FB95">
            <w:pPr>
              <w:pStyle w:val="P68B1DB1-Normal7"/>
              <w:spacing w:line="240" w:lineRule="auto"/>
            </w:pPr>
            <w:r>
              <w:t xml:space="preserve">Čl. 1 odst. písm. c)</w:t>
            </w:r>
          </w:p>
        </w:tc>
        <w:tc>
          <w:tcPr>
            <w:tcW w:w="2315" w:type="dxa"/>
          </w:tcPr>
          <w:p w14:paraId="6ACA8AFC" w14:textId="5CBBFC47">
            <w:pPr>
              <w:pStyle w:val="P68B1DB1-Normal7"/>
              <w:spacing w:line="240" w:lineRule="auto"/>
            </w:pPr>
            <w:r>
              <w:t xml:space="preserve">Čl. 1 odst. 3</w:t>
            </w:r>
          </w:p>
        </w:tc>
        <w:tc>
          <w:tcPr>
            <w:tcW w:w="2315" w:type="dxa"/>
          </w:tcPr>
          <w:p w14:paraId="7742C3F4" w14:textId="668574B6">
            <w:pPr>
              <w:pStyle w:val="P68B1DB1-Normal7"/>
              <w:spacing w:line="240" w:lineRule="auto"/>
            </w:pPr>
            <w:r>
              <w:t xml:space="preserve">Čl. 1 odst. 1</w:t>
            </w:r>
          </w:p>
        </w:tc>
      </w:tr>
      <w:tr w14:paraId="39DCA993" w14:textId="77777777">
        <w:trPr>
          <w:trHeight w:val="599"/>
        </w:trPr>
        <w:tc>
          <w:tcPr>
            <w:tcW w:w="3119" w:type="dxa"/>
          </w:tcPr>
          <w:p w14:paraId="412D2403" w14:textId="77777777">
            <w:pPr>
              <w:pStyle w:val="P68B1DB1-Normal7"/>
              <w:spacing w:line="240" w:lineRule="auto"/>
            </w:pPr>
            <w:r>
              <w:t xml:space="preserve">Definice „jiných požadavků“</w:t>
            </w:r>
          </w:p>
        </w:tc>
        <w:tc>
          <w:tcPr>
            <w:tcW w:w="2457" w:type="dxa"/>
          </w:tcPr>
          <w:p w14:paraId="7BCB4CC5" w14:textId="4C804DFA">
            <w:pPr>
              <w:pStyle w:val="P68B1DB1-Normal7"/>
              <w:spacing w:line="240" w:lineRule="auto"/>
            </w:pPr>
            <w:r>
              <w:t xml:space="preserve">Čl. 1 odst. 1 písm. d)</w:t>
            </w:r>
          </w:p>
        </w:tc>
        <w:tc>
          <w:tcPr>
            <w:tcW w:w="2315" w:type="dxa"/>
          </w:tcPr>
          <w:p w14:paraId="414D1EEC" w14:textId="18CAA0FE">
            <w:pPr>
              <w:pStyle w:val="P68B1DB1-Normal7"/>
              <w:spacing w:line="240" w:lineRule="auto"/>
            </w:pPr>
            <w:r>
              <w:t xml:space="preserve">Čl. 1 odst.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Definice „předpisu pro služby“</w:t>
            </w:r>
          </w:p>
        </w:tc>
        <w:tc>
          <w:tcPr>
            <w:tcW w:w="2457" w:type="dxa"/>
          </w:tcPr>
          <w:p w14:paraId="136F7BB7" w14:textId="4AA67A90">
            <w:pPr>
              <w:pStyle w:val="P68B1DB1-Normal7"/>
              <w:spacing w:line="240" w:lineRule="auto"/>
            </w:pPr>
            <w:r>
              <w:t xml:space="preserve">Článek 1 bod 1 písm. e)</w:t>
            </w:r>
          </w:p>
        </w:tc>
        <w:tc>
          <w:tcPr>
            <w:tcW w:w="2315" w:type="dxa"/>
          </w:tcPr>
          <w:p w14:paraId="36E9CD4F" w14:textId="1B75247A">
            <w:pPr>
              <w:pStyle w:val="P68B1DB1-Normal7"/>
              <w:spacing w:line="240" w:lineRule="auto"/>
            </w:pPr>
            <w:r>
              <w:t xml:space="preserve">Čl. 1 odst.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Pojem ‚technický předpis‘</w:t>
            </w:r>
          </w:p>
        </w:tc>
        <w:tc>
          <w:tcPr>
            <w:tcW w:w="2457" w:type="dxa"/>
          </w:tcPr>
          <w:p w14:paraId="46C85599" w14:textId="1342B29E">
            <w:pPr>
              <w:pStyle w:val="P68B1DB1-Normal7"/>
              <w:spacing w:line="240" w:lineRule="auto"/>
            </w:pPr>
            <w:r>
              <w:t xml:space="preserve">Čl. 1 odst. 1 písm. f)</w:t>
            </w:r>
          </w:p>
        </w:tc>
        <w:tc>
          <w:tcPr>
            <w:tcW w:w="2315" w:type="dxa"/>
          </w:tcPr>
          <w:p w14:paraId="0E88B9E2" w14:textId="31F951B8">
            <w:pPr>
              <w:pStyle w:val="P68B1DB1-Normal7"/>
              <w:spacing w:line="240" w:lineRule="auto"/>
            </w:pPr>
            <w:r>
              <w:t xml:space="preserve">Čl. 1 odst. 11</w:t>
            </w:r>
          </w:p>
        </w:tc>
        <w:tc>
          <w:tcPr>
            <w:tcW w:w="2315" w:type="dxa"/>
          </w:tcPr>
          <w:p w14:paraId="2E4FCAC6" w14:textId="1930FF48">
            <w:pPr>
              <w:pStyle w:val="P68B1DB1-Normal7"/>
              <w:spacing w:line="240" w:lineRule="auto"/>
            </w:pPr>
            <w:r>
              <w:t xml:space="preserve">Čl. 1 odst. 5</w:t>
            </w:r>
          </w:p>
        </w:tc>
      </w:tr>
      <w:tr w14:paraId="0C829266" w14:textId="77777777">
        <w:trPr>
          <w:trHeight w:val="599"/>
        </w:trPr>
        <w:tc>
          <w:tcPr>
            <w:tcW w:w="3119" w:type="dxa"/>
          </w:tcPr>
          <w:p w14:paraId="2E36B6FC" w14:textId="77777777">
            <w:pPr>
              <w:pStyle w:val="P68B1DB1-Normal7"/>
              <w:spacing w:line="240" w:lineRule="auto"/>
            </w:pPr>
            <w:r>
              <w:t xml:space="preserve">Oznamovací povinnost</w:t>
            </w:r>
          </w:p>
        </w:tc>
        <w:tc>
          <w:tcPr>
            <w:tcW w:w="2457" w:type="dxa"/>
          </w:tcPr>
          <w:p w14:paraId="04169FF7" w14:textId="77777777">
            <w:pPr>
              <w:pStyle w:val="P68B1DB1-Normal7"/>
              <w:spacing w:line="240" w:lineRule="auto"/>
            </w:pPr>
            <w:r>
              <w:t xml:space="preserve">Čl. 5 odst. 1 první věta</w:t>
            </w:r>
          </w:p>
        </w:tc>
        <w:tc>
          <w:tcPr>
            <w:tcW w:w="2315" w:type="dxa"/>
          </w:tcPr>
          <w:p w14:paraId="730385F8" w14:textId="77777777">
            <w:pPr>
              <w:pStyle w:val="P68B1DB1-Normal7"/>
              <w:spacing w:line="240" w:lineRule="auto"/>
            </w:pPr>
            <w:r>
              <w:t xml:space="preserve">Čl. 8 odst. 1 první věta</w:t>
            </w:r>
          </w:p>
        </w:tc>
        <w:tc>
          <w:tcPr>
            <w:tcW w:w="2315" w:type="dxa"/>
          </w:tcPr>
          <w:p w14:paraId="6937609F" w14:textId="5A2377E0">
            <w:pPr>
              <w:pStyle w:val="P68B1DB1-Normal8"/>
              <w:spacing w:line="240" w:lineRule="auto"/>
            </w:pPr>
            <w:r>
              <w:t xml:space="preserve">Čl. 8 odst. 1</w:t>
            </w:r>
          </w:p>
        </w:tc>
      </w:tr>
      <w:tr w14:paraId="4472DE96" w14:textId="77777777">
        <w:trPr>
          <w:trHeight w:val="599"/>
        </w:trPr>
        <w:tc>
          <w:tcPr>
            <w:tcW w:w="3119" w:type="dxa"/>
          </w:tcPr>
          <w:p w14:paraId="08371658" w14:textId="2AE2569B">
            <w:pPr>
              <w:pStyle w:val="P68B1DB1-Normal7"/>
              <w:spacing w:line="240" w:lineRule="auto"/>
            </w:pPr>
            <w:r>
              <w:t xml:space="preserve">Oznámení základních nebo dotčených ustanovení</w:t>
            </w:r>
          </w:p>
        </w:tc>
        <w:tc>
          <w:tcPr>
            <w:tcW w:w="2457" w:type="dxa"/>
          </w:tcPr>
          <w:p w14:paraId="4460E5CA" w14:textId="77777777">
            <w:pPr>
              <w:pStyle w:val="P68B1DB1-Normal7"/>
              <w:spacing w:line="240" w:lineRule="auto"/>
            </w:pPr>
            <w:r>
              <w:t xml:space="preserve">Čl. 5 odst. 1 druhá věta</w:t>
            </w:r>
          </w:p>
        </w:tc>
        <w:tc>
          <w:tcPr>
            <w:tcW w:w="2315" w:type="dxa"/>
          </w:tcPr>
          <w:p w14:paraId="545C5C96" w14:textId="77777777">
            <w:pPr>
              <w:pStyle w:val="P68B1DB1-Normal7"/>
              <w:spacing w:line="240" w:lineRule="auto"/>
            </w:pPr>
            <w:r>
              <w:t xml:space="preserve">Čl. 8 odst. 1 druhá věta</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Opětovné oznámení během odkladné lhůty</w:t>
            </w:r>
          </w:p>
        </w:tc>
        <w:tc>
          <w:tcPr>
            <w:tcW w:w="2457" w:type="dxa"/>
          </w:tcPr>
          <w:p w14:paraId="65494BDB" w14:textId="77777777">
            <w:pPr>
              <w:pStyle w:val="P68B1DB1-Normal7"/>
              <w:spacing w:line="240" w:lineRule="auto"/>
            </w:pPr>
            <w:r>
              <w:t xml:space="preserve">Čl. 5 odst. 1 třetí věta</w:t>
            </w:r>
          </w:p>
        </w:tc>
        <w:tc>
          <w:tcPr>
            <w:tcW w:w="2315" w:type="dxa"/>
          </w:tcPr>
          <w:p w14:paraId="47F0091E" w14:textId="77777777">
            <w:pPr>
              <w:pStyle w:val="P68B1DB1-Normal7"/>
              <w:spacing w:line="240" w:lineRule="auto"/>
            </w:pPr>
            <w:r>
              <w:t xml:space="preserve">Čl. 8 odst. 1 třetí věta</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Odkladná lhůta</w:t>
            </w:r>
          </w:p>
        </w:tc>
        <w:tc>
          <w:tcPr>
            <w:tcW w:w="2457" w:type="dxa"/>
          </w:tcPr>
          <w:p w14:paraId="0FDAA36A" w14:textId="77777777">
            <w:pPr>
              <w:pStyle w:val="P68B1DB1-Normal7"/>
              <w:spacing w:line="240" w:lineRule="auto"/>
            </w:pPr>
            <w:r>
              <w:t xml:space="preserve">Článek 6</w:t>
            </w:r>
          </w:p>
        </w:tc>
        <w:tc>
          <w:tcPr>
            <w:tcW w:w="2315" w:type="dxa"/>
          </w:tcPr>
          <w:p w14:paraId="51BBC4E4" w14:textId="77777777">
            <w:pPr>
              <w:pStyle w:val="P68B1DB1-Normal7"/>
              <w:spacing w:line="240" w:lineRule="auto"/>
            </w:pPr>
            <w:r>
              <w:t xml:space="preserve">Článek 9</w:t>
            </w:r>
          </w:p>
        </w:tc>
        <w:tc>
          <w:tcPr>
            <w:tcW w:w="2315" w:type="dxa"/>
          </w:tcPr>
          <w:p w14:paraId="2B7D3F30" w14:textId="77777777">
            <w:pPr>
              <w:pStyle w:val="P68B1DB1-Normal8"/>
              <w:spacing w:line="240" w:lineRule="auto"/>
            </w:pPr>
            <w:r>
              <w:t xml:space="preserve">Článek 9</w:t>
            </w:r>
          </w:p>
        </w:tc>
      </w:tr>
      <w:tr w14:paraId="31FCCE62" w14:textId="77777777">
        <w:trPr>
          <w:trHeight w:val="599"/>
        </w:trPr>
        <w:tc>
          <w:tcPr>
            <w:tcW w:w="3119" w:type="dxa"/>
          </w:tcPr>
          <w:p w14:paraId="067F46A1" w14:textId="77777777">
            <w:pPr>
              <w:pStyle w:val="P68B1DB1-Normal7"/>
              <w:spacing w:line="240" w:lineRule="auto"/>
            </w:pPr>
            <w:r>
              <w:t xml:space="preserve">Výjimky z oznamovací povinnosti a povinnosti pozastavení</w:t>
            </w:r>
          </w:p>
        </w:tc>
        <w:tc>
          <w:tcPr>
            <w:tcW w:w="2457" w:type="dxa"/>
          </w:tcPr>
          <w:p w14:paraId="5BC53094" w14:textId="77777777">
            <w:pPr>
              <w:pStyle w:val="P68B1DB1-Normal7"/>
              <w:spacing w:line="240" w:lineRule="auto"/>
            </w:pPr>
            <w:r>
              <w:t xml:space="preserve">Článek 7</w:t>
            </w:r>
          </w:p>
        </w:tc>
        <w:tc>
          <w:tcPr>
            <w:tcW w:w="2315" w:type="dxa"/>
          </w:tcPr>
          <w:p w14:paraId="36E59068" w14:textId="77777777">
            <w:pPr>
              <w:pStyle w:val="P68B1DB1-Normal7"/>
              <w:spacing w:line="240" w:lineRule="auto"/>
            </w:pPr>
            <w:r>
              <w:t xml:space="preserve">Článek 10</w:t>
            </w:r>
          </w:p>
        </w:tc>
        <w:tc>
          <w:tcPr>
            <w:tcW w:w="2315" w:type="dxa"/>
          </w:tcPr>
          <w:p w14:paraId="1FE1BC2D" w14:textId="77777777">
            <w:pPr>
              <w:pStyle w:val="P68B1DB1-Normal8"/>
              <w:spacing w:line="240" w:lineRule="auto"/>
            </w:pPr>
            <w:r>
              <w:t xml:space="preserve">Článek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Prohlášení</w:t>
      </w:r>
    </w:p>
    <w:p w14:paraId="0CB71D4E" w14:textId="7BF1CD8D">
      <w:pPr>
        <w:jc w:val="both"/>
        <w:rPr>
          <w:rFonts w:ascii="Times New Roman" w:hAnsi="Times New Roman" w:cs="Times New Roman"/>
          <w:sz w:val="24"/>
          <w:szCs w:val="24"/>
        </w:rPr>
        <w:pStyle w:val="P68B1DB1-Normal7"/>
      </w:pPr>
      <w:r>
        <w:t xml:space="preserve">Informace a pokyny v tomto dokumentu mají přispět k lepšímu pochopení pravidel oznamování podle směrnice (EU) 2015/1535.</w:t>
      </w:r>
    </w:p>
    <w:p w14:paraId="67EC004B" w14:textId="434F8650">
      <w:pPr>
        <w:jc w:val="both"/>
        <w:rPr>
          <w:rFonts w:ascii="Times New Roman" w:hAnsi="Times New Roman" w:cs="Times New Roman"/>
          <w:sz w:val="24"/>
          <w:szCs w:val="24"/>
        </w:rPr>
        <w:pStyle w:val="P68B1DB1-Normal7"/>
      </w:pPr>
      <w:r>
        <w:t xml:space="preserve">To je zamýšleno pouze jako orientační nástroj. Pouze znění směrnice je právně závazné a může zakládat práva a povinnosti pro jednotlivce a členské státy. Tento dokument nevytváří žádné vymahatelné právo ani očekávání.</w:t>
      </w:r>
    </w:p>
    <w:p w14:paraId="63D425FC" w14:textId="2836B58B">
      <w:pPr>
        <w:jc w:val="both"/>
        <w:rPr>
          <w:rFonts w:ascii="Times New Roman" w:hAnsi="Times New Roman" w:cs="Times New Roman"/>
          <w:sz w:val="24"/>
          <w:szCs w:val="24"/>
        </w:rPr>
        <w:pStyle w:val="P68B1DB1-Normal7"/>
      </w:pPr>
      <w:r>
        <w:t xml:space="preserve">Závazný výklad právních předpisů Evropské unie je ve výlučné pravomoci Soudního dvora Evropské unie. Názory vyjádřenými v tomto dokumentu není dotčen postoj, který by Komise mohla zaujmout před Soudním dvorem.</w:t>
      </w:r>
    </w:p>
    <w:p w14:paraId="5CC222EA" w14:textId="4A13BEE2">
      <w:pPr>
        <w:jc w:val="both"/>
        <w:rPr>
          <w:rFonts w:ascii="Times New Roman" w:hAnsi="Times New Roman" w:cs="Times New Roman"/>
          <w:sz w:val="24"/>
          <w:szCs w:val="24"/>
        </w:rPr>
        <w:pStyle w:val="P68B1DB1-Normal7"/>
      </w:pPr>
      <w:r>
        <w:t xml:space="preserve">Vzhledem k tomu, že tento dokument odráží stav judikatury v době jeho vypracování, měl by být považován za „živý nástroj“ otevřený ke zlepšení a jeho obsah může být bez předchozího upozornění měněn.</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Klasifikace jako technický předpis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pojem „technický předpis“ zahrnuje čtyři kategorie opatření, a sice i) „technické specifikace“ ve smyslu čl. 1 bodu 3 směrnice 98/34, ii) „jiné požadavky“ ve smyslu čl. 1 bodu 4 této směrnice, iii) „předpisy pro služby“ uvedené v čl. 1 bodě 5 této směrnice a iv) „právní a správní předpisy členských států zakazující výrobu, dovoz, uvádění na trh nebo používání určitého výrobku nebo zakazující poskytování nebo využívání určité služby nebo usazování poskytovatele služeb“.</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(Rozsudek ze dne 2. února 2016</w:t>
        </w:r>
      </w:hyperlink>
      <w:r>
        <w:t xml:space="preserve">, </w:t>
      </w:r>
      <w:r>
        <w:rPr>
          <w:i/>
        </w:rPr>
        <w:t>Ince</w:t>
      </w:r>
      <w:r>
        <w:t xml:space="preserve">, C-336/14, EU:C:2016:72, bod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Společná kritéria pro technické </w:t>
      </w:r>
      <w:bookmarkEnd w:id="6"/>
      <w:r>
        <w:t>předpisy</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„„Technickým předpisem“ technické specifikace a jiné požadavky nebo předpisy pro služby, včetně příslušných správních předpisů, jejichž dodržování je při uvádění na trh, při poskytování služby, při usazování poskytovatele služeb nebo při používání v členském státě nebo na jeho větší části závazné de iure nebo de facto, jakož i právní a správní předpisy členských států zakazující výrobu, dovoz, uvádění na trh nebo používání určitého výrobku nebo zakazující poskytování nebo využívání určité služby nebo usazování poskytovatele služeb, s výjimkou předpisů uvedených v článku 7.“</w:t>
      </w:r>
    </w:p>
    <w:p w14:paraId="56CBE257" w14:textId="77777777">
      <w:pPr>
        <w:pStyle w:val="BodyText"/>
      </w:pPr>
    </w:p>
    <w:p w14:paraId="66B70B28" w14:textId="1278CE54">
      <w:pPr>
        <w:pStyle w:val="P68B1DB1-Normal7"/>
        <w:spacing w:after="0" w:line="240" w:lineRule="auto"/>
        <w:jc w:val="right"/>
      </w:pPr>
      <w:r>
        <w:t xml:space="preserve">(čl. 1 odst. 1 písm. f) první věta směrnice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Rozsudek ze dne 30. dubna 1996</w:t>
        </w:r>
      </w:hyperlink>
      <w:r>
        <w:rPr>
          <w:rFonts w:ascii="Times New Roman" w:hAnsi="Times New Roman" w:cs="Times New Roman" w:eastAsia="Times New Roman"/>
          <w:b/>
          <w:i/>
          <w:szCs w:val="20"/>
        </w:rPr>
        <w:t xml:space="preserve">, CIA Security International SA, C-194/94, EU:C:1996:172, bod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Pravidlo může být kvalifikováno jako „technický předpis“ pouze tehdy, pokud má vlastní právní účinky. Tak tomu není v případě rámcového zákona, který nemá žádné právní účinky pro jednotlivce.</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V tomto ohledu je třeba konstatovat, že předpis je považován za technický předpis ve smyslu směrnice 83/189 tehdy, působí-li vlastní právní účinky. Pokud ve vnitrostátním právu toto pravidlo slouží pouze jako základ pro přijetí správních předpisů obsahujících pravidla závazná pro zúčastněné strany, takže samo o sobě nemá právní účinky vůči jednotlivcům, nepředstavuje toto pravidlo technický předpis ve smyslu směrnice (viz rozsudek ze dne 14. října 1994, Komise v. Německo, C-317/92, Recueil, s. 1–2039, bod 26). V tomto ohledu je třeba připomenout, že podle čl. 8 odst. 1 prvního pododstavce směrnice 83/189 musí členské státy sdělit současně s návrhem technického předpisu nástroj, na jehož základě byl přijat, pokud by znalost tohoto znění byla nezbytná pro posouzení důsledků návrhu technického předpisu.“</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Rozsudek ze dne 20. března 1997</w:t>
        </w:r>
      </w:hyperlink>
      <w:r>
        <w:rPr>
          <w:rFonts w:ascii="Times New Roman" w:hAnsi="Times New Roman" w:cs="Times New Roman" w:eastAsia="Times New Roman"/>
          <w:b/>
          <w:i/>
          <w:szCs w:val="20"/>
        </w:rPr>
        <w:t xml:space="preserve">, Bic Benelux, C-13/96, EU:C:1997:173, body 19 a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Důvody přijetí vnitrostátního opatření jsou pro kvalifikaci tohoto aktu jako „technického předpisu“ irelevantní. Cílem směrnice je prostřednictvím preventivní kontroly chránit volný pohyb zboží, který je jedním ze základů Společenství.</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Ve směrnici 83/189 neexistuje žádný základ pro výklad omezující její použití na vnitrostátní opatření, která mohou být harmonizována pouze na základě článku 100a Smlouvy. Cílem této směrnice je prostřednictvím preventivní kontroly chránit volný pohyb zboží, který je jedním ze základů Společenství. Takové sledování je nezbytné, neboť technické předpisy, na které se vztahuje směrnice, mohou přímo nebo nepřímo, skutečně nebo potenciálně narušit obchod se zbožím uvnitř Společenství. Takové překážky mohou vyplývat z přijetí vnitrostátních technických předpisů, i když tyto předpisy nejsou duplicitními označeními umístěnými v členském státě původu a bez ohledu na důvody, na jejichž základě byly přijaty.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V důsledku toho skutečnost, že vnitrostátní opatření bylo přijato za účelem ochrany životního prostředí nebo že neprovádí technickou normu, která může sama o sobě představovat překážku volného pohybu, neznamená, že dotčené opatření nemůže být technickým předpisem ve smyslu směrnice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Rozsudek ze dne 16. listopadu 2000</w:t>
        </w:r>
      </w:hyperlink>
      <w:r>
        <w:rPr>
          <w:rFonts w:ascii="Times New Roman" w:hAnsi="Times New Roman" w:cs="Times New Roman" w:eastAsia="Times New Roman"/>
          <w:b/>
          <w:i/>
          <w:szCs w:val="20"/>
        </w:rPr>
        <w:t xml:space="preserve">, Donkersteeg, C-37/99, EU:C:2000:636, body 30 až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Podrobná pravidla pro očkování zvířat jsou „technickou specifikací“. Jedná se však o „technický předpis“ vyžadující oznámení pouze tehdy, je-li jeho dodržování povinné de iure nebo de facto. Tak tomu není v případě, kdy v případě porušení tohoto pravidla nejsou uložena žádná omezení uvádění dotyčných výrobků na trh nebo jejich používání.</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v souladu s čl. 1 odst. 1 této směrnice, pokud jde o zemědělské produkty, je „technická specifikace“ obsažena v dokumentu, který stanoví požadované vlastnosti produktu nebo jeho výrobní metody a postupy.</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Takové pravidlo, jako je pravidlo obsažené v čl. 2 odst. 1 VBZA, je technickou specifikací ve smyslu čl. 1 odst. 1 směrnice. Jak správně tvrdí Komise, vzhledem k tomu, že přesná a podrobná pravidla týkající se očkování proti Aujeszkyho chorobě jsou spojena s výrobou dotčeného zemědělského produktu v úzkém slova smyslu a musí být dodržována během celého produkčního cyklu, toto pravidlo tedy definuje „postup“ při výrobě tohoto produktu.</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Aby však mohlo být pravidlo dotčené v původním řízení kvalifikováno jako technické pravidlo ve smyslu této směrnice, musí v souladu s čl. 1 odst. 5 této směrnice obsahovat technické specifikace, „jejichž dodržování je právně nebo fakticky povinné při uvádění na trh nebo používání v členském státě nebo jeho podstatné části, s výjimkou těch, které stanoví místní orgány“.</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Je třeba zdůraznit, jak učinila nizozemská vláda, že pravidlo obsažené v čl. 2 odst. 1 VBZA neukládá omezení uvádění na trh ani používání dotčených produktů, pokud v rozporu s tímto pravidlem nebyla prasata očkována proti Aujeszkyho chorobě.</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Na druhou otázku je tedy třeba odpovědět tak, že takové ustanovení, jako je ustanovení dotčené v původním řízení, které ukládá každému zemědělci povinnost nechat prasata ve svém hospodářství očkovat proti Aujeszkyho chorobě, není ve smyslu této směrnice technickým předpisem, který měl být před přijetím oznámen Komisi.“</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Rozsudek ze dne 3. prosince 2020</w:t>
        </w:r>
      </w:hyperlink>
      <w:r>
        <w:rPr>
          <w:rFonts w:ascii="Times New Roman" w:hAnsi="Times New Roman" w:cs="Times New Roman" w:eastAsia="Times New Roman"/>
          <w:b/>
          <w:i/>
          <w:szCs w:val="20"/>
        </w:rPr>
        <w:t xml:space="preserve">, Star Taxi App, C-62/19, EU:C:2020:980, body 60 a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Aby mohlo být vnitrostátní opatření kvalifikováno jako „technický předpis“, musí být právně nebo fakticky závazné pro poskytování nebo využívání dotyčné služby v členském státě nebo na jeho větší části.</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z čl. 1 odst. 1 písm. f) prvního pododstavce směrnice 2015/1535 vyplývá, že „technickým předpisem“ se rozumí „technické specifikace a jiné požadavky nebo předpisy pro služby včetně příslušných správních předpisů, jejichž dodržování je při uvádění na trh, při poskytování služby, při usazování poskytovatele služeb nebo při používání v členském státě nebo na jeho větší části závazné de iure nebo de facto, jakož i právní a správní předpisy členských států zakazující výrobu, dovoz, uvádění na trh nebo používání určitého výrobku nebo zakazující poskytování nebo využívání určité služby nebo usazování poskytovatele služeb“.</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Z toho vyplývá, že k tomu, aby vnitrostátní právní úprava týkající se služby informační společnosti mohla být kvalifikována jako „technický předpis“, musí být nejen kvalifikována jako „předpis pro služby“ ve smyslu čl. 1 odst. 1 písm. e) směrnice 2015/1535, ale musí být rovněž právně nebo fakticky povinná, zejména pokud jde o poskytování dotčené služby nebo její využívání v členském státě nebo jeho podstatné části.“</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Technické</w:t>
      </w:r>
      <w:bookmarkEnd w:id="15"/>
      <w:r>
        <w:t xml:space="preserve"> specifikace</w:t>
      </w:r>
      <w:bookmarkEnd w:id="16"/>
      <w:bookmarkEnd w:id="17"/>
    </w:p>
    <w:p w14:paraId="241DC1E1" w14:textId="77777777">
      <w:pPr>
        <w:pStyle w:val="BodyText"/>
      </w:pPr>
    </w:p>
    <w:p w14:paraId="24A39E18" w14:textId="77777777">
      <w:pPr>
        <w:pStyle w:val="P68B1DB1-BodyText11"/>
        <w:ind w:left="567"/>
      </w:pPr>
      <w:r>
        <w:t xml:space="preserve">„technickou specifikací“ specifikace obsažená v dokumentu, který stanoví požadované vlastnosti výrobku, jako jsou úrovně jakosti, vlastnosti, bezpečnost nebo rozměry, včetně požadavků na výrobek, pokud jde o obchodní název, terminologii, symboly, zkoušení a zkušební metody, balení, značení nebo opatřování štítkem a postupy posuzování shody.</w:t>
      </w:r>
    </w:p>
    <w:p w14:paraId="33F4D1E4" w14:textId="77777777">
      <w:pPr>
        <w:pStyle w:val="P68B1DB1-BodyText11"/>
        <w:ind w:left="567"/>
      </w:pPr>
    </w:p>
    <w:p w14:paraId="5224E321" w14:textId="77777777">
      <w:pPr>
        <w:pStyle w:val="P68B1DB1-BodyText11"/>
        <w:ind w:left="567"/>
        <w:rPr>
          <w:iCs/>
        </w:rPr>
      </w:pPr>
      <w:r>
        <w:t xml:space="preserve">Pojem „technická specifikace“ zahrnuje rovněž výrobní metody a postupy používané v souvislosti se zemědělskými produkty podle čl. 38 odst. 1 druhého pododstavce Smlouvy o fungování Evropské unie (dále jen „Smlouva o fungování EU“), produkty určenými pro lidskou spotřebu a spotřebu zvířat a léčivými přípravky ve smyslu článku 1 směrnice Evropského parlamentu a Rady 2001/83/ES (1), jakož i výrobní metody a postupy týkající se jiných produktů, pokud mají vliv na jejich vlastnosti;“</w:t>
      </w:r>
    </w:p>
    <w:p w14:paraId="6C2A57E1" w14:textId="77777777">
      <w:pPr>
        <w:pStyle w:val="BodyText"/>
        <w:ind w:left="567"/>
        <w:rPr>
          <w:i/>
          <w:iCs/>
        </w:rPr>
      </w:pPr>
    </w:p>
    <w:p w14:paraId="2F7A4C59" w14:textId="62E0EC95">
      <w:pPr>
        <w:pStyle w:val="BodyText"/>
        <w:ind w:left="1440"/>
        <w:jc w:val="right"/>
      </w:pPr>
      <w:r>
        <w:t xml:space="preserve">(Čl. 1 odst. 1 písm. c) směrnice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Rozsudek ze dne 11. ledna 1996</w:t>
        </w:r>
      </w:hyperlink>
      <w:r>
        <w:rPr>
          <w:rFonts w:ascii="Times New Roman" w:hAnsi="Times New Roman" w:cs="Times New Roman" w:eastAsia="Times New Roman"/>
          <w:b/>
          <w:i/>
          <w:szCs w:val="20"/>
        </w:rPr>
        <w:t xml:space="preserve">, Komise v. Nizozemsko, C-273/94, EU:C:1996:4, bod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Vnitrostátní předpis, který zavádí odchylku od stávajícího technického předpisu pro určitý výrobek, představuje „technický předpis“, pokud ukládá alternativní „technické specifikace“, které musí každá osoba, která si přeje výjimku využít, dodržet.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Použití nařízení odchylujícího se od jiného již existujícího technického předpisu, který se týká téhož výrobku, na určitý výrobek, jako je margarín, představuje technický předpis ve smyslu čl. 1 odst. 5 směrnice, jelikož stanoví technické specifikace ve smyslu čl. 1 odst. 1, jejichž dodržování je při uvádění na trh nebo používání tohoto výrobku závazné de iure nebo de facto. Pokud se margarín nevyrábí v souladu s ustanoveními vyhlášky o margarínu, může být vyroben pouze za použití náhradních výrobků povolených spornou vyhláškou. Nejenže je použití těchto náhradních výrobků omezeno podmínkami stanovenými ve sporné vyhlášce, ale tyto výrobky jsou jedinými alternativami k výrobkům, které mohou být použity na základě nařízení o Margarine. Sporná vyhláška tedy měla být oznámena v souladu se směrnicí.“</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Rozsudek ze dne 30. dubna</w:t>
      </w:r>
      <w:r>
        <w:rPr>
          <w:b/>
          <w:bCs/>
          <w:i/>
          <w:iCs/>
          <w:color w:val="0000FF"/>
          <w:sz w:val="22"/>
          <w:szCs w:val="18"/>
          <w:u w:val="single"/>
        </w:rPr>
        <w:fldChar w:fldCharType="end"/>
        <w:t>1996</w:t>
      </w:r>
      <w:r>
        <w:t xml:space="preserve">, CIA Security International SA, C-194/94, EU:C:1996:172, bod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Pravidlo musí být kvalifikováno jako „technický předpis“, pokud vyžaduje, aby dotyčné podniky požádaly o předchozí schválení svých zařízení, i když zamýšlená správní pravidla nebyla přijata.</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pravidlo musí být kvalifikováno jako technický předpis ve smyslu směrnice 83/189, pokud – jak uvedla belgická vláda na jednání – vyžaduje, aby dotyčné podniky požádaly o předchozí schválení svého vybavení, i když nebyla přijata zamýšlená správní úprava.“</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Rozsudek ze dne 16. září</w:t>
      </w:r>
      <w:r>
        <w:rPr>
          <w:b/>
          <w:bCs/>
          <w:i/>
          <w:iCs/>
          <w:color w:val="0000FF"/>
          <w:sz w:val="24"/>
          <w:szCs w:val="20"/>
          <w:u w:val="single"/>
        </w:rPr>
        <w:fldChar w:fldCharType="end"/>
        <w:t xml:space="preserve">1996, Komise v. Itálie, C-279/94, EU:C:1997:396, bod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Ustanovení, které stanoví limity pro koncentraci respirabilních azbestových vláken na pracovištích, není „technickou specifikací“, neboť nedefinuje požadované vlastnosti výrobku.</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Podle čl. 1 bodu 5 směrnice se však „technickým předpisem“ rozumí „technické specifikace, včetně příslušných správních předpisů, jejichž dodržování je při uvádění na trh nebo používání v členském státě právně nebo fakticky povinné“. Podle čl. 1 bodu 1 směrnice se „technickou specifikací“ rozumí specifikace obsažená v dokumentu, který stanoví požadované vlastnosti výrobku, jako jsou úrovně jakosti, vlastností a bezpečnosti. Článek 3 odst. 1 zákona č. 257/92 stanoví limity pro koncentraci vdechovatelných azbestových vláken na pracovištích. Vzhledem k tomu, že toto ustanovení nedefinuje požadovanou vlastnost výrobku, nespadá v zásadě pod definici technické specifikace, a proto jej nelze považovat za technický předpis, který musí být oznámen Komisi podle čl. 8 odst. 1 prvního pododstavce směrnice. Ačkoli dodržování mezních hodnot koncentrací vdechovatelných azbestových vláken stanovených v článku 3 zákona č. 257/92 může mít důsledky pro vlastnosti dotčeného výrobku, které jsou stanoveny v čl. 1 bodě 1 směrnice, Komise neprokázala, v čem by tomu tak mohlo být.“</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Rozsudek ze dne 17. září 1996</w:t>
        </w:r>
      </w:hyperlink>
      <w:r>
        <w:t xml:space="preserve">, Komise v. Itálie, C-289/94, EU:C:1996:330, bod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Vyhláška upravující jakost vody určené k pěstování měkkýšů je „technickým předpisem“ podléhajícím oznámení, neboť má přímý dopad na uvádění dotyčných produktů na trh.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I když se vyhláška č. 256 týká určitých aspektů jakosti vod určených k produkci jedlých mlžů lamellibranch, nicméně stanoví, jak správně uvedla Komise, velmi úzkou souvislost mezi jakostí vod využívaných k tomuto pěstování a uváděním lamellibranch měkkýšů určených k lidské spotřebě na trh. Na trh tak mohou být uváděni pouze měkkýši pěstovaní ve vodách odpovídajících technickým specifikacím stanoveným vyhláškou č. 256 Sb. Dodržování těchto závazných specifikací má tedy přímý dopad na uvádění měkkýšů na trh, takže vyhláška č. 256 musí být považována za technický předpis podléhající oznamovací povinnosti podle článku 8 směrnice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Rozsudek ze dne 11. května 1999</w:t>
        </w:r>
      </w:hyperlink>
      <w:r>
        <w:t xml:space="preserve">, Albers a další, C-425/97 až 427/97, EU:C:1999:243, body 16 a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Pravidla zakazující podávání některých léčivých přípravků skotu představují „technické specifikace“, neboť definují metody produkce zemědělských produktů.</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právní úprava, která, stejně jako v projednávané věci, má za cíl zabránit podávání sympathikomimietických látek výkrmu skotu staršího 14 týdnů, představuje technické specifikace ve smyslu čl. 1 odst. 1 směrnice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Tato pravidla definují metody a postupy produkce zemědělských produktů, jak jsou definovány v čl. 38 odst. 1 Smlouvy o ES (nyní po změně čl. 32 odst. 1 ES), určených k lidské spotřebě.“</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Rozsudek ze dne 22. ledna 2000</w:t>
        </w:r>
      </w:hyperlink>
      <w:r>
        <w:t xml:space="preserve">, Canal Satélite Digital, C-390/99, EU:C:2002:34, body 45 až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Vnitrostátní právní úprava, která vyžaduje předchozí registraci a certifikaci zařízení pro digitální přenos a příjem satelitních televizních signálů před jejich uvedením na trh, představuje „technický předpis“, neboť definuje vlastnosti dotčených výrobků.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Soudní dvůr již rozhodl, že vnitrostátní ustanovení, která se omezují na stanovení podmínek pro usazování podniků, jako jsou ustanovení, která podmiňují výkon činnosti předchozím povolením, nepředstavují technické předpisy ve smyslu čl. 1 bodu 9 směrnice 83/189. Technické předpisy ve smyslu tohoto ustanovení jsou specifikacemi definujícími vlastnosti výrobků, a nikoli specifikacemi týkajícími se hospodářských subjektů (rozsudek Soudního dvora ze dne 11. března 1996, CIA Security, C-194/94, Recueil, s. I-2201, bod 25; Rozsudek Soudního dvora ve věci Van der Burg, C-278/99, Recueil 2001, s. I-2015, bod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Vnitrostátní ustanovení však musí být kvalifikováno jako technický předpis ve smyslu čl. 1 bodu 9 směrnice 83/189, pokud vyžaduje, aby dotyčné podniky požádaly o předchozí schválení svého vybavení (výše uvedený rozsudek CIA Security, bod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Z toho vyplývá, že vnitrostátní právní úprava, která ukládá provozovatelům služeb podmíněného přístupu povinnost vstupovat do zařízení, dekodérů nebo systémů pro digitální přenos a příjem televizních signálů pomocí družice, které hodlají uvést na trh v registru, a získat předchozí certifikaci těchto výrobků před tím, než je mohou uvést na trh, představuje ‚technický předpis‘ ve smyslu čl. 1 bodu 9 směrnice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Rozsudek ze dne 26. září 2000</w:t>
        </w:r>
      </w:hyperlink>
      <w:r>
        <w:t xml:space="preserve">, Unilever Italia, C-443/98, EU:C:2000:496, body 25 a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Ustanovení o označování původu olivového oleje je „technickou specifikací“, protože se jedná o požadavek na označování produktu.</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V tomto ohledu stačí uvést, že podle čl. 1 odst. 1 směrnice 83/189 považuje směrnice 83/189 za „produkty“ jak průmyslové, tak zemědělské produkty a že podle odstavce 2 téhož článku směrnice 83/189 považuje za „technickou specifikaci“ jakoukoli specifikaci obsaženou v dokumentu, který stanoví požadované vlastnosti výrobku, včetně požadavků vztahujících se na výrobek, pokud jde o označování. Vnitrostátní právní úprava obsahující takové specifikace představuje technické specifikace ve smyslu směrnice 83/189 bez ohledu na důvody, na jejichž základě byla přijata (viz v tomto smyslu rozsudek ze dne 17. března 1997, Bic Benelux v. Belgický stát, C-13/96, Recueil, s. I-1753, bod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Napadený zákon, který upravuje označování původu olivového oleje, tak obsahuje pravidla, která musí být kvalifikována jako „technické specifikace“ ve smyslu směrnice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Rozsudek ze dne 12. října 2000</w:t>
        </w:r>
      </w:hyperlink>
      <w:r>
        <w:t xml:space="preserve">, Snellers, C-314/98, EU:C:2000:557, body 37 až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„Technická specifikace“ se musí vztahovat na výrobek jako takový. Nařízení, které stanoví kritéria pro určení data, kdy se má za to, že vozidlo bylo poprvé schváleno k provozu na veřejných komunikacích pro účely vydání osvědčení o registraci, nedefinuje žádné vlastnosti požadované pro samotný výrobek, a proto jej nelze kvalifikovat jako „technický předpis“.</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pravidla, která, stejně jako pravidla dotčená ve věci v původním řízení, mají za cíl určit datum prvního povolení k provozu na veřejných komunikacích, nejsou technickými specifikacemi ve smyslu směrnice 83/189, a nemohou být tedy kvalifikovány jako technické předpisy spadající do působnosti této směrnice.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Článek 1 odst. 1 směrnice 83/189 stanoví, že pokud jde o takové výrobky, jako jsou výrobky dotčené ve věci v původním řízení, je technickou specifikací pro účely této směrnice „specifikace obsažená v dokumentu, který stanoví požadované vlastnosti výrobku. Technické specifikace pro účely směrnice 83/189 musí tedy odkazovat na výrobek jako takový; to je ostatně potvrzeno demonstrativním výčtem dotčených specifikací, který je uveden jako příklad v čl. 1 odst. 1 této směrnice.</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Nařízení stanoví několik kritérií pro určení data, kdy se má za to, že vozidlo ve smyslu Wegenverkeerswet získalo první povolení k užívání veřejné komunikace pro účely vyhotovení osvědčení o registraci. Nařízení proto nedefinuje žádnou požadovanou vlastnost produktu jako takového.“</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Rozsudek ze dne 16. listopadu 2000</w:t>
        </w:r>
      </w:hyperlink>
      <w:r>
        <w:rPr>
          <w:rFonts w:ascii="Times New Roman" w:hAnsi="Times New Roman" w:cs="Times New Roman" w:eastAsia="Times New Roman"/>
          <w:b/>
          <w:i/>
          <w:szCs w:val="20"/>
        </w:rPr>
        <w:t xml:space="preserve">, Donkersteeg, C-37/99, EU:C:2000:636, body 30 a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Pro zemědělské produkty je „technická specifikace“ textem, který definuje jejich požadované vlastnosti nebo metody produkce. Pravidlo, které stanoví podmínky očkování hospodářských zvířat, je pravidlem produkce, a tedy „technickou specifikací“.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Jak bylo připomenuto v bodě 20 tohoto rozsudku, v souladu s čl. 1 odst. 1 této směrnice, pokud jde o zemědělské produkty, je „technická specifikace“ obsažena v dokumentu, který stanoví požadované vlastnosti produktu nebo jeho výrobní metody a postupy.</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Takové pravidlo, jako je pravidlo obsažené v čl. 2 odst. 1 VBZA, je technickou specifikací ve smyslu čl. 1 odst. 1 směrnice. Jak správně tvrdí Komise, vzhledem k tomu, že přesná a podrobná pravidla týkající se očkování proti Aujeszkyho chorobě jsou spojena s výrobou dotčeného zemědělského produktu v úzkém slova smyslu a musí být dodržována během celého produkčního cyklu, toto pravidlo tedy definuje „postup“ při výrobě tohoto produktu.“</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Rozsudek ze dne 8. března 2001</w:t>
        </w:r>
      </w:hyperlink>
      <w:r>
        <w:t xml:space="preserve">, Van der Burg, C-278/99, EU:C:2001:143, bod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Nařízení, které se omezuje na zákaz obchodní reklamy, ale nestanoví požadované vlastnosti výrobku, nepředstavuje „technickou specifikaci“, a nelze jej tedy považovat za „technický předpis“.</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Podle čl. 1 odst. 1 směrnice 83/189 se „technickou specifikací“ rozumí „specifikace obsažená v dokumentu, který stanoví požadované vlastnosti výrobku“. Technické specifikace ve smyslu směrnice 83/189 musí tedy odkazovat na výrobek jako takový (viz rozsudek Soudního dvora ze dne 19. září 2000, Snellers Auto’s v. Algemeen Directeur van de Dienst Wegverkeer, C-314/98, Recueil, s. I-0000, bod 38). Právní úprava, jako je čl. C.11.1 odst. 1 vyhlášky, která pouze zakazuje způsob uvádění na trh, však nestanoví požadované vlastnosti produktu.“</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Rozsudek ze dne 6. června 2002</w:t>
        </w:r>
      </w:hyperlink>
      <w:r>
        <w:t xml:space="preserve">, Sapod Audic, C-159/00, EU:C:2002:343, body 30 až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Ustanovení vnitrostátního práva, které stanoví povinnost identifikovat obal, představuje „technický předpis“, který musí být oznámen, pokud s sebou nese povinnost tento obal označit nebo označit.</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Vzhledem k tomu, že povinnost identifikovat obal stanovená v čl. 4 druhém pododstavci nařízení č. 92–377 podle všeho neznamená povinnost označit nebo označit tento obal, nezdá se, že by tato povinnost nutně odkazovala na výrobek nebo jeho obal jako takový. Toto ustanovení nelze vykládat tak, že stanoví požadované vlastnosti výrobku ve smyslu čl. 1 odst. 1 směrnice 83/189, a nelze jej tedy považovat za technickou specifikaci (viz zejména rozsudek ze dne 12. prosince 2001, Van der Burg, C-278/99, Recueil, s. I-2015, bod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31.Je však třeba uvést, že v rámci rozdělení pravomocí stanoveného v článku 234 ES přísluší vnitrostátnímu soudu, aby vyložil vnitrostátní právo, v projednávaném případě čl. 4 druhý pododstavec nařízení č.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V důsledku toho je třeba rovněž přezkoumat možnost, že předkládající soud s ohledem na všechny skutkové a právní okolnosti, které má předkládající soud k dispozici, dospěje k závěru, že čl. 4 druhý pododstavec nařízení č. 92–377 musí být vykládán v tom smyslu, že ukládá výrobcům povinnost označit nebo označit obal, aniž by upřesnil, které označení musí být umístěno.</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V takovém případě by bylo třeba mít za to, že toto ustanovení je ve skutečnosti technickou specifikací ve smyslu směrnice 83/189, a tudíž vzhledem k tomu, že tato povinnost je uložena vyhláškou v případě uvádění balených výrobků na trh na celém území státu, představuje toto ustanovení technický předpis.“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Rozsudek ze dne 8. září 2005</w:t>
        </w:r>
      </w:hyperlink>
      <w:r>
        <w:t xml:space="preserve">, Komise v. Portugalsko, C-500/03, EU:C:2005:515, bod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Pravidlo, které stanoví maximální délku a výšku rekreačního plavidla a omezuje jeho pohon, je „technickou specifikací“.</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(Jelikož rozsudek je k dispozici pouze ve francouzštině a portugalštině, je následující text překladem.)</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Ze znění čl. 2 odst. 1 tohoto nařízení vyplývá, že obsahuje technické specifikace ve smyslu čl. 1 bodu 3 směrnice 98/34, které představují technické předpisy ve smyslu této směrnice. Požadavky obsažené v tomto nařízení se týkají maximální délky a výšky, jakož i omezení pohonu rekreačních plavidel používaných k plavbě. Tato technická omezení se vztahují na všechny veřejné vodohospodářské laguny veřejné služby v Portugalsku, s výjimkou oblastí na řece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Rozsudek ze dne 8. listopadu 2007</w:t>
        </w:r>
      </w:hyperlink>
      <w:r>
        <w:t xml:space="preserve">, Schwibbert, C-20/05, EU:C:2007:652, body 35 až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Vnitrostátní ustanovení zavádějící povinnost umisťovat rozlišovací označení na výrobky za účelem jejich uvedení na trh v členském státě představují „technickou specifikaci“, neboť se jedná o požadavky týkající se značení a označování výrobků.</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Jak Soudní dvůr rozhodl, pojem „technická specifikace“ předpokládá, že vnitrostátní opatření odkazuje na výrobek nebo jeho obal jako takový, a stanoví tak jednu z požadovaných vlastností výrobku (viz v tomto smyslu rozsudek ze dne 12. prosince 2001, van der Burg, C-278/99, Recueil, s. I-2015, bod 20; Věc Canal Satélite Digital, C-390/99, Recueil 2002, s. I-607, bod 45; jakož i výše uvedené rozsudky Sapod Audic (bod 30) a Lindberg (bod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V projednávané věci nelze než dospět, spolu s generální advokátkou, která o tom pojednala v bodech 46 a 48 svého stanoviska, k závěru, že umístění rozlišujícího znaku „SIAE“, který má informovat spotřebitele a vnitrostátní orgány o tom, že rozmnoženiny jsou legální, se provádí na samotný nosič obsahující duševní dílo, tj. na samotný výrobek. Tvrzení Società Italiana degli Autori ed Editori a italské vlády, že tento znak se vztahuje výlučně k duševnímu dílu, tedy není přesné.</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Přičemž takovýto rozlišující znak je „technickou specifikací“ ve smyslu čl. 1 bodu 3 směrnice 98/34, neboť patří mezi předpisy vztahující se na dotčené výrobky při jejich opatřování štítkem s jmenovitými údaji. Vzhledem k tomu, že dodržování této specifikace je při uvádění těchto produktů na trh právně závazné, představuje tato specifikace „technický předpis“ ve smyslu čl. 1 bodu 11 této směrnice (viz v tomto smyslu rozsudek ze dne 17. března 1997, Bic Benelux, C-13/96, Recueil, s. I-1753, bod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Rozsudek ze dne 14. dubna 2011</w:t>
        </w:r>
      </w:hyperlink>
      <w:r>
        <w:t xml:space="preserve">, Vlaamse Dierenartsenvereniging a Janssens, C-42/10, C-45/10 a C-57/10, EU:C:2011:253, body 68 až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Směrnice se nevztahuje na pasy pro zvířata v zájmovém chovu, které nelze klasifikovat jako „produkty“, protože nemohou být předmětem obchodních transakcí. Vnitrostátní předpisy o pasech pro zvířata v zájmovém chovu proto nepředstavují „technickou specifikaci“, která by měla být sdělena Komisi.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Soudní dvůr měl příležitost připomenout, že do působnosti volného pohybu zboží spadají pouze výrobky, které mohou být oceněny v penězích a které jako takové mohou být předmětem obchodních transakcí (viz v tomto smyslu zejména rozsudky ze dne 6. prosince 1968, Komise v. Itálie, 7/68, Recueil, s. 617, 626, a ze dne 12. prosince 2006, Komise v. Řecko, C-65/05, Sb. rozh. s. I-10341, body 23 až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Je přitom nesporné, že pokud jsou pasy pro zvířata v zájmovém chovu opatřeny individuálním poznávacím číslem a identifikují konkrétní zvíře, nemohou být jako takové předmětem obchodních transakcí.</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Tyto pasy tedy nemohou být kvalifikovány jako „produkty“ ve smyslu judikatury Soudního dvora; směrnice 98/34 se na ně rovněž nemůže vztahovat. V důsledku toho takové specifikace, jako jsou specifikace obsažené v belgické právní úpravě dotčené ve věci v původním řízení, nemohou být kvalifikovány jako technické specifikace, které musí být v souladu s článkem 8 této směrnice předem sděleny Komisi, a pokud tomu tak není, nesmí je vnitrostátní soud použít (viz v tomto smyslu rozsudek ze dne 18. listopadu 2007, Schwibbert, C-20/05, Sb. rozh. s. I-9447, body 33 a 44 a citovaná judikatura).“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Rozsudek ze dne 9. června 2011</w:t>
        </w:r>
      </w:hyperlink>
      <w:r>
        <w:t xml:space="preserve">, Intercommunale Intermosane a Fédération de l’industrie et du gaz, C-361/10, EU:C:2011:382, body 14 až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Vnitrostátní předpisy, které stanoví minimální požadavky na konstrukci elektrických zařízení a bezpečnost zaměstnanců, nepředstavují „technické specifikace“, neboť stanoví obecné cíle v oblasti bezpečnosti a ochrany, aniž by odkazovaly přímo na výrobek nebo jeho obal a aniž by definovaly jeho vlastnosti.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je třeba určit, zda vnitrostátní předpisy dotčené v původním řízení spadají do první kategorie technických předpisů stanovené v čl. 1 bodě 11 směrnice 98/34, a sice pod pojem „technická specifikace“.</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Z judikatury vyplývá, že tento pojem, který je definován v čl. 1 bodě 3, předpokládá, že vnitrostátní opatření se vztahuje na výrobek a jeho obal jako takové, a stanoví tudíž jednu z požadovaných charakteristik výrobku (viz výše uvedený rozsudek Schwibbert, bod 35 a citovaná judikatura).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Co se týče vnitrostátních pravidel, o která se jedná v původním řízení, je třeba uvést, že minimální požadavky na instalaci některých elektrických zařízení stanovené těmito pravidly mají za úkol zajistit bezpečnost těchto zařízení s cílem chránit pracovníky, kteří je užívají.</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Je však třeba konstatovat, že tyto minimální požadavky zahrnují obecná zadání a cíle v oblasti bezpečnosti a ochrany, i když nutně neodkazují na dotčený výrobek nebo jeho obal jako takové, a neurčují tudíž vlastnosti tohoto výrobku.</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Vnitrostátní ustanovení dotčená v původním řízení proto neobsahují technické specifikace ve smyslu směrnice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Rozsudek ze dne 19. července 2012</w:t>
        </w:r>
      </w:hyperlink>
      <w:r>
        <w:t xml:space="preserve">, Fortuna a další, C-213/11, C-214/11 a C-217/11, EU:C:2012:495, body 28 až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Vnitrostátní předpisy omezující provozování nízkonákladových hracích přístrojů mimo kasina nejsou „technickými předpisy“, protože neodkazují na vlastnosti hracích automatů nebo jejich balení.</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k tomu, aby vnitrostátní opatření spadalo do první kategorie technických předpisů uvedené v čl. 1 bodě 11 směrnice 98/34, tedy pod pojem „technická specifikace“, musí nutně odkazovat na výrobek nebo jeho obal jako takový, a stanovit tak jednu z požadovaných vlastností výrobku (viz výše uvedený rozsudek Intercommunale Intermosane a Fédération de l’industrie et du gaz, bod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Stačí přitom konstatovat, že se přechodná ustanovení zákona o hazardních hrách týkají povolení k výkonu činnosti her na výherních hracích přístrojích s nízkými výhrami. Netýkají se výherních hracích přístrojů s nízkými výhrami nebo jejich balení jako takových, a neurčují tedy jejich charakteristiky.</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Vnitrostátní ustanovení dotčená v původním řízení proto neobsahují technické specifikace ve smyslu směrnice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Rozsudek ze dne 10. července 2014</w:t>
        </w:r>
      </w:hyperlink>
      <w:r>
        <w:rPr>
          <w:b/>
          <w:i/>
        </w:rPr>
        <w:t xml:space="preserve">, Ivansson a další</w:t>
      </w:r>
      <w:r>
        <w:rPr>
          <w:sz w:val="25"/>
        </w:rPr>
        <w:t>,</w:t>
      </w:r>
      <w:r>
        <w:rPr>
          <w:b/>
          <w:i/>
        </w:rPr>
        <w:t xml:space="preserve"> C-307/13, EU:C:2014:2058, body 19 až 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Pravidlo, které stanoví obecný cíl pohodlí drůbeže a kvality chovných zařízení, není „technickou specifikací“, protože nestanoví vlastnosti produktu a není dostatečně přesné na to, aby definovalo způsob produkce.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Je třeba upřesnit, že v souladu s judikaturou tento pojem [technické specifikace] předpokládá, že vnitrostátní opatření musí nutně odkazovat na výrobek nebo jeho obal jako takový, a stanovit tak jednu z požadovaných vlastností výrobku (v tomto smyslu viz rozsudek Fortuna a další, EU:C:2012:495, bod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Pokud jde o zemědělské produkty, Soudní dvůr dále uvedl, že pojem „technická specifikace“ označuje specifikaci, která je uvedena v dokumentu, který definuje vlastnosti produktu nebo metody a postupy jeho produkce (v tomto smyslu viz rozsudek Donkersteeg, C-37/99, EU:C:2000:636, bod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Je nicméně třeba poznamenat, že se § 9 nařízení (1988:539) sice týká komfortu a kvality infrastruktury, v níž jsou nosnice chovány, to znamená zařízených klecí, avšak toto ustanovení, jak uvádí polská vláda, nedefinuje vlastnosti, které musí produkty, o které se jedná ve věci v původním řízení, vykazovat.</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Kromě toho platí, že i kdyby bylo možné vycházet z toho, že se toto ustanovení týká metody produkce, neboť – jak bylo uvedeno v předchozím bodě – upravuje chov nosnic v zařízených klecích, je přesto třeba poznamenat, že uvedené ustanovení se omezuje na obecné uvedení požadavku existence hnízd, hřadů a míst pro popelení v rámci této infrastruktury, avšak nestanovuje konkrétně různé aspekty tohoto způsobu chovu. Ustanovení § 9 nařízení (1988:539) totiž neobsahuje žádné údaje týkající se například velikosti, počtu, teploty, údržby, funkčnosti uvedených zařízení, pokud jde o to, aby nosnice měly zajištěno světlo, nebo pokud jde o zařízení pro krmení a napájení. Vzhledem k tomu, že § 9 nařízení (1988:539) neobsahuje žádné bližší upřesnění, nemůže být proto považován za ustanovení definující metodu nebo postup produkce.</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Kromě toho je třeba uvést, že § 9 první pododstavec DSF tím, že uvádí, že „systém ustájení musí být takový, aby úmrtnost a poruchy chování slepic byly udržovány na nízké úrovni“ bez jakéhokoli jiného údaje, pouze uvádí obecné cíle týkající se dobrých životních podmínek slepic určených k produkci vajec, aniž nutně odkazuje na dotčený výrobek, a tedy aniž stanoví vlastnosti tohoto výrobku (obdobně viz rozsudek Intercommunale Intermosane a Fédération de l’Industrie et du gaz, C-361/10, EU:C:2011:382, bod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Rozsudek ze dne 27. října 2016</w:t>
        </w:r>
      </w:hyperlink>
      <w:r>
        <w:t xml:space="preserve">, James Elliott Construction, C-613/14, EU:C:2016:821, bod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Vnitrostátní ustanovení, která stanoví implicitní smluvní podmínky týkající se jakosti prodávaných výrobků, nepředstavují „technické specifikace“, protože nedefinují vlastnosti dotčeného výrobku.</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V projednávané věci se zaprvé jeví, že taková ustanovení, jako jsou ustanovení dotčená ve věci v původním řízení, buď sama o sobě, nebo tak, jak jsou vykládána irskými soudy, nespadají pod pojem „technická specifikace“ ve smyslu čl. 1 bodu 3 směrnice 98/34. Tento pojem zahrnuje pouze vnitrostátní opatření, která odkazují na výrobek nebo jeho obal jako takový, a stanoví tak jednu z požadovaných vlastností výrobku (rozsudek ze dne 10. července 2014, Ivansson a další, C 307/13</w:t>
        <w:noBreakHyphen/>
        <w:t xml:space="preserve">, EU:C:2014:2058, bod 19 a citovaná judikatura). Tak tomu zjevně není v případě požadavku, který se vztahuje obecně na prodej všech výrobků, pokud se strany nedohodnou jinak.“</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Rozsudek ze dne 1. února 2017</w:t>
        </w:r>
      </w:hyperlink>
      <w:r>
        <w:t xml:space="preserve">, Município de Palmela, C-144/16, EU:C:2017:76, bod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Nařízení, které vyžaduje, aby byly ve volnočasové oblasti uvedeny informace o maximální kapacitě této oblasti, nepředstavuje „technickou specifikaci“, neboť nestanoví vlastnosti výrobku.</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takové ustanovení nespadá do kategorie technických specifikací ve smyslu čl. 1 bodu 3 směrnice 98/34, jelikož je nesporné, že ustanovení, která stanoví požadavky a obecné cíle v oblasti bezpečnosti a ochrany, aniž by nutně odkazovala na dotyčný výrobek nebo jeho obal jako takový, a tedy aniž by stanovila vlastnosti tohoto výrobku, nepředstavují technické specifikace (v tomto smyslu viz rozsudek ze dne 9. června 2011, Intercommunale Intermosane a Fédération de l’industrie et du gaz, C-361/10, EU:C:2011:382, body 17 a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Rozsudek ze dne 26. září 2018</w:t>
        </w:r>
      </w:hyperlink>
      <w:r>
        <w:t xml:space="preserve">, Van Gennip a další, C-137/17, EU:C:2018:771, bod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ustanovení, která podmiňují uvádění výrobků na trh kupujícím, který je držitelem povolení, nespadají pod pojem „technická specifikace“, neboť nedefinují vlastnosti samotného výrobku nebo jeho obalu.</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Pokud jde zaprvé o pojem „technická specifikace“, je třeba připomenout, že tento pojem předpokládá, že vnitrostátní opatření nutně odkazuje na výrobek nebo jeho obal jako takový, a stanoví tedy jednu z požadovaných vlastností výrobku, jako jsou rozměry, obchodní označení, označení na obalu nebo označení (rozsudek ze dne 10. července 2014, Ivansson a další, C 307/13</w:t>
        <w:noBreakHyphen/>
        <w:t xml:space="preserve">, EU:C:2014:2058, bod 19 a citovaná judikatura). Jak však uvedl generální advokát v bodě 74 svého stanoviska, belgická právní úprava se nevztahuje na pyrotechnické výrobky nebo jejich obal jako takové, takže tato právní úprava nestanovuje některou z požadovaných charakteristik těchto výrobků. Tato právní úprava tudíž nepředstavuje „technickou specifikaci“ ve smyslu čl. 1 bodu 3 směrnice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Rozsudek ze dne 28. května 2020</w:t>
        </w:r>
      </w:hyperlink>
      <w:r>
        <w:t xml:space="preserve">, ECO-WIND Construction, C-727/17, EU:C:2020:393, body 36 a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Nařízení, které stanoví minimální vzdálenost pro instalaci větrných turbín, nepředstavuje „technickou specifikaci“, neboť nestanoví vlastnosti výrobku.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pokud jde o případnou kvalifikaci téhož požadavku jako technického předpisu z důvodu, že spadá do kategorie „technických specifikací“, je třeba připomenout, že technická specifikace předpokládá, že vnitrostátní opatření, které stanoví, odkazuje na výrobek nebo jeho obal jako takový, a že tedy stanoví jednu z požadovaných vlastností tohoto výrobku (rozsudky ze dne 21. dubna 2005, Lindberg, C-267/03, EU:C:2005:246, bod 57, jakož i ze dne 19. července 2012, Fortuna a další, C-213/11, C-214/11 a C-217/11, EU:C:2012:495, bod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V projednávaném případě se přitom právní úprava dotčená v původním řízení pouze omezuje na regulaci výstavby větrných elektráren tím, že stanoví povinnou minimální vzdálenost, která musí být dodržena při jejich umístění. Tato právní úprava tedy neodkazuje na výrobek jako takový, v projednávaném případě na větrný generátor, a nestanoví tedy jednu z požadovaných vlastností tohoto výrobku ve smyslu čl. 1 odst. 1 písm. f) směrnice 2015/1535 vykládaného ve světle čl. 1 odst. 1 písm. c) této směrnice.“</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Rozsudek ze dne 22. října 2020</w:t>
        </w:r>
      </w:hyperlink>
      <w:r>
        <w:t xml:space="preserve">, Sportingbet a Internet Opportunity Entertainment, C-275/19, EU:C:2020:856, body 42 a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Vnitrostátní právní úprava, která vyhrazuje provozování hazardních her státu a vyžaduje, aby byla povolení udělována pouze veřejnoprávním společnostem, není „technickou specifikací“, neboť nedefinuje požadované vlastnosti výrobku.</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Podle čl. 1 bodu 1 směrnice 83/189 představuje technickou specifikaci pro účely této směrnice specifikace obsažená v dokumentu, který stanoví požadované charakteristiky výrobku, jako jsou úrovně jakosti, ukazatele vlastností, bezpečnost nebo rozměry, včetně požadavků na výrobek, jako jsou terminologie, symboly, zkoušení a zkušební metody, balení, označování výrobků nebo jejich opatřování štítkem s jmenovitými údaji (v tomto smyslu viz rozsudek ze dne 8. března 2001, van der Burg, C-278/99, EU:C:2001:143, bod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Vzhledem k tomu, že články 3 a 9 nařízení s mocí zákona č. 422/89 stanoví pravidla pro udělování koncesí na provozování hazardních her, jakož i podmínky a oblasti pro výkon této činnosti, nezdá se, že by se tato ustanovení týkala vlastností požadovaných pro výrobek ve smyslu čl. 1 odst. 1 směrnice 83/189, takže nemohou být kvalifikována jako „technické předpisy“ ve smyslu čl. 1 odst. 5 této směrnice.“</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Jiné požadavky</w:t>
      </w:r>
      <w:bookmarkEnd w:id="46"/>
      <w:bookmarkEnd w:id="47"/>
    </w:p>
    <w:p w14:paraId="48370E42" w14:textId="77777777">
      <w:pPr>
        <w:pStyle w:val="BodyText"/>
      </w:pPr>
    </w:p>
    <w:p w14:paraId="032AC50F" w14:textId="77777777">
      <w:pPr>
        <w:pStyle w:val="P68B1DB1-BodyText11"/>
        <w:ind w:left="567"/>
        <w:rPr>
          <w:i/>
        </w:rPr>
      </w:pPr>
      <w:r>
        <w:t xml:space="preserve">„„jinými požadavky“ požadavek jiný než technická specifikace, který je uložen na výrobek zejména z důvodu ochrany spotřebitelů nebo životního prostředí a který ovlivňuje jeho životní cyklus po jeho uvedení na trh, jako jsou podmínky použití, recyklace, opětovného použití nebo zneškodňování, pokud tyto podmínky mohou významně ovlivnit složení nebo povahu výrobku nebo jeho uvedení na trh;“</w:t>
      </w:r>
    </w:p>
    <w:p w14:paraId="1AD68414" w14:textId="77777777">
      <w:pPr>
        <w:pStyle w:val="BodyText"/>
        <w:ind w:left="567"/>
        <w:rPr>
          <w:i/>
          <w:iCs/>
        </w:rPr>
      </w:pPr>
    </w:p>
    <w:p w14:paraId="3295AC84" w14:textId="258D2B2D">
      <w:pPr>
        <w:pStyle w:val="BodyText"/>
        <w:ind w:left="1440"/>
        <w:jc w:val="right"/>
      </w:pPr>
      <w:r>
        <w:t xml:space="preserve">(Čl. 1 odst. 1 písm. d) směrnice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Rozsudek ze dne 21. dubna 2005</w:t>
        </w:r>
      </w:hyperlink>
      <w:r>
        <w:t xml:space="preserve">, Lindberg, C-267/03, EU:C:2005:246, body 68 až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Vnitrostátní zákaz některých hazardních her může být kvalifikován jako „jiný požadavek“, pokud může ovlivnit složení, povahu nebo uvádění výrobku na trh. Pokud však zákaz neponechává prostor pro použití výrobku, bude popsán jako ustanovení o zákazu (viz část I., hlava e. „Ustanovení o zákazu“ tohoto dokumentu).</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je třeba konstatovat, že takové vnitrostátní opatření, jako je zákaz dotčený ve věci v původním řízení, je podle všeho výslovně zahrnuto pod pojem „jiné požadavky“ vložený směrnicí 94/10 do směrnice 83/189 za účelem rozšíření jeho působnosti, a nespadá tedy do kategorie technických specifikací.</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Jedná se totiž o požadavek na určitý výrobek, a sice hrací automaty, uložený především z důvodu ochrany spotřebitelů, v projednávaném případě dotčených hráčů.</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Za těchto podmínek se takový zákaz, jakým je zákaz stanovený relevantními ustanoveními pozměněného zákona o loteriích, týká používání výrobku ve smyslu čl. 1 bodu 9 směrnice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Mimoto se požadavek dotčený v původním řízení nevztahuje na hrací automaty za účelem jejich uvedení na trh, ale týká se jejich životního cyklu po uvedení na trh ve smyslu definice pojmu „jiný požadavek“ uvedené v čl. 1 bodu 3 směrnice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Aby mohl být takový požadavek, jako je zákaz používání hracích automatů dotčených v původním řízení, kvalifikován jako „jiný požadavek“ ve smyslu čl. 1 bodu 3 směrnice 83/189, musí představovat „podmínku“ vztahující se v tomto případě na používání dotčeného výrobku, která může významně ovlivnit složení, povahu výrobku nebo jeho uvedení na trh.</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Vyvstává tedy nicméně otázka, zda zmíněný zákaz musí být kvalifikován jako „podmínka“ vztahující se na používání dotčeného výrobku nebo zda se naopak jedná o vnitrostátní opatření náležející do třetí kategorie technických předpisů uvedené v čl. 1 bodě 9 směrnice 83/189, která byla rovněž vložena do této směrnice směrnicí 94/10, a sice kategorie, která zahrnuje zejména „právní a správní předpisy členských států zakazující [...] používání určitého výrobku“.</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Příslušnost vnitrostátního opatření, takového, jako je opatření dotčené v původním řízení, do jedné z těchto dvou kategorií technických předpisů závisí na dosahu zákazu stanoveného tímto opatřením.</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V tomto ohledu je významné, že zmíněná třetí kategorie technických předpisů, definovaná v čl. 1 bodu 9 směrnice 83/189, neobsahuje, na rozdíl od druhé kategorie, kterou tvoří jiné požadavky ve smyslu bodu 3 téhož článku, podmínku, že dotčený zákaz musí být schopen významně ovlivnit složení, povahu výrobku nebo jeho uvedení na trh.</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Vzhledem k tomu, že tato třetí kategorie technických předpisů se vztahuje zejména na zákaz používání, musí se jednat o opatření, jejichž dosah jde jasně nad omezení určitých možných způsobů používání dotčeného výrobku, a tudíž se neomezují na pouhé omezení používání tohoto výrobku.</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Jak uvedl generální advokát v bodě 70 svého stanoviska, tato kategorie technických předpisů se vztahuje konkrétněji na vnitrostátní opatření, která neumožňují žádné jiné používání dotčeného výrobku, s výjimkou čistě okrajového, které je možno od dotčeného výrobku důvodně očekávat. Náleží předkládajícímu soudu přezkoumat, zda se jedná o takový případ, pokud jde o zákaz obsažený ve vnitrostátním ustanovení dotčeném v původním řízení.</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Pokud se po tomto přezkumu ukáže, že se v původním řízení nejedná o takový případ, může být vnitrostátní ustanovení kvalifikováno jako „jiný požadavek“, jelikož je nesporné, že dodržení takového požadavku je de iure povinné pro používání výrobku v dotčeném členském státě ve smyslu čl. 1 bodu 9 směrnice 83/189. V takovém případě je však rovněž na předkládajícím soudu, aby ověřil, zda dotčený zákaz může významně ovlivnit složení nebo povahu výrobku nebo jeho uvádění na trh ve smyslu čl. 1 odst.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Rozsudek ze dne 9. června 2011</w:t>
        </w:r>
      </w:hyperlink>
      <w:r>
        <w:t xml:space="preserve">, Intercommunale Intermosane a Fédération de l’industrie et du gaz, C-361/10, EU:C:2011:382, body 20 a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Vnitrostátní předpisy, které stanoví minimální požadavky na konstrukci elektrických zařízení a bezpečnost zaměstnanců, nemohou být kvalifikovány jako „jiné požadavky“, neboť jejich obecná povaha neumožňuje významně ovlivnit složení, povahu nebo uvádění dotyčných výrobků na trh.</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Podle judikatury musí minimální požadavky stanovené uvedenými ustanoveními k tomu, aby mohly být kvalifikovány jako „jiné požadavky“, představovat „podmínky“, které mohou významně ovlivnit složení nebo charakter dotčeného výrobku nebo jeho uvedení na trh (viz v tomto smyslu výše uvedený rozsudek Lindberg, bod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S ohledem na obecnou povahu uvedených požadavků nemohou být považovány za takové podmínky, a v důsledku toho nemohou být kvalifikovány jako „jiné požadavky“ ve smyslu čl. 1 odst. 4 směrnice.“</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Rozsudek ze dne 19. července 2012</w:t>
        </w:r>
      </w:hyperlink>
      <w:r>
        <w:t xml:space="preserve">, Fortuna a další, C-213/11, C-214/11 a C-217/11, EU:C:2012:495, body 35, 36 a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Vnitrostátní předpisy omezující provozování výherních hracích přístrojů mimo kasina mohou být kvalifikovány jako „jiné požadavky“, a tedy jako „technické předpisy“, pokud významně ovlivňují povahu nebo uvádění dotčených výrobků na trh.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Soudní dvůr rozhodl, že k tomu, aby dotčená vnitrostátní opatření mohla být kvalifikována jako „jiné požadavky“ ve smyslu čl. 1 bodu 4 směrnice 98/34, musí představovat „podmínky“, které mohou významně ovlivnit složení, povahu nebo uvádění dotčeného výrobku na trh (viz v tomto smyslu výše uvedené rozsudky Lindberg, bod 72, jakož i Intercommunale Intermosane a Fédération de l’industrie et du gaz, bod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V této souvislosti je třeba uvést, že přechodná ustanovení zákona o hazardních hrách stanoví podmínky, které mohou ovlivnit uvedení výherních hracích přístrojů s nízkými výhrami na trh. Zákaz vydávat, prodlužovat nebo měnit povolení k provozování hazardních her na výherních hracích přístrojích s nízkými výhrami mimo kasina může přímo ovlivnit obchod s hracími přístroji s nízkými výhrami.“</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na položené otázky je třeba odpovědět tak, že čl. 1 bod 11 směrnice 98/34 musí být vykládán v tom smyslu, že taková vnitrostátní ustanovení, jako jsou ustanovení zákona o hazardních hrách, která by mohla vést k omezení, či dokonce postupnému znemožnění provozování her na výherních hracích přístrojích s nízkými výhrami kdekoli jinde než v kasinech a hernách, mohou představovat „technický předpis“ ve smyslu tohoto ustanovení, jehož návrhy musí být předmětem sdělení ve smyslu čl. 8 odst. 1 prvního pododstavce uvedené směrnice, je-li prokázáno, že tato ustanovení představují podmínky, které mohou významně ovlivnit povahu nebo uvádění dotčeného výrobku na trh, což přísluší ověřit předkládajícímu soudu.“</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Rozsudek ze dne 10. července 2014</w:t>
        </w:r>
      </w:hyperlink>
      <w:r>
        <w:rPr>
          <w:b/>
          <w:i/>
        </w:rPr>
        <w:t xml:space="preserve">, Ivansson a další</w:t>
      </w:r>
      <w:r>
        <w:rPr>
          <w:sz w:val="25"/>
        </w:rPr>
        <w:t>,</w:t>
      </w:r>
      <w:r>
        <w:rPr>
          <w:b/>
          <w:i/>
        </w:rPr>
        <w:t xml:space="preserve"> C-307/13, EU:C:2014:2058, body 26 až 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Pravidlo, které stanoví obecný cíl pohodlí drůbeže a kvality chovných zařízení, není „jiným požadavkem“, neboť jeho obecná povaha pravděpodobně neovlivní složení, povahu nebo uvádění konečného produktu na trh.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Soudní dvůr již rozhodl, že k tomu, aby dotčená vnitrostátní opatření mohla být kvalifikována jako „jiné požadavky“ ve smyslu čl. 1 bodu 4 směrnice 98/34, musí představovat „podmínky“, které mohou významně ovlivnit složení nebo povahu dotčeného výrobku nebo jeho uvádění na trh (viz rozsudek Fortuna a další, EU:C:2012:495, bod 35 a citovaná judikatura).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Soudní dvůr měl rovněž za to, že pokud ustanovení obsažená ve vnitrostátním opatření mají obecnou povahu, nemohou představovat takovéto podmínky, a tudíž ani nemohou být kvalifikována jako „jiné požadavky“ ve smyslu zmíněného čl. 1 bodu 4 (v tomto smyslu viz rozsudek Intercommunale Intermosane a Fédération de l’Industrie et du gaz, EU:C:2011:382, bod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Velmi obecná formulace článku 9 DSF, jak byla připomenuta v bodech 22 a 23 tohoto rozsudku, tedy brání tomu, aby bylo toto ustanovení považováno za ustanovení, které podmiňuje složení nebo povahu dotčených výrobků nebo jejich uvádění na trh.“</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Rozsudek ze dne 11. června 2015</w:t>
        </w:r>
      </w:hyperlink>
      <w:r>
        <w:t xml:space="preserve">, Berlington Hungary a další, C-98/14, EU:C:2015:386, body 98 a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Vnitrostátní ustanovení zakazující provozování výherních hracích přístrojů mimo kasina představují „jiné požadavky“, neboť mohou významně ovlivnit povahu nebo uvádění těchto přístrojů na trh.</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Soudní dvůr již rozhodl, že vnitrostátní opatření, které omezuje organizaci některých hazardních her pouze na kasina, představuje „technický předpis“ ve smyslu čl. 1 bodu 11 této směrnice, pokud může významně ovlivnit povahu nebo uvádění výrobků používaných v tomto rámci na trh (v tomto smyslu viz rozsudky Komise v. Řecko, C-65/05, EU:C:2006:673, bod 61, jakož i Fortuna a další, C-213/11, C-214/11 a C-217/11, EU:C:2012:495, body 24 a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Takový zákaz provozování výherních hracích přístrojů mimo kasina, jako je zákaz zavedený novelizačním zákonem z roku 2012, však může významně ovlivnit povahu nebo uvádění na trh těchto výherních hracích přístrojů, které představují zboží, na které se může vztahovat článek 34 SFEU (viz rozsudek Läärä a další, C-124/97, EU:C:1999:435, body 20 a 24), a to omezením prodejen, v nichž mohou být užívány.“</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Rozsudek ze dne 13. října 2016</w:t>
        </w:r>
      </w:hyperlink>
      <w:r>
        <w:t xml:space="preserve">, Naczelnik Urzędu Celnego I w Ł., C-303/15, EU:C:2016:771, body 25 až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Ustanovení, které podmiňuje provozování hazardních her držením povolení k provozování kasina, nepředstavuje „jiný požadavek“. I když totiž ustanovení, která omezují pořádání hazardních her na kasina, mohou významně ovlivnit uvádění souvisejících výrobků na trh tím, že omezí jejich distribuční kanály, pravidla upravující podmínky pro založení podniků nemohou mít významný dopad na povahu nebo uvádění používaných výrobků na trh.</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Konečně za účelem určení, zda čl. 6 odst. 1 zákona o hazardních hrách spadá do působnosti buď čl. 1 bodu 4 směrnice 98/34, nebo čl. 1 bodu 11 této směrnice, je třeba ověřit, zda takové ustanovení může významně ovlivnit složení, povahu nebo uvádění na trh dotčeného výrobku, v projednávaném případě výherních hracích přístrojů, jako „podmínku“ týkající se používání dotčeného výrobku, nebo zda se jedná o vnitrostátní opatření spadající do kategorie zákazů uvedených v čl. 1 bodě 11 této směrnice.</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V tomto ohledu je třeba připomenout, že pořádání ruletových, karetních a kostkových her a her na výherních hracích přístrojích je omezeno na jejich pořádání v hernách v čl. 14 odst. 1 zákona o hazardních hrách. Toto ustanovení bylo oznámeno Komisi jakožto „technický předpis“, a to s ohledem na skutečnost, že Soudní dvůr již rozhodl, že vnitrostátní opatření, které provozování některých hazardních her vyhrazuje pouze kasinům, představuje „technický předpis“ ve smyslu čl. 1 bodu 11 směrnice 98/34, pokud může významně ovlivnit povahu výrobků užívaných v tomto kontextu nebo jejich uvádění na trh, a dále že zákaz provozování některých výrobků mimo kasina může významně ovlivnit uvádění těchto výrobků na trh tím, že omezí jejich distribuční kanály (v tomto smyslu viz rozsudek ze dne 11. června 2015, Berlington Hungary a další, C-98/14, EU:C:2015:386, body 98 a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Naproti tomu čl. 6 odst. 1 tohoto zákona, který stanoví, že pro pořádání ruletových, karetních a kostkových her a her na výherních hracích přístrojích je nezbytná koncese na provozování herny, nebyl oznámen.</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28.Tvrzení Komise, podle kterého úzká vazba mezi oběma dotčenými ustanoveními vnitrostátního práva vede k nemožnosti oddělit čl. 14 odst. 1 zákona o hazardních hrách od čl. 6 odst. 1 tohoto zákona, nelze přijmout. Jak totiž uvedl generální advokát v bodech 38 až 44 svého stanoviska, čl. 6 odst. 1 uvedeného zákona a čl. 14 odst. 1 téhož zákona mají rozdílné funkce a dosah. Popisný prvek obsažený v čl. 6 odst. 1 tohoto zákona, který slouží k označení dotčené koncese jako koncese na „provozování herny“, na tomto závěru nic nemění.</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Je tudíž třeba konstatovat, že nelze mít za to, že čl. 6 odst. 1 zákona o hazardních hrách je „jiným požadavkem“ ve smyslu čl. 1 bodu 4 směrnice 98/34, neboť koncese požadovaná tímto vnitrostátním ustanovením k pořádání hazardních her představuje podmínku stanovenou pro činnost spočívající v pořádání takových her, a to na rozdíl od čl. 14 odst. 1 tohoto zákona, který stanoví podmínky pro dotčené výrobky, a to tím, že zakazuje jejich provozování mimo kasina.</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Kromě toho podle ustálené judikatury ustanovení vnitrostátního práva, která se omezují na stanovení podmínek pro usazování nebo poskytování služeb podniky, jako jsou ustanovení, která podmiňují výkon podnikatelské činnosti předchozím povolením, nepředstavují technické předpisy ve smyslu čl. 1 bodu 11 směrnice 98/34 (v tomto smyslu viz rozsudek ze dne 4. února 2016, Ince, C-336/14, EU:C:2016:72, bod 76 a citovaná judikatura).“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Rozsudek ze dne 27. října 2016</w:t>
        </w:r>
      </w:hyperlink>
      <w:r>
        <w:t xml:space="preserve">, James Elliott Construction, C-613/14, EU:C:2016:821, body 67 až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Vnitrostátní ustanovení, která stanoví implicitní smluvní podmínky týkající se obchodní jakosti, vhodnosti k použití nebo jakosti prodávaných výrobků, nepředstavují „jiné požadavky“, neboť vzhledem k jejich obecné povaze je nepravděpodobné, že by významně ovlivnily složení, povahu nebo uvádění dotyčných výrobků na trh.</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V projednávané věci se zaprvé jeví, že taková ustanovení, jako jsou ustanovení dotčená ve věci v původním řízení, buď sama o sobě, nebo tak, jak jsou vykládána irskými soudy, nespadají pod pojem „technická specifikace“ ve smyslu čl. 1 bodu 3 směrnice 98/34. Tento pojem zahrnuje pouze vnitrostátní opatření, která odkazují na výrobek nebo jeho obal jako takový, a stanoví tak jednu z požadovaných vlastností výrobku (rozsudek ze dne 10. července 2014, Ivansson a další, C-307/13, EU:C:2014:2058, bod 19 a citovaná judikatura). To přitom zjevně není případ požadavku, který se vztahuje – pokud smluvní strany nevyjádří opačnou vůli – obecně na prodej všech výrobků.</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Zadruhé a ze stejného důvodu nemohou být tato ustanovení kvalifikována jako „jiné požadavky“ ve smyslu čl. 1 bodu 4 směrnice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V tomto ohledu Soudní dvůr upřesnil, že k tomu, aby mohla být dotčená vnitrostátní opatření kvalifikována jako „jiné požadavky“ ve smyslu tohoto ustanovení, musí představovat podmínky, které mohou významně ovlivnit složení nebo povahu dotčeného výrobku nebo jeho uvádění na trh, jelikož požadavky obecné povahy nemohou být takovými podmínkami považovány, a tudíž být kvalifikovány jako „jiné požadavky“ (viz rozsudek ze dne 10. července 2014, Ivansson a další, C-307/13, EU:C:2014:2058, body 26 a 27, jakož i citovaná judikatura).“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Rozsudek ze dne 1. února 2017</w:t>
        </w:r>
      </w:hyperlink>
      <w:r>
        <w:t xml:space="preserve">, Município de Palmela, C-144/16, EU:C:2017:76, body 23 a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Ustanovení, které stanoví požadavky na balení výrobku z důvodu ochrany spotřebitele, je „jiným požadavkem“, protože se týká životního cyklu výrobků po jejich uvedení na trh a významně ovlivňuje jejich složení a uvádění na trh.</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Naproti tomu nařízení, které vyžaduje, aby informace o maximální kapacitě rekreačního prostoru byly zobrazeny na několika místech v této oblasti, není „jiným požadavkem“ z důvodu své obecné povahy.</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Pokud jde o čl. 16 odst. 1 a 2 nařízení EJR ve znění nařízení s mocí zákona č. 119/2009, podobně jako předkládající soud je třeba konstatovat, že toto ustanovení je skutečně technickým předpisem ve smyslu směrnic 83/189 a 98/34, jelikož stanoví požadavky kladené na výrobek z důvodu ochrany spotřebitelů, které mají vliv na jeho spotřební cyklus po jeho uvedení na trh a významně ovlivňují složení takového výrobku a jeho uvedení na trh. Toto ustanovení tedy spadá do kategorie „jiných požadavků“ ve smyslu jak čl. 1 bodu 3 směrnice 83/189, tak čl. 1 bodu 4 směrnice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takové ustanovení, jako je ustanovení dotčené v původním řízení, nepředstavuje „jiný požadavek“ ve smyslu čl. 1 bodu 4 směrnice 98/34 s ohledem na obecnou povahu požadavků, které stanoví (v tomto smyslu viz rozsudek ze dne 9. června 2011, Intercommunale Intermosane a Fédération de l’industrie et du gaz, C 361/10</w:t>
        <w:noBreakHyphen/>
        <w:t xml:space="preserve">, EU:C:2011:382, bod 21). Naproti tomu neobsahuje žádné zákazy, které by ji mohly zařadit do kategorie zákazů uvedených v čl. 1 odst. 11 této směrnice.“</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Rozsudek ze dne 26. září</w:t>
      </w:r>
      <w:r>
        <w:rPr>
          <w:b/>
          <w:bCs/>
          <w:i/>
          <w:iCs/>
          <w:color w:val="0000FF"/>
          <w:sz w:val="22"/>
          <w:szCs w:val="22"/>
          <w:u w:val="single"/>
        </w:rPr>
        <w:fldChar w:fldCharType="end"/>
        <w:t xml:space="preserve">2018, Van Gennip a další, C-137/17, EU:C:2018:771, body 39 a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Vnitrostátní ustanovení, která podmiňují uvádění výrobků na trh tím, že kupující je držitelem povolení, nespadají pod pojem „jiné požadavky“, neboť se jedná o podmínku uloženou nikoli výrobkům, ale kupujícím.</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pokud jde o kategorii „jiných požadavků“, je třeba připomenout, že k tomu, aby vnitrostátní opatření mohlo být kvalifikováno jako „jiné požadavky“ ve smyslu čl. 1 bodu 4 směrnice 98/34, musí představovat „podmínku“, která může významně ovlivnit složení, povahu nebo uvádění dotčeného výrobku na trh (rozsudek ze dne 13. října 2016, M. a S., C-303/15, EU:C:2016:771, bod 20 a citovaná judikatura).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V tomto ohledu je třeba uvést, jak učinil generální advokát v bodě 76 svého stanoviska, že belgická právní úprava podmiňuje prodej pyrotechnických výrobků, které obsahují více než 1 kg pyrotechnické slože, tím, že kupující obdrží povolení. Požadované povolení tak nepředstavuje požadavek pro dotčený výrobek, ale pro potenciální kupující a nepřímo pro hospodářské subjekty prodávající pyrotechnické výrobky (v tomto smyslu viz rozsudky ze dne 21. dubna 2005, Lindberg, C-267/03, EU:C:2005:246, bod 87, jakož i ze dne 13. října 2016, M. a S., C-303/15, EU:C:2016:771, bod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Rozsudek ze dne 28. května 2020</w:t>
        </w:r>
      </w:hyperlink>
      <w:r>
        <w:t xml:space="preserve">, ECO-WIND Construction, C-727/17, EU:C:2020:393, body 40 a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Nařízení, které stanoví minimální vzdálenost pro instalaci větrných turbín, nespadá do kategorie „jiných požadavků“, protože jeho dopad na uvádění dotčených výrobků na trh není dostatečně přímý.</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z ustálené judikatury vyplývá, že tato kategorie zahrnuje právní úpravu, která stanoví podmínku, která může významně ovlivnit složení, povahu nebo uvádění výrobku na trh (rozsudky ze dne 21. dubna 2005, Lindberg, C-267/03, EU:C:2005:246, body 69 až 72, jakož i ze dne 19. července 2012, Fortuna a další, C-213/11, C-214/11 a C-217/11, EU:C:2012:495, bod 35), přičemž tyto „jiné požadavky“ se vztahují na požadavky vyplývající z zohlednění životního cyklu dotčeného výrobku po jeho uvedení na trh a týkající se zejména jeho použití.</w:t>
      </w:r>
    </w:p>
    <w:p w14:paraId="15144425" w14:textId="77777777">
      <w:pPr>
        <w:pStyle w:val="P68B1DB1-BodyText19"/>
        <w:ind w:left="567"/>
        <w:rPr>
          <w:iCs/>
        </w:rPr>
      </w:pPr>
    </w:p>
    <w:p w14:paraId="45870460" w14:textId="6B88BEBE">
      <w:pPr>
        <w:pStyle w:val="P68B1DB1-BodyText19"/>
        <w:ind w:left="567"/>
        <w:rPr>
          <w:iCs/>
        </w:rPr>
      </w:pPr>
      <w:r>
        <w:t xml:space="preserve">41. V projednávaném případě je přitom třeba podobně jako v případě posouzení obsaženého v bodě 37 tohoto rozsudku uvést, že požadavek, podle kterého výstavba větrné elektrárny podléhá dodržování minimální vzdálenosti mezi touto elektrárnou a obytnými budovami, nemá přímou souvislost se složením, povahou nebo uváděním takového výrobku, jako je větrný generátor, na trh. V tomto ohledu, i kdyby tento požadavek vedl k omezení míst vhodných k instalaci větrných turbín, a tudíž k ovlivnění uvádění větrných generátorů na trh, nebyl by tento účinek dostatečně přímý k tomu, aby tento požadavek spadal do kategorie „jiných požadavků“ uvedené v čl. 1 odst. 1 písm. f) směrnice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Rozsudek ze dne 4. listopadu 2022</w:t>
        </w:r>
      </w:hyperlink>
      <w:r>
        <w:rPr>
          <w:rFonts w:ascii="Times New Roman" w:hAnsi="Times New Roman" w:cs="Times New Roman" w:eastAsia="Times New Roman"/>
          <w:b/>
          <w:i/>
          <w:szCs w:val="20"/>
        </w:rPr>
        <w:t xml:space="preserve">, Phytofar,</w:t>
        <w:noBreakHyphen/>
        <w:t xml:space="preserve">C 658/21, EU:C:2022:925, body 36 až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Právní úprava zakazující osobám, které nejsou držiteli povolení pro profesionály, používat pesticidy obsahující glyfosát, může představovat „jiný požadavek“, neboť by mohla významně ovlivnit uvádění glyfosátu na trh. Význam tohoto vlivu se posuzuje s ohledem na objem nákupů dotčených výrobků a změny prodejních zvyklostí.</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V projednávaném případě z preambule výnosu ze dne 14. července 2017 předně vyplývá, že zákaz, který stanoví, je uložen za účelem ochrany lidského zdraví a životního prostředí.</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Dále pak je třeba uvést, že se tento zákaz týká spotřebního cyklu pesticidů obsahujících glyfosát po jejich uvedení na trh stanovením podmínky související s používáním těchto výrobků, jelikož na pozemcích určených k soukromému užívání jsou oprávněni je užívat pouze profesionálové, kteří jsou držiteli fytolicence.</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Konečně je nutno konstatovat, že takové opatření spočívající v zákazu může ovlivnit uvádění dotčených výrobků na trh.</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Toto opatření totiž způsobuje zánik kategorie potenciálních kupujících pesticidů obsahujících glyfosát, a sice jednotlivců, kteří takové pesticidy chtějí užívat sami, bez využití služeb profesionálů, kteří jsou držiteli požadované fytolicence. Takové omezení možnosti užívat pesticidy obsahující glyfosát má tedy vliv na jejich uvádění na trh (obdobně viz rozsudek ze dne 13. října 2016, M. a S., C-303/15, EU:C:2016:771, bod 26 a citovaná judikatura).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Jak však uvádí Komise ve svém písemném vyjádření, k tomu, aby opatření zavedené výnosem ze dne 14. července 2017 mohlo být kvalifikováno jako „technický předpis“ spadající do kategorie „jiné požadavky“ ve smyslu čl. 1 odst. 1 písm. d) a f) směrnice 2015/1535, je nezbytné, aby uvádění pesticidů obsahujících glyfosát na trh bylo tímto opatřením ovlivněno „významně“.</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Předkládajícímu soudu přísluší, aby ověřil, zda tomu tak v projednávaném případě skutečně je.</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Při tomto posouzení bude moci předkládající soud zohlednit zejména celkový objem prodeje pesticidů obsahujících glyfosát na území Vlámského regionu a změnu nákupních zvyklostí každé kategorie kupujících na základě četnosti jejich nákupů a nakoupeného množství výrobku, jakož i změnu, co se týče nákupních míst a distribučních kanálů. V této souvislosti může uvedený soud zohlednit, do jaké míry na jedné straně požadavek profesionálních uživatelů nahrazuje požadavek jednotlivců, kteří využívají služeb profesionálních uživatelů, a na druhé straně jednotliví uživatelé nyní získávají pesticidy bez glyfosátu namísto těch, které tuto látku obsahují.“</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Rozsudek ze dne 9. března 2023</w:t>
        </w:r>
      </w:hyperlink>
      <w:r>
        <w:rPr>
          <w:rFonts w:ascii="Times New Roman" w:hAnsi="Times New Roman" w:cs="Times New Roman" w:eastAsia="Times New Roman"/>
          <w:b/>
          <w:i/>
          <w:szCs w:val="20"/>
        </w:rPr>
        <w:t xml:space="preserve">, Vapo Atlantic, C-604/21, EU:C:2023:175, body 40 a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Vnitrostátní právní předpisy, které vyžadují, aby provozovatelé, kteří propouštějí pohonné hmoty ke spotřebě, přispívali k plnění cílů pro začlenění biopaliv do pohonných hmot a jejichž porušení může vést k finančním sankcím, mohou významně ovlivnit uvádění pohonných hmot na trh. Představuje tedy „jiný požadavek“.</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V projednávané věci se dotazy předkládajícího soudu týkají vnitrostátní právní úpravy, která vyžaduje, aby hospodářské subjekty, které propustily ke spotřebě pohonné hmoty, s výjimkou LPG a zemního plynu, přispívaly k plnění cílů přimíchávání biopaliv do ročních množství pohonných hmot, které propustí ke spotřebě, a sice cíle 10 % za rok 2020. I když taková právní úprava blíže nestanoví uvedený druh pohonné hmoty, nestanoví procentní podíl biopaliva, které musí být fyzicky přimícháno do pohonných hmot, ani blíže nestanoví druh biopaliva, které má být přimícháno, se požadavek, který stanoví, přijatý za účelem ochrany životního prostředí, týká životního cyklu pohonných hmot po jejich uvedení na trh a může významně ovlivnit uvádění uvedených výrobků na trh, jelikož nesplnění povinnosti přimíchávat biopaliva, kterou stanoví, může vést k uložení finanční náhrady.</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Z toho vyplývá, že vnitrostátní právní úprava, která stanoví cíl pro začlenění 10 % biopaliv do pohonných hmot propuštěných ke spotřebě hospodářským subjektem v roce 2020, spadá pod pojem „jiné požadavky“ ve smyslu čl. 1 bodu 4 směrnice 98/34, a představuje tak „technický předpis“ ve smyslu čl. 1 bodu 11 této směrnice.“</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Pravidla pro služby</w:t>
      </w:r>
      <w:bookmarkEnd w:id="5"/>
      <w:bookmarkEnd w:id="68"/>
      <w:bookmarkEnd w:id="69"/>
    </w:p>
    <w:p w14:paraId="19E12A03" w14:textId="77777777">
      <w:pPr>
        <w:pStyle w:val="BodyText"/>
      </w:pPr>
    </w:p>
    <w:p w14:paraId="6D8B2150" w14:textId="77777777">
      <w:pPr>
        <w:pStyle w:val="P68B1DB1-BodyText11"/>
        <w:ind w:left="567"/>
        <w:rPr>
          <w:iCs/>
        </w:rPr>
      </w:pPr>
      <w:r>
        <w:t xml:space="preserve">„předpisem pro služby“ požadavek obecné povahy týkající se přístupu ke službám a jejich poskytování ve smyslu písmene b), zejména ustanovení týkající se poskytovatele služeb, služeb a příjemce služeb, s výjimkou pravidel, která nejsou specificky zaměřena na služby vymezené v uvedeném písmenu. </w:t>
      </w:r>
    </w:p>
    <w:p w14:paraId="7C9B8AC3" w14:textId="77777777">
      <w:pPr>
        <w:pStyle w:val="P68B1DB1-BodyText11"/>
        <w:ind w:left="567"/>
        <w:rPr>
          <w:iCs/>
        </w:rPr>
      </w:pPr>
    </w:p>
    <w:p w14:paraId="46FCE36C" w14:textId="0D89DACC">
      <w:pPr>
        <w:pStyle w:val="P68B1DB1-BodyText11"/>
        <w:ind w:left="567"/>
        <w:rPr>
          <w:iCs/>
        </w:rPr>
      </w:pPr>
      <w:r>
        <w:t xml:space="preserve">Pro účely této definice: </w:t>
      </w:r>
    </w:p>
    <w:p w14:paraId="0FA17B64" w14:textId="77777777">
      <w:pPr>
        <w:pStyle w:val="P68B1DB1-BodyText11"/>
        <w:ind w:left="567"/>
        <w:rPr>
          <w:iCs/>
        </w:rPr>
      </w:pPr>
    </w:p>
    <w:p w14:paraId="5287D99C" w14:textId="40B4253E">
      <w:pPr>
        <w:pStyle w:val="P68B1DB1-BodyText11"/>
        <w:numPr>
          <w:ilvl w:val="0"/>
          <w:numId w:val="30"/>
        </w:numPr>
        <w:rPr>
          <w:iCs/>
        </w:rPr>
      </w:pPr>
      <w:r>
        <w:t xml:space="preserve">se předpis považuje za zaměřený specificky na služby informační společnosti, je-li s ohledem na jeho odůvodnění a jeho znění zvláštním záměrem a cílem všech nebo některých jeho ustanovení regulovat tyto služby přímo a cíleně, </w:t>
      </w:r>
    </w:p>
    <w:p w14:paraId="112BC54B" w14:textId="13ACB17B">
      <w:pPr>
        <w:pStyle w:val="P68B1DB1-BodyText11"/>
        <w:numPr>
          <w:ilvl w:val="0"/>
          <w:numId w:val="30"/>
        </w:numPr>
        <w:rPr>
          <w:iCs/>
        </w:rPr>
      </w:pPr>
      <w:r>
        <w:t xml:space="preserve">pravidlo se nepovažuje za specificky zaměřené na služby informační společnosti, pokud tyto služby ovlivňuje pouze implicitně nebo náhodně;“</w:t>
      </w:r>
    </w:p>
    <w:p w14:paraId="573C811F" w14:textId="77777777">
      <w:pPr>
        <w:pStyle w:val="BodyText"/>
        <w:ind w:left="567"/>
        <w:rPr>
          <w:i/>
          <w:iCs/>
        </w:rPr>
      </w:pPr>
    </w:p>
    <w:p w14:paraId="2735376A" w14:textId="709F0465">
      <w:pPr>
        <w:pStyle w:val="BodyText"/>
        <w:ind w:left="1440"/>
        <w:jc w:val="right"/>
      </w:pPr>
      <w:r>
        <w:t xml:space="preserve">(Čl. 1 odst. 1 písm. e) směrnice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„službou“ se rozumí jakákoli služba informační společnosti, tj. každá služba poskytovaná zpravidla za úplatu, na dálku, elektronicky a na individuální žádost příjemce služeb.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Pro účely této definice: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výrazem „na dálku“ se rozumí, že služba je poskytována bez současné přítomnosti stran;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„elektronickými prostředky“ se rozumí, že služba je nejprve odeslána a přijata v místě určení prostřednictvím elektronického zařízení pro zpracování (včetně digitální komprese) a uchovávání dat a v plném rozsahu odeslaná, přenesená a přijatá po drátě, rádiem, optickými prostředky nebo jinými elektromagnetickými prostředky;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„na individuální žádost příjemce služeb“ se rozumí, že služba je poskytována přenosem údajů na individuální žádost.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Orientační seznam služeb, na něž se tato definice nevztahuje, je uveden v příloze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(Čl. 1 odst. 1 písm. b) směrnice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„Orientační seznam služeb, na které se nevztahuje čl. 1 odst. 1 písm. b) druhý pododstavec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Služby, které nejsou poskytovány na dálku</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Služby poskytované za osobní přítomnosti poskytovatele a příjemce, a to i tehdy, použije-li se přitom elektronické zařízení: </w:t>
      </w:r>
    </w:p>
    <w:p w14:paraId="3362CCDE" w14:textId="74A453DA">
      <w:pPr>
        <w:spacing w:after="0" w:line="240" w:lineRule="auto"/>
        <w:ind w:left="1287"/>
        <w:rPr>
          <w:rFonts w:ascii="Times New Roman" w:hAnsi="Times New Roman" w:cs="Times New Roman"/>
          <w:i/>
          <w:sz w:val="24"/>
          <w:szCs w:val="24"/>
        </w:rPr>
        <w:pStyle w:val="P68B1DB1-Normal12"/>
      </w:pPr>
      <w:r>
        <w:t xml:space="preserve">a) lékařské prohlídky nebo ošetření při lékařském chirurgickém zákroku za použití elektronického vybavení, kde je pacient fyzicky přítomen;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nahlížení do elektronického katalogu v obchodě se zákazníkem na místě; </w:t>
      </w:r>
    </w:p>
    <w:p w14:paraId="7DA6C469" w14:textId="5F31D5B1">
      <w:pPr>
        <w:spacing w:after="0" w:line="240" w:lineRule="auto"/>
        <w:ind w:left="1287"/>
        <w:rPr>
          <w:rFonts w:ascii="Times New Roman" w:hAnsi="Times New Roman" w:cs="Times New Roman"/>
          <w:i/>
          <w:sz w:val="24"/>
          <w:szCs w:val="24"/>
        </w:rPr>
        <w:pStyle w:val="P68B1DB1-Normal12"/>
      </w:pPr>
      <w:r>
        <w:t xml:space="preserve">C) rezervace letenky v cestovní kanceláři za fyzické přítomnosti zákazníka prostřednictvím počítačové sítě;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elektronické hry zpřístupněné ve videokamerě, kde je zákazník fyzicky přítomen.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Služby, které nejsou poskytovány „elektronicky“</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služby s hmotným obsahem, i když jsou poskytovány prostřednictvím elektronických zařízení: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automaty na výdej hotovosti nebo jízdenek (bankovky, vlakové jízdenky); </w:t>
      </w:r>
    </w:p>
    <w:p w14:paraId="07693B6B" w14:textId="1A59726A">
      <w:pPr>
        <w:spacing w:after="0" w:line="240" w:lineRule="auto"/>
        <w:ind w:left="1287"/>
        <w:rPr>
          <w:rFonts w:ascii="Times New Roman" w:hAnsi="Times New Roman" w:cs="Times New Roman"/>
          <w:i/>
          <w:sz w:val="24"/>
          <w:szCs w:val="24"/>
        </w:rPr>
        <w:pStyle w:val="P68B1DB1-Normal12"/>
      </w:pPr>
      <w:r>
        <w:t xml:space="preserve">b) přístup k silničním sítím, parkovištích atd., poplatky za užívání, a to i v případě, že u vstupu/výstupu jsou k dispozici elektronická zařízení pro kontrolu vstupu a/nebo zajištění správné platby, </w:t>
      </w:r>
    </w:p>
    <w:p w14:paraId="6B193BE7" w14:textId="77777777">
      <w:pPr>
        <w:spacing w:after="0" w:line="240" w:lineRule="auto"/>
        <w:ind w:left="567"/>
        <w:rPr>
          <w:rFonts w:ascii="Times New Roman" w:hAnsi="Times New Roman" w:cs="Times New Roman"/>
          <w:i/>
          <w:sz w:val="24"/>
          <w:szCs w:val="24"/>
        </w:rPr>
        <w:pStyle w:val="P68B1DB1-Normal12"/>
      </w:pPr>
      <w:r>
        <w:t xml:space="preserve">— off-line služby: distribuce CD-ROMů nebo softwaru na disketách, </w:t>
      </w:r>
    </w:p>
    <w:p w14:paraId="421C0A6C" w14:textId="77777777">
      <w:pPr>
        <w:spacing w:after="0" w:line="240" w:lineRule="auto"/>
        <w:ind w:left="567"/>
        <w:rPr>
          <w:rFonts w:ascii="Times New Roman" w:hAnsi="Times New Roman" w:cs="Times New Roman"/>
          <w:i/>
          <w:sz w:val="24"/>
          <w:szCs w:val="24"/>
        </w:rPr>
        <w:pStyle w:val="P68B1DB1-Normal12"/>
      </w:pPr>
      <w:r>
        <w:t xml:space="preserve">— služby, které nejsou poskytovány prostřednictvím elektronických systémů zpracování/inventarizace: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hlasové telefonní služby;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telefaxové/lexní služby;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služby poskytované prostřednictvím hlasové telefonie nebo faxu;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telefonické/telefaxové konzultace lékaře;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konzultace advokáta telefonicky/telefaxem;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přímý prodej po telefonu/telefaxu.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Služby, které nejsou poskytovány „na individuální žádost příjemce služeb“</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Služby, které jsou poskytovány současně přenosem dat bez individuální žádosti neomezenému počtu jednotlivých příjemců (přenos z jednoho místa do mnoha míst): </w:t>
      </w:r>
    </w:p>
    <w:p w14:paraId="7348FF90" w14:textId="622E29E3">
      <w:pPr>
        <w:spacing w:after="0" w:line="240" w:lineRule="auto"/>
        <w:ind w:left="1287"/>
        <w:rPr>
          <w:rFonts w:ascii="Times New Roman" w:hAnsi="Times New Roman" w:cs="Times New Roman"/>
          <w:i/>
          <w:sz w:val="24"/>
          <w:szCs w:val="24"/>
        </w:rPr>
        <w:pStyle w:val="P68B1DB1-Normal12"/>
      </w:pPr>
      <w:r>
        <w:t xml:space="preserve">a) služby televizního vysílání (včetně služeb videa na vyžádání), na něž se vztahuje čl. 1 odst. 1 písm. e) směrnice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služby rozhlasového a televizního vysílání; </w:t>
      </w:r>
    </w:p>
    <w:p w14:paraId="50FD6B17" w14:textId="6C6940F1">
      <w:pPr>
        <w:spacing w:after="0" w:line="240" w:lineRule="auto"/>
        <w:ind w:left="567" w:firstLine="720"/>
        <w:pStyle w:val="P68B1DB1-Normal12"/>
      </w:pPr>
      <w:r>
        <w:t xml:space="preserve">C) (televizní) teletext.“</w:t>
      </w:r>
    </w:p>
    <w:p w14:paraId="4CB8A09D" w14:textId="49490E91">
      <w:pPr>
        <w:pStyle w:val="BodyText"/>
        <w:ind w:left="1440"/>
        <w:jc w:val="right"/>
      </w:pPr>
      <w:r>
        <w:t xml:space="preserve">(Příloha I směrnice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Rozsudek ze dne 2. června 2005</w:t>
        </w:r>
      </w:hyperlink>
      <w:r>
        <w:rPr>
          <w:rFonts w:ascii="Times New Roman" w:hAnsi="Times New Roman" w:cs="Times New Roman" w:eastAsia="Times New Roman"/>
          <w:b/>
          <w:i/>
          <w:szCs w:val="20"/>
        </w:rPr>
        <w:t xml:space="preserve">, Mediakabel BV, C-89/04, EU:C:2005:348, body 38 a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Služba televizního vysílání, která je zpřístupněna na žádost účastníka, ale pro kterou poskytovatel určuje frekvenci a časové rozvržení filmů, nepředstavuje „službu informační společnosti“, neboť obsah je vybírán a naplánován poskytovatelem, a proto není poskytován na individuální žádost příjemce.</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Pokud totiž taková služba splňuje první dvě kritéria pojmu „služba informační společnosti“ ve smyslu čl. 1 bodu 2 směrnice 98/34, tedy je poskytovaná na dálku a přenášena částečně elektronickým zařízením, nesplňuje třetí kritérium uvedeného pojmu, na základě kterého musí být uvedená služba poskytována „na individuální žádost příjemce služeb“. Seznam filmů nabízených v rámci služby, jako je služba „Filmtime“, je stanoven poskytovatelem služeb. Tento výběr filmů je nabízen všem předplatitelům za stejných podmínek, buď prostřednictvím novin nebo prostřednictvím informací na televizní obrazovce, a uvedené filmy jsou dostupné ve vysílacím čase stanoveném poskytovatelem. Osobní klíč umožňující přístup k filmům je pouhým prostředkem dekódování obrazu, jehož signál je určen současně všem předplatitelům.</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Taková služba tedy není objednávána individuálně jednotlivými příjemci, kteří by měli možnost volby programu v interaktivním rámci. Musí být považována za téměř videoslužbu na vyžádání poskytovanou na základě „bodu až více bodů“, a nikoli „na individuální žádost příjemce služeb“.</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Rozsudek ze dne 2. února 2016</w:t>
        </w:r>
      </w:hyperlink>
      <w:r>
        <w:t xml:space="preserve">, Ince, C-336/14, EU:C:2016:72, body 75 a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předpisy omezující nabízení on-line hazardních her nebo zakazující online reklamu na tyto hry lze považovat za „předpisy pro služby“, neboť se týkají „služeb informační společnosti“. Naproti tomu ustanovení, která vyžadují předchozí povolení pro subjekty provozující hazardní hry nebo zakazují udělení takového povolení soukromým subjektům, se týkají podmínek pro zakládání podniků, a proto nepředstavují „předpisy pro služby“.</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některá ustanovení Smlouvy o hazardních hrách mohou být kvalifikována jako „předpisy pro služby“ v rozsahu, v němž se týkají „služeb informační společnosti“ ve smyslu čl. 1 odst. 2 směrnice 98/34. Tato ustanovení zahrnují zákaz nabízet hazardní hry na internetu, stanovený v § 4 odst. 4 smlouvy o hazardních hrách, výjimky z tohoto zákazu vyjmenované v § 25 odst. 6 uvedené smlouvy, omezení možnosti nabízet sportovní sázky telekomunikačními prostředky na základě § 21 odst. 2 uvedené smlouvy, jakož i zákaz šíření reklamy na hazardní hry na internetu nebo telekomunikačními prostředky, stanovený v § 5 odst. 3 téže smlouvy.</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Pokud jde naopak o jiná ustanovení smlouvy o hazardních hrách, než která se týkají „služeb informační společnosti“ ve smyslu čl. 1 bodu 2 směrnice 98/34, například ustanovení zavádějící povinnost získat povolení pro pořádání nebo přijímání sportovních sázek, jakož i nemožnost takové povolení vydat soukromým subjektům, ty nepředstavují „technické předpisy“ ve smyslu čl. 1 bodu 11 uvedené směrnice. Vnitrostátní ustanovení, která se omezují na stanovení podmínek pro usazování nebo poskytování služeb podniky, jako jsou ustanovení, která podmiňují výkon činnosti předchozím povolením, nepředstavují technické předpisy ve smyslu tohoto ustanovení (v tomto smyslu viz rozsudek Lindberg, C-267/03, EU:C:2005:246, bod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Rozsudek Soudního dvora ze dne 13. října 2016</w:t>
        </w:r>
      </w:hyperlink>
      <w:r>
        <w:t xml:space="preserve">, Naczelnik Urzędu Celnego I w., C</w:t>
        <w:noBreakHyphen/>
        <w:t xml:space="preserve">303/15, EU:C:2016:771, bod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Ustanovení, které podmiňuje provozování hazardních her držením povolení k provozování kasina, nepředstavuje „předpis pro služby“, neboť se netýká „služeb informační společnosti“.</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toto ustanovení nelze zařadit do kategorie „předpisů pro služby [informační společnosti]“ ve smyslu čl. 1 bodu 5 směrnice 98/34, jelikož se netýká „služeb informační společnosti“ ve smyslu čl. 1 bodu 2 této směrnice.“</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Rozsudek ze dne 20. prosince</w:t>
      </w:r>
      <w:r>
        <w:rPr>
          <w:color w:val="0000FF"/>
          <w:u w:val="single"/>
        </w:rPr>
        <w:fldChar w:fldCharType="end"/>
        <w:t xml:space="preserve">2017, Falbert a další,</w:t>
        <w:noBreakHyphen/>
        <w:t xml:space="preserve">C 255/16, EU:C:2017:983, body 27 až 29, 32 a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předpisy o hazardních nebo reklamních službách mohou představovat „předpisy pro služby“, pokud se přímo týkají služeb poskytovaných na dálku, elektronickými prostředky a na individuální žádost příjemce. I když znění těchto ustanovení nerozlišuje mezi on-line a off-line službami, jejich cíl s ohledem na „služby informační společnosti“ lze vyvodit z jejich bodů odůvodnění nebo </w:t>
      </w:r>
      <w:r>
        <w:rPr>
          <w:i/>
        </w:rPr>
        <w:t xml:space="preserve">přípravných prací</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Je třeba připomenout, že podle čl. 1 bodu 2 této směrnice zahrnuje tato kategorie „technických předpisů“ pouze pravidla týkající se služeb informační společnosti, to znamená jakékoliv služby poskytované na dálku, elektronicky a na individuální žádost příjemce služeb (viz rozsudky ze dne 13. října 2016, M. a S., C-303/15, EU:C:2016:771, bod 21, jakož i ze dne 1. února 2017, Município de Palmela, C-144/16, EU:C:2017:76, bod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V tomto ohledu je třeba uvést, že čl. 10 odst. 3 bod 3 zákona o hazardních hrách se týká v zásadě dvou typů služeb, a sice reklamních služeb, které jsou bezprostředním předmětem sankcí stanovených tímto ustanovením, a služeb hazardních her, ke kterým se vztahuje zákaz reklamy a které představují hlavní předmět zákona o hazardních hrách, jako celku.</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Jak reklamní služby, tak služby hazardních her v rozsahu, v němž jsou poskytovány mimo jiné elektronickými prostředky (on-line), představují „služby informační společnosti“ ve smyslu čl. 1 bodu 2 směrnice 98/34 a s nimi související předpisy, které lze považovat za „předpisy pro služby“ ve smyslu čl. 1 bodu 5 směrnice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V tomto ohledu je třeba zaprvé uvést, že to, zda je předpis zaměřen specificky na služby informační společnosti, musí být podle čl. 1 bodu 5 první odrážky směrnice 98/34 určeno s ohledem jak na odůvodnění, tak na znění tohoto předpisu. Kromě toho není vyžadováno, podle téhož ustanovení, aby regulace služeb informační společnosti byla „konkrétním záměrem a cílem“ všech ustanovení dotčeného předpisu, jelikož stačí, aby tento záměr nebo cíl měla některá ustanovení tohoto předpisu.</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Pokud tedy pouze ze znění vnitrostátního pravidla nevyplývá, že jeho cílem je, alespoň částečně, specificky regulovat služby informační společnosti – jako je tomu v projednávané věci, kdy znění nerozlišuje mezi službami poskytovanými off-line a službami poskytovanými on-line – může být tento cíl nicméně jasně vyvozen z odůvodnění uvedeného pravidla, jako je tomu v projednávané věci podle příslušných vnitrostátních výkladových pravidel, která umožňují zejména přípravné práce na tomto pravidlu jako vodítko.“</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Rozsudek ze dne 20. prosince 2017</w:t>
        </w:r>
      </w:hyperlink>
      <w:r>
        <w:t xml:space="preserve">, Asociación Profesional Elite Taxi,</w:t>
        <w:noBreakHyphen/>
        <w:t xml:space="preserve">C 434/15, EU:C:2017:981, body 37 a 39 až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Zprostředkovatelská služba, která prostřednictvím aplikace pro chytré telefony a za úplatu spojuje neprofesionální řidiče používající vlastní vozidla s osobami hledajícími městskou dopravu, musí být považována za úzce spjatou s dopravní službou, a proto musí být kvalifikována jako „služba v oblasti dopravy“ (nikoli jako „služba informační společnosti“).</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Je však třeba uvést, že taková služba, jako je služba dotčená ve věci v původním řízení, je více než zprostředkovatelskou službou spočívající ve spojení, prostřednictvím aplikace pro chytré telefony, neprofesionálního řidiče, který používá vlastní vozidlo, s osobou, která si přeje uskutečnit městskou cestu.“</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V tomto ohledu z informací, které má Soudní dvůr k dispozici, vyplývá, že zprostředkovatelská služba společnosti Uber spočívá na výběru neprofesionálních řidičů využívajících vlastní vozidla, jimž tato společnost poskytuje aplikaci, bez níž by tito řidiči neposkytovali přepravní služby, a osoby, které se potřebují přemístit po území města, by nevyužily služeb uvedených řidičů. Společnost Uber má navíc rozhodující vliv na podmínky služeb poskytovaných takovými řidiči. Pokud jde o posledně uvedený aspekt, zdá se zejména, že Uber prostřednictvím stejnojmenné aplikace stanovuje přinejmenším maximální cenu přepravy, že tuto cenu od zákazníků inkasuje, aby z ní následně část vyplatila neprofesionálnímu řidiči vozidla, a že vykonává určitou kontrolu kvality vozidel a jejich řidičů, jakož i chování posledně uvedených, která může případně vést k jejich vyloučení.</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Tato zprostředkovatelská služba tedy musí být považována za nedílnou součást komplexní služby, jejíž hlavní složkou je přepravní služba, a tudíž odpovídá nikoliv kvalifikaci „služba informační společnosti“ ve smyslu čl. 1 bodu 2 směrnice 98/34, na který odkazuje čl. 2 písm. a) směrnice 2000/31, nýbrž kvalifikaci „služba v oblasti dopravy“ ve smyslu čl. 2 odst. 2 písm. d) směrnice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Tuto kvalifikaci ostatně potvrzuje judikatura Soudního dvora, podle níž pojem „služby v oblasti dopravy“ zahrnuje nejen dopravní služby jako takové, ale rovněž jakoukoli službu, která je neodmyslitelně spojena s jakýmkoli fyzickým úkonem spočívajícím v přemístění osob nebo zboží z jednoho místa na druhé dopravním prostředkem [v tomto smyslu viz rozsudek ze dne 15. října 2015, Grupo Itevelesa a další, C-168/14, EU:C:2015:685, body 45 a 46, jakož i posudek 2/15 (Dohoda o volném obchodu se Singapurem) ze dne 16. května 2017, EU:C:2017:376, bod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Rozsudek ze dne 10. dubna 2018</w:t>
        </w:r>
      </w:hyperlink>
      <w:r>
        <w:t xml:space="preserve">, Uber France,</w:t>
        <w:noBreakHyphen/>
        <w:t xml:space="preserve">C 320/16, EU:C:2018:221, body 21 a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Ustanovení vnitrostátního práva, které ukládá trestní sankce za organizaci systému propojení zákazníků s řidiči bez nezbytného povolení, se týká „služeb v oblasti dopravy“ (a nikoli „služeb informační společnosti“), pokud zprostředkovatelská služba, na kterou se vztahuje, tvoří nedílnou součást celkové služby, jejíž hlavní složkou je dopravní služba.</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Soudní dvůr konstatoval, že zprostředkovatelská služba poskytovaná dotčenou společností je neoddělitelně spjata s nabídkou služeb neveřejné městské dopravy uvedenou společností, a to vzhledem k tomu, že zaprvé tato společnost poskytla aplikaci, bez níž by tito řidiči nebyli nuceni poskytovat dopravní služby, a osoby, které by chtěly uskutečnit městskou cestu, by nevyužily služeb poskytovaných těmito řidiči a zadruhé tato společnost vykonávala rozhodující vliv na podmínky poskytování služeb těmito řidiči, zejména stanovením maximálního tarifu, výběrem tohoto tarifu od zákazníka před zaplacením části ceny neprofesionálnímu řidiči vozidla a vykonáváním určité kontroly kvality vozidel, řidičů a jejich chování, což by případně mohlo vést k jejich vyloučení (v tomto smyslu viz rozsudek ze dne 20. prosince 2017, Asociación Profesional Elite Taxi, C-434/15, EU:C:2017:981, body 38 a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Soudní dvůr na základě těchto skutečností konstatoval, že zprostředkovatelskou službu dotčenou v uvedené věci je třeba považovat za nedílnou součást celkové služby, jejíž hlavní složkou byla dopravní služba, a tudíž musí být kvalifikována nikoli jako „služba informační společnosti“ ve smyslu čl. 1 bodu 2 směrnice 98/34, ale jako „služba v oblasti dopravy“ ve smyslu čl. 2 odst. 2 písm. d) směrnice 2006/123 (v tomto smyslu viz rozsudek ze dne 20. prosince 2017, Asociación Profesional Elite Taxi, C-434/15, EU:C:2017:981, bod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Rozsudek ze dne 26. září 2018</w:t>
        </w:r>
      </w:hyperlink>
      <w:r>
        <w:t xml:space="preserve">, Van Gennip a další, C-137/17, EU:C:2018:771, body 42 a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ustanovení, která podmiňují uvádění výrobků na trh kupujícím, který je držitelem povolení, nespadají pod pojem „předpis pro služby“, neboť se netýkají „služeb informační společnosti“.</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Pokud jde zatřetí o kategorii „předpisy pro služby“, je třeba připomenout, že podle čl. 1 bodu 5 směrnice 98/34, je takovým předpisem jakýkoliv požadavek obecného charakteru týkající se přístupu ke službám uvedeným v čl. 1 bodě 2 téže směrnice, k nimž patří „jakákoli služba informační společnosti, tj. každá služba poskytovaná zpravidla za úplatu, na dálku, elektronicky a na individuální žádost příjemce služeb“ (rozsudek ze dne 4. února 2016, Ince, C-336/14, EU:C:2016:72, bod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V projednávané věci je třeba konstatovat, jak uvedl generální advokát v bodě 73 svého stanoviska, že právní úprava dotčená v původním řízení se netýká služeb informační společnosti ve smyslu čl. 1 bodu 2 směrnice 98/34. Tato právní úprava tedy nemůže spadat do kategorie „předpis pro služby“ informační společnosti ve smyslu čl. 1 bodu 5 této směrnice.“</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Rozsudek ze dne 12. září 2019</w:t>
        </w:r>
      </w:hyperlink>
      <w:r>
        <w:t xml:space="preserve">, VG Media, C-299/17, EU:C:2019:716, body 32, 33 a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ustanovení zakazující komerčním provozovatelům vyhledávačů a poskytovatelům služeb komerčního obsahu zpřístupňovat noviny veřejnosti představuje „technický předpis“ a musí být oznámeno Komisi.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Má se za to, že pravidlo je specificky zaměřeno na „služby informační společnosti“, pokud určitá ustanovení sledují tento cíl, i když není jeho výlučným cílem. Tento cíl lze dovodit z odůvodnění pravidla, které může být obsaženo v přípravných pracích, i když výslovně nevyplývá ze samotného znění pravidla.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V tomto ohledu je třeba poukázat na to, že podle čl. 1 bodu 5 pátého pododstavce první odrážky této směrnice se předpis považuje za zaměřený specificky na služby informační společnosti s ohledem jak na jeho odůvodnění, tak na jeho znění. Nadto podle téhož ustanovení není vyžadováno, aby regulace služeb informační společnosti byla „konkrétním záměrem a cílem“ všech ustanovení dotčeného předpisu, jelikož stačí, aby tento záměr nebo cíl měla některá ustanovení tohoto předpisu (rozsudek ze dne 20. prosince 2017, Falbert a další, C-255/16, EU:C:2017:983, bod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Kromě toho, i když pouze ze znění vnitrostátního pravidla nevyplývá, že jeho cílem je, alespoň zčásti, specificky regulovat služby informační společnosti, může být tento cíl nicméně jasně vyvozen z odůvodnění této normy, jak vyplývá z příslušných vnitrostátních výkladových pravidel v tomto ohledu, zejména z přípravných prací k této právní úpravě (v tomto smyslu viz rozsudek ze dne 20. prosince 2017, Falbert a další, C-255/16, EU:C:2017:983, bod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Předkládající soud totiž sice neposkytuje jasné údaje o konkrétním záměru a cíli vnitrostátní právní úpravy dotčené v původním řízení, avšak z vyjádření německé vlády na jednání před Soudním dvorem vyplývá, že změna UrhG se původně týkala specificky poskytovatelů internetových vyhledávačů. Kromě toho účastníci původního řízení a Komise v písemných vyjádřeních uvádějí, že cílem této právní úpravy bylo chránit oprávněné zájmy vydavatelů tisku v digitálním světě. Hlavním cílem a účelem vnitrostátního ustanovení dotčeného v původním řízení tedy podle všeho bylo chránit tyto vydavatele před porušováním autorského práva prostřednictvím vyhledávačů on-line. V této souvislosti se zdá, že ochrana byla považována za nezbytnou pouze v případě systematického porušování děl vydavatelů online poskytovateli služeb informační společnosti.“</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Rozsudek ze dne 19. prosince 2019</w:t>
        </w:r>
      </w:hyperlink>
      <w:r>
        <w:t xml:space="preserve">, Airbnb Ireland,</w:t>
        <w:noBreakHyphen/>
        <w:t xml:space="preserve">C 390/18, EU:C:2019:1112, body 64 až 68 a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Zprostředkovatelská služba, která spojuje zákazníky s hostiteli nabízejícími krátkodobé ubytování prostřednictvím elektronické platformy a zároveň poskytuje doplňkové služby, představuje „službu informační společnosti“, protože doplňkové služby neposkytují významný vliv na poskytování ubytovacích služeb.</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Aby mohla být služba kvalifikována jako „služba informační společnosti“, musí kumulativně splňovat čtyři podmínky: musí být poskytována za úplatu, na dálku, elektronickými prostředky a na individuální žádost příjemce.</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Ani posuzovány společně neumožňují služby, ať volitelné či nikoli, poskytované společností Airbnb Ireland a uvedené v bodech 59 až 63 tohoto rozsudku, zpochybnit oddělitelnost zprostředkovatelské služby poskytované touto společností, a tedy její kvalifikaci jakožto „služby informační společnosti“, aniž by byly podstatně změněny znaky této služby. V tomto ohledu by ostatně bylo paradoxní, kdyby takové doplňkové služby s přidanou hodnotou poskytované elektronickou platformou zákazníkům, zejména za účelem odlišení se od konkurentů, mohly vést, při neexistenci dalších prvků, ke změně povahy, a tedy i právní kvalifikace činnosti uvedené společnosti, jak uvedl generální advokát v bodě 46 svého stanoviska.</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Navíc a na rozdíl od toho, co tvrdí AHTOP a francouzská vláda, nelze provozní postupy fungování zprostředkovatelské služby, jako je služba poskytovaná společností Airbnb Ireland, přirovnat k postupům zprostředkovatelské služby, které vedly k rozsudkům ze dne 20. prosince 2017, Asociación Profesional Elite Taxi (C-434/15, EU:C:2017:981, bod 39), a ze dne 10. dubna 2018, Uber France (C-320/16, EU:C:2018:221, bod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Kromě skutečnosti, že tyto rozsudky byly vydány ve zvláštním kontextu městské osobní dopravy, na kterou se vztahuje čl. 58 odst. 1 SFEU, a že služby poskytované společností Airbnb Ireland nejsou srovnatelné se službami dotčenými ve věcech, ve kterých byly vydány rozsudky uvedené v předcházejícím bodě, doplňkové služby s přidanou hodnotou uvedené v bodech 59 až 63 tohoto rozsudku neumožňují prokázat úroveň kontroly konstatovanou Soudním dvorem v uvedených rozsudcích.</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Soudní dvůr v nich tak uvedl, že Uber měla rozhodující vliv na podmínky poskytování dopravy neprofesionálních řidičů využívajících aplikace, kterou jim tato společnost poskytla (rozsudky ze dne 20. prosince 2017, Asociación Profesional Elite Taxi, C-434/15, EU:C:2017:981, bod 39, a ze dne 10. dubna 2018, Uber France, C-320/16, EU:C:2018:221, bod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Skutečnosti uvedené předkládajícím soudem a připomenuté v bodě 19 tohoto rozsudku neprokazují, že Airbnb Ireland vykonává takový rozhodující vliv na podmínky poskytování ubytovacích služeb, kterých se týká její zprostředkovatelská služba, a to tím spíše, že Airbnb Ireland přímo ani nepřímo neurčuje účtovanou cenu nájemného, jak bylo konstatováno v bodech 56 a 62 tohoto rozsudku, tím méně, že vybírá hostitele nebo ubytování nabízené k pronájmu na své platformě.“</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Vzhledem k tomu, že Francouzská republika neoznámila zákon Hoguet, a vzhledem ke kumulativní povaze podmínek stanovených v čl. 3 odst. 4 směrnice 2000/31, připomenutých v bodech 84 a 85 tohoto rozsudku, je třeba mít za to, že tento zákon nelze v žádném případě použít na jednotlivce v takové situaci, jako je situace společnosti Airbnb Ireland v původním řízení, bez ohledu na to, zda tento zákon splňuje ostatní podmínky stanovené v tomto ustanovení.“</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Rozsudek ze dne 22. října 2020</w:t>
        </w:r>
      </w:hyperlink>
      <w:r>
        <w:t xml:space="preserve">, Sportingbet a Internet Opportunity Entertainment, C</w:t>
        <w:noBreakHyphen/>
        <w:t xml:space="preserve">275/19, EU:C:2020:856, body 47 až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Právní úprava přiznávající veřejnoprávnímu subjektu výlučné právo provozovat určité hazardní hry, a to i na internetu, spadá pod pojem „předpisy pro služby“ v rozsahu, v němž se týkají služby informační společnosti.</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Podle čl. 1 bodu 5 uvedené směrnice je „předpisem pro služby“ jakýkoliv požadavek obecného charakteru týkající se přístupu ke službám uvedeným v čl. 1 bodě 2 téže směrnice, přičemž službou se rozumí „jakákoliv služba informační společnosti, tj. každá služba poskytovaná zpravidla za úplatu, na dálku, elektronicky a na individuální žádost příjemce služeb“.</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V tomto ohledu již Soudní dvůr rozhodl, že ustanovení týkající se zákazu nabízet hazardní hry na internetu, výjimek z tohoto zákazu, omezení možnosti nabízet sportovní sázky na internetu, jakož i zákazu šíření reklamy na hazardní hry na internetu mohou být považována za „předpisy pro služby“ ve smyslu čl. 1 bodu 5 směrnice 98/34, jelikož se týkají „služby informační společnosti“ ve smyslu čl. 1 bodu 2 této směrnice (obdobně viz rozsudek ze dne 4. února 2016, Ince, C-336/14, EU:C:2016:72, bod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V projednávaném případě jsou přitom pravidla stanovená v článcích 2 a 3 nařízení s mocí zákona č. 282/2003 zaměřena specificky na služby informační společnosti. Kromě toho tato ustanovení v důsledku udělení výlučného práva k provozování hazardních her na internetu společnosti Santa Casa zakazují poskytování těchto služeb všem hospodářským subjektům, s výjimkou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Rozsudek ze dne 3. prosince 2020</w:t>
        </w:r>
      </w:hyperlink>
      <w:r>
        <w:t xml:space="preserve">, Star Taxi App,</w:t>
        <w:noBreakHyphen/>
        <w:t xml:space="preserve">C 62/19, EU:C:2020:980, body 52 až 54 a 64 až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Zprostředkovatelská služba, která pouze propojuje zákazníky s již povolenými řidiči taxislužby – aniž by sama organizovala dopravní službu, volila řidiče, stanovovala jízdné nebo vykonávala kontrolu nad vozidly nebo řidiči – spadá do kategorie „služby informační společnosti“.</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Kromě toho právní úprava, která se konkrétně nezaměřuje na takové služby, ale vztahuje se bez rozdílu na všechny formy odesílání, a to i telefonicky nebo prostřednictvím aplikace, nemůže být kvalifikována jako „předpis pro služby“.</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Zaprvé z předkládacího rozhodnutí vyplývá, že na rozdíl od zprostředkovatelské služby dotčené ve věci, ve které byl vydán rozsudek ze dne 20. prosince 2017, Asociación Profesional Elite Taxi (C-434/15, EU:C:2017:981), která vytvořila a zpřístupnila služby městské dopravy provozované neprofesionálními řidiči, kteří nebyli dříve přítomni na trhu, služba dotčená ve věci v původním řízení se omezuje na to, že umožňuje, jak uvedl generální advokát v bodě 49 svého stanoviska, propojování osob, které se chtějí přemístit po území města, pouze s autorizovanými řidič taxislužby, jejichž činnost již existuje a pro něž je uvedená zprostředkovatelská služba pouze jednou z možností získávání zákazníků, kterou navíc nejsou povinni využít.</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Zadruhé takovou zprostředkovatelskou službu nelze považovat za službu organizující obecné fungování následné služby městské dopravy, jelikož poskytovatel nevybírá řidiče taxislužby, nestanovuje ani nevybírá jízdné a neprovádí kontrolu kvality vozidel a jejich řidičů ani kontrolu chování těchto řidičů.</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Z toho vyplývá, že taková zprostředkovatelská služba, jako je služba poskytovaná společností Star Taxi App, nemůže být považována za nedílnou součást celkové služby, jejíž hlavní složkou je dopravní služba, a musí být tudíž kvalifikována jako „služba informační společnosti“ ve smyslu čl. 2 písm. a) směrnice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V projednávaném případě z předkládacího rozhodnutí vyplývá, že rumunská právní úprava dotčená ve věci v původním řízení, ať se jedná o zákon č. 38/2003 nebo o rozhodnutí č. 178/2008, nikterak nezmiňuje služby informační společnosti. Navíc článek 3, čl. 21 odst. 1 a 3a, jakož i čl. 41 odst. 2a přílohy 1 rozhodnutí č. 178/2008 se týkají bez rozdílu všech typů služby dispečinku, ať již jsou poskytovány telefonicky nebo jakýmkoli jiným způsobem, jako je počítačová aplikace.</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Kromě toho, jak uvedl generální advokát v bodě 108 svého stanoviska, zákon č. 38/2003 ukládá poskytovatelům služby dispečinku taxislužby, kteří vykonávají svou činnost pomocí aplikace pro chytré telefony, stejně jako všem ostatním hospodářským subjektům poskytujícím tuto službu povinnost mít zařízení – v tomto případě rádiové vysílače a přijímače – zcela zbytečná z důvodu technických podmínek pro poskytování této služby.</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Vzhledem k tomu, že se taková právní úprava, jako je právní úprava dotčená ve věci v původním řízení, specificky nezaměřuje na služby informační společnosti, týká se těchto služeb pouze nepřímo nebo náhodně. Takové pravidlo tedy nelze považovat za „předpis pro služby“ ve smyslu čl. 1 odst. 1 písm. e) směrnice 2015/1535, a tudíž za „technický předpis“ ve smyslu čl. 1 odst. 1 písm. f) této směrnice.“</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Rozsudek ze dne 29. února 2024</w:t>
        </w:r>
      </w:hyperlink>
      <w:r>
        <w:rPr>
          <w:rFonts w:ascii="Times New Roman" w:hAnsi="Times New Roman" w:cs="Times New Roman" w:eastAsia="Times New Roman"/>
          <w:b/>
          <w:i/>
          <w:szCs w:val="20"/>
        </w:rPr>
        <w:t xml:space="preserve">, Doctipharma SAS, C-606/21, EU:C:2024:179, body 26 až 30 a 34 až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Odměna za službu poskytnutou poskytovatelem služeb v rámci hospodářské činnosti nemusí nutně platit osoby, které jsou příjemci. To platí pro službu poskytovanou na internetových stránkách, která spočívá ve spojení mezi lékárníky a zákazníky za účelem prodeje léčivých přípravků, pokud je služba odměňována lékárníky, kteří se přihlásili k její platformě na základě pevného poplatku.</w:t>
      </w:r>
    </w:p>
    <w:p w14:paraId="60E238C1" w14:textId="77777777">
      <w:pPr>
        <w:pStyle w:val="P68B1DB1-BodyText22"/>
      </w:pPr>
    </w:p>
    <w:p w14:paraId="16BCA1E5" w14:textId="5221BD03">
      <w:pPr>
        <w:pStyle w:val="P68B1DB1-BodyText22"/>
      </w:pPr>
      <w:r>
        <w:t xml:space="preserve">Taková služba není součástí celkové služby, jejíž hlavní prvek podléhá jiné právní kvalifikaci než „službě informační společnosti“.</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Čl. 1 bod 2 směrnice 98/34 a čl. 1 odst. 1 písm. b) směrnice 2015/1535 definují pojem „služba informační společnosti“ jako „jakoukoli službu obvykle poskytovanou za úplatu, na dálku, elektronickými prostředky a na individuální žádost příjemce služeb“.</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V projednávaném případě je třeba připomenout, pokud jde o první podmínku uvedenou v těchto ustanoveních, že podle ustálené judikatury nemusí být odměna za službu poskytovanou poskytovatelem v rámci hospodářské činnosti nutně vyplácena osobami, které jsou jejími příjemci (v tomto smyslu viz rozsudky ze dne 15. září 2016, Mc Fadden, C-484/14, EU:C:2016:689, bod 41, a ze dne 4. května 2017, Vanderborght, C-339/15, EU:C:2017:335, bod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Pro účely kvalifikace takové služby, jako je služba, o kterou se jedná ve věci v původním řízení, jako služby spadající pod pojem „služba informační společnosti“ ve smyslu čl. 1 bodu 2 směrnice 98/34 a čl. 1 odst. 1 písm. b) směrnice 2015/1535, tak není relevantní, že tato služba je poskytována bezplatně osobě, která léčivý přípravek nepodléhající omezení výdeje na lékařský předpis kupuje, jelikož vede k uzavření smlouvy o poskytování služeb za úplatu mezi poskytovatelem této služby a každým lékárníkem, který uvedenou službu využívá.</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Stejně tak není v tomto ohledu relevantní skutečnost, jak uvedla společnost Doctipharma, že byla na základě všeobecných prodejních podmínek odměňována lékárníky, kteří se přihlásili na její platformu, na základě paušálního poplatku nebo, jak uvedla francouzská vláda, skutečnost, že na službu poskytovanou společností Doctipharma se vztahovalo měsíční předplatné placené společnosti Doctipharma zákazníky, kteří jsou lékárníky, a také zpětný převod procentního podílu z částky prodejů, vybíraného platformou.</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Z toho vyplývá, že s výhradou ověření, která musí provést předkládající soud, musí být služba dotčená ve věci v původním řízení v každém případě považována za službu poskytnutou za úplatu.“</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Tento závěr není zpochybněn judikaturou stanovenou Soudním dvorem v rozsudcích ze dne 20. prosince 2017, Asociación Profesional Elite Taxi (C-434/15, EU:C:2017:981), ze dne 19. prosince 2019, Airbnb Ireland (C-390/18, EU:C:2019:1112), a ze dne 3. prosince 2020,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Z této judikatury totiž vyplývá, že služba, jejímž předmětem je zprostředkovávat kontakt mezi zákazníky a poskytovateli jiné služby odlišné povahy a splňující všechny podmínky stanovené v čl. 1 bodě 2 směrnice 98/34 a v čl. 1 odst. 1 písm. b) směrnice 2015/1535, musí být kvalifikována jako „služba informační společnosti“, pokud je taková služba službou odlišnou od služby odlišné povahy poskytované těmito poskytovateli. Jinak tomu však musí být, pokud se ukáže, že tato služba zprostředkovávání kontaktu je nedílnou součástí celkové služby, jejíž hlavní prvek spadá do jiné právní kvalifikace než „služba informační společnosti“ (rozsudek ze dne 3. prosince 2020, Star Taxi App, C-62/19, EU:C:2020:980, bod 49 a citovaná judikatura).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Jak uvedl generální advokát v bodech 28 a 29 svého stanoviska, služba zprostředkování kontaktu mezi lékárníky a zákazníky za účelem prodeje léčivých přípravků nepodléhajících omezení výdeje na lékařský předpis z internetových stránek lékáren, které si tuto službu předplatily, nemůže být nedílnou součástí celkové služby, jejíž hlavní prvek nelze kvalifikovat jako „službu informační společnosti“.</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Rozsudek ze dne 13. března 2025</w:t>
        </w:r>
      </w:hyperlink>
      <w:r>
        <w:rPr>
          <w:rFonts w:ascii="Times New Roman" w:hAnsi="Times New Roman" w:cs="Times New Roman" w:eastAsia="Times New Roman"/>
          <w:b/>
          <w:i/>
          <w:szCs w:val="20"/>
        </w:rPr>
        <w:t xml:space="preserve">, Unigames UAB,</w:t>
        <w:noBreakHyphen/>
        <w:t xml:space="preserve">C 120/24, EU:C:2025:174, body 38 až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Zákaz reklamy hazardních her na internetových stránkách se netýká reklamní služby nezávislé na hazardních hrách, ale spíše služby neoddělitelné od služby on-line hazardních her. Za účelem určení, zda představuje „předpis pro služby“, je tedy třeba nejprve posoudit kvalifikaci služeb on-line hazardních her jako „služeb informační společnosti“.</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Úvahy uvedené v bodech 36 a 37 tohoto rozsudku</w:t>
      </w:r>
      <w:r>
        <w:rPr>
          <w:i w:val="0"/>
        </w:rPr>
        <w:t xml:space="preserve"> [podle kterých je třeba služby hazardních her on-line považovat za ‚služby informační společnosti‘] </w:t>
      </w:r>
      <w:r>
        <w:t xml:space="preserve">nejsou zpochybněny skutečností, že informace o hazardních hrách zveřejněné provozovatelem hazardních her na jeho internetových stránkách nejsou nutně poskytovány „na individuální žádost příjemce služeb“. Toto zveřejnění informací nelze za takových okolností, jako jsou okolnosti dotčené ve věci v původním řízení, považovat za reklamní službu nebo jinou službu poskytovanou příjemcům služeb hazardních her na dálku, ale představuje vedlejší a neoddělitelnou činnost ve vztahu k dotčeným službám hazardních her na dálku, z níž odvozuje veškerý svůj hospodářský význam [obdobně viz rozsudek ze dne 1. října 2020, A (Reklama a prodej léčivých přípravků on-line), C-649/18, EU:C:2020:764, bod 56]. K tomu, aby spadaly pod pojem „služba“ ve smyslu čl. 1 odst. 1 písm. b) směrnice 2015/1535, a zákaz dotčený ve věci v původním řízení, který se týká takového zveřejnění informací, tedy musí splňovat pouze samotné služby hazardních her, musí splňovat zvláštní kritéria stanovená v čl. 1 odst. 1 písm. e) této směrnice, aby mohl být považován za „předpis pro“ tyto služby ve smyslu posledně uvedeného ustanovení.</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V posledně uvedeném ohledu, i když je nesporné, že zákaz dotčený ve věci v původním řízení představuje „požadavek obecné povahy“ ve smyslu čl. 1 odst. 1 písm. e) směrnice 2015/1535, je třeba ještě přezkoumat, zda jej lze považovat za „týkající se přístupu ke službám a jejich výkonu“, přičemž toto ustanovení upřesňuje, že tomu tak je zejména v případě ustanovení týkajících se poskytovatele, služeb a příjemce služeb.</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V tomto ohledu je třeba konstatovat, že čl. 10 odst. 19 zákona o hazardních hrách může spadat pod pojem „předpis pro služby“ v rozsahu, v němž stanoví zákaz podporovat zejména účast na hazardních hrách na dálku, a zejména zveřejňovat informace týkající se hazardních her na internetových stránkách provozovatele hazardních her nebo provádět jednání podporující účast na hazardních hrách (v tomto smyslu viz rozsudek ze dne 22. října 2020, Sportingbet a Internet Opportunity Entertainment, C-275/19, EU:C:2020:856, bod 48 a citovaná judikatura).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Zadruhé, jak vyplývá ze samotného znění čl. 1 odst. 1 písm. e) směrnice 2015/1535, aby mohl být zákaz dotčený ve věci v původním řízení kvalifikován jako „předpis pro služby“, musí být „konkrétně“ zaměřen na služby informační společnosti (v tomto smyslu viz rozsudek ze dne 12. září 2019, VG Media, C-299/17, EU:C:2019:716, bod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V tomto ohledu z čl. 1 odst. 1 písm. e) druhého pododstavce písm. i) směrnice 2015/1535 vyplývá, že ověření, zda je pravidlo specificky zaměřeno na služby informační společnosti, musí být provedeno jak s ohledem na znění tohoto pravidla, tak s ohledem na cíl, který sleduje. Kromě toho podle tohoto ustanovení není vyžadováno, aby „konkrétním cílem a účelem“ celého dotčeného pravidla bylo regulovat služby informační společnosti, ale stačí, aby toto pravidlo sledovalo tento cíl nebo cíl prostřednictvím některých jeho ustanovení (v tomto smyslu viz rozsudek ze dne 12. září 2019, VG Media, C-299/17, EU:C:2019:716, bod 32 a citovaná judikatura). Konečně v souladu s čl. 1 odst. 1 písm. e) druhým pododstavcem bodem ii) této směrnice se pravidlo nepovažuje za specificky zaměřené na služby informační společnosti, pokud se jich dotýká pouze implicitně nebo náhodně.“</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Ustanovení o zákazu</w:t>
      </w:r>
      <w:bookmarkEnd w:id="98"/>
      <w:bookmarkEnd w:id="99"/>
    </w:p>
    <w:p w14:paraId="11A12362" w14:textId="77777777">
      <w:pPr>
        <w:pStyle w:val="BodyText"/>
      </w:pPr>
    </w:p>
    <w:p w14:paraId="6DD7108F" w14:textId="22E84863">
      <w:pPr>
        <w:pStyle w:val="P68B1DB1-BodyText11"/>
        <w:ind w:left="567"/>
        <w:rPr>
          <w:iCs/>
        </w:rPr>
      </w:pPr>
      <w:r>
        <w:t xml:space="preserve">„„technickým předpisem“ [...] právní a správní předpisy členských států, s výjimkou předpisů uvedených v článku 7, které zakazují výrobu, dovoz, uvádění na trh nebo používání výrobku nebo zakazují poskytování nebo využívání určité služby nebo usazování poskytovatele služeb.“</w:t>
      </w:r>
    </w:p>
    <w:p w14:paraId="6EA3335C" w14:textId="77777777">
      <w:pPr>
        <w:pStyle w:val="BodyText"/>
        <w:ind w:left="567"/>
        <w:rPr>
          <w:i/>
          <w:iCs/>
        </w:rPr>
      </w:pPr>
    </w:p>
    <w:p w14:paraId="05F6428B" w14:textId="3C27EE7A">
      <w:pPr>
        <w:pStyle w:val="BodyText"/>
        <w:ind w:left="1440"/>
        <w:jc w:val="right"/>
      </w:pPr>
      <w:r>
        <w:t xml:space="preserve">(čl. 1 odst. 1 písm. f) první věta směrnice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Rozsudek ze dne 16. září 1996</w:t>
        </w:r>
      </w:hyperlink>
      <w:r>
        <w:t xml:space="preserve">, Komise v. Itálie, C-279/94, EU:C:1997:396, bod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Zákaz uvádění na trh a používání azbestu je „technickým předpisem“, který podléhá oznamovací povinnosti, neboť zakazuje uvádění výrobku na trh a jeho používání.</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Pokud jde o čl. 1 odst. 2 zákona č. 257/92, toto ustanovení zakazuje těžbu, dovoz, vývoz, uvádění na trh a výrobu azbestu, azbestových výrobků a výrobků obsahujících azbest po uplynutí jednoho roku ode dne nabytí účinnosti tohoto zákona. Takové ustanovení tím, že zakazuje uvádění azbestu na trh a jeho používání, představuje technický předpis, který měla italská vláda oznámit v souladu s čl. 8 odst. 1 prvním pododstavcem směrnice.“</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Rozsudek ze dne 21. dubna 2005</w:t>
        </w:r>
      </w:hyperlink>
      <w:r>
        <w:t xml:space="preserve">, Lindberg, C-267/03, EU:C:2005:246, body 75 až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Vnitrostátní zákaz týkající se některých hazardních her může být kvalifikován jako ustanovení o zákazu, pokud neponechává prostor pro jiné než čistě okrajové použití dotčeného výrobku. Naproti tomu kvalifikace jako zákazu nezávisí na účinku zákazu na složení, povahu nebo uvádění dotčených výrobků na trh.</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V tomto ohledu je významné, že zmíněná třetí kategorie technických předpisů, definovaná v čl. 1 bodu 9 směrnice 83/189, neobsahuje, na rozdíl od druhé kategorie, kterou tvoří jiné požadavky ve smyslu bodu 3 téhož článku, podmínku, že dotčený zákaz musí být schopen významně ovlivnit složení, povahu výrobku nebo jeho uvedení na trh.</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Vzhledem k tomu, že tato třetí kategorie technických předpisů se vztahuje zejména na zákaz používání, musí se jednat o opatření, jejichž dosah jde jasně nad omezení určitých možných způsobů používání dotčeného výrobku, a tudíž se neomezují na pouhé omezení používání tohoto výrobku.</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Jak uvedl generální advokát v bodě 70 svého stanoviska, tato kategorie technických předpisů se vztahuje konkrétněji na vnitrostátní opatření, která neumožňují žádné jiné používání dotčeného výrobku, s výjimkou čistě okrajového, které je možno od dotčeného výrobku důvodně očekávat. Je na vnitrostátním soudu, aby ověřil, zda zákaz vyplývající z vnitrostátního ustanovení dotčeného ve věci v původním řízení je takovým opatřením.“</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Rozsudek ze dne 8. září 2005</w:t>
        </w:r>
      </w:hyperlink>
      <w:r>
        <w:t xml:space="preserve">, Lidl Italia, C-303/04, EU:C:2005:528, body 12 a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Vnitrostátní zákaz uvádění na trh výrobků, které nejsou vyrobeny z určitých materiálů, představuje ustanovení zakazující výrobu a uvádění výrobků na trh.</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podle čl. 1 bodu 11 směrnice 98/34 musí být vnitrostátní ustanovení členského státu, které zakazuje výrobu, dovoz, uvádění na trh nebo používání výrobku, považováno za kategorii technických předpisů (viz rozsudek ze dne 14. října 2005, Lindberg, C-267/03, Sb. rozh. s. I-8535, bod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V projednávaném případě přitom stačí konstatovat, že čl. 19 odst. 2 zákona č. 93/2001 je předpisem takové povahy. Podle tohoto ustanovení představuje výroba a uvádění na trh vatových poupat, které nevykazují uvedené vlastnosti, a sice těch, které nejsou vyrobeny výhradně z biologicky rozložitelných materiálů v souladu s normami UNI 10785, porušení, za něž jsou ukládány správní sankce.“</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Rozsudek ze dne 26. října 2006</w:t>
        </w:r>
      </w:hyperlink>
      <w:r>
        <w:t xml:space="preserve">, Komise v. Řecko, C-65/05, EU:C:2006:673, bod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Za technické předpisy je třeba považovat opatření zakazující instalaci mimo kasina všech elektrických nebo elektronických herních zařízení a používání počítačových her v podnicích poskytujících internetové služby, jakož i podmiňující provoz těchto podniků vydáním zvláštního povolení.</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taková opatření, jako jsou opatření stanovená v čl. 2 odst. 1 a v článku 3 zákona č. 3037/2002 v rozsahu, v němž zakazují v Řecku instalaci všech elektrických, elektromechanických a elektronických her, včetně všech počítačových her, ve všech veřejných a soukromých prostorách s výjimkou kasin, jakož i používání her na počítačích v podnicích poskytujících internetové služby a podmiňují provozování těchto podniků vydáním zvláštního povolení, musí být považována za technické předpisy ve smyslu čl. 1 bodu 11 směrnice 98/34 (viz v tomto smyslu rozsudek ze dne 15. června 2005,</w:t>
        <w:noBreakHyphen/>
        <w:t xml:space="preserve">Lindberg, C 267/03, Sb. rozh. s.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Rozsudek ze dne 19. července 2012</w:t>
        </w:r>
      </w:hyperlink>
      <w:r>
        <w:t xml:space="preserve">, Fortuna a další, C-213/11, C-214/11 a C-217/11, EU:C:2012:495, body 24 a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Opatření zakazující používání výherních hracích přístrojů mimo kasina musí být kvalifikováno jako „technický předpis“.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Soudní dvůr již rozhodl, že opatření zakazující používání všech elektrických, elektromechanických a elektronických her ve všech veřejných a soukromých prostorách s výjimkou kasin musí být považována za technické předpisy ve smyslu čl. 1 bodu 11 směrnice 98/34 (rozsudek ze dne 12. prosince 2006, Komise v. Řecko, C-65/05, Sb. rozh. s. I-10341, bod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Takové opatření, jako je čl. 14 odst. 1 zákona o hazardních hrách, které povoluje provozování hazardních her na výherních hracích přístrojích pouze hernám, musí být tudíž kvalifikováno jako „technický předpis“ ve smyslu čl. 1 bodu 11 směrnice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Rozsudek ze dne 27. října 2016</w:t>
        </w:r>
      </w:hyperlink>
      <w:r>
        <w:t xml:space="preserve">, James Elliott Construction, C-613/14, EU:C:2016:821, bod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Vnitrostátní ustanovení, která stanoví implicitní smluvní podmínky týkající se obchodní jakosti, vhodnosti k použití nebo obecné jakosti prodávaných výrobků, nepředstavují ustanovení o zákazu.</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právní úprava dotčená v původním řízení nespadá do působnosti technických předpisů uvedených v čl. 1 bodě 11 směrnice 98/34, jelikož tím, že se omezuje na uvedení implicitních smluvních požadavků, neobsahuje žádný zákaz výroby, dovozu, uvádění na trh nebo používání výrobku, poskytování nebo využívání služby nebo usazování poskytovatele služeb ve smyslu této směrnice.“</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Rozsudek ze dne 28. května 2020</w:t>
        </w:r>
      </w:hyperlink>
      <w:r>
        <w:t xml:space="preserve">, ECO-WIND Construction, C-727/17, EU:C:2020:393, body 45 až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Právní úprava, která stanoví minimální vzdálenost pro instalaci větrných turbín, nepředstavuje zákaz výroby, dovozu, uvádění na trh nebo používání výrobku, ledaže de facto znamená zákaz uvádění větrných turbín na trh a neponechává žádný jiný prostor pro použití větrných turbín než čistě okrajový.</w:t>
      </w:r>
    </w:p>
    <w:p w14:paraId="57350EE4" w14:textId="77777777">
      <w:pPr>
        <w:pStyle w:val="BodyText"/>
        <w:jc w:val="left"/>
      </w:pPr>
    </w:p>
    <w:p w14:paraId="671DACC6" w14:textId="1CB89713">
      <w:pPr>
        <w:pStyle w:val="P68B1DB1-BodyText19"/>
        <w:ind w:left="567"/>
        <w:rPr>
          <w:iCs/>
        </w:rPr>
      </w:pPr>
      <w:r>
        <w:t xml:space="preserve">„45. Tato kategorie předpokládá, že dotčené opatření má dosah, který jde jasně nad rámec omezení určitých možných způsobů používání dotčeného výrobku, a neomezuje se na pouhé omezení jeho používání (rozsudky ze dne 21. dubna 2005, Lindberg, C-267/03, EU:C:2005:246, bod 76, jakož i ze dne 19. července 2012, Fortuna a další, C-213/11, C-214/11 a C-217/11, EU:C:2012:495, bod 31).</w:t>
      </w:r>
    </w:p>
    <w:p w14:paraId="787A0A4F" w14:textId="77777777">
      <w:pPr>
        <w:pStyle w:val="P68B1DB1-BodyText19"/>
        <w:ind w:left="567"/>
        <w:rPr>
          <w:iCs/>
        </w:rPr>
      </w:pPr>
    </w:p>
    <w:p w14:paraId="7CEA657E" w14:textId="35F61E5B">
      <w:pPr>
        <w:pStyle w:val="P68B1DB1-BodyText19"/>
        <w:ind w:left="567"/>
        <w:rPr>
          <w:iCs/>
        </w:rPr>
      </w:pPr>
      <w:r>
        <w:t xml:space="preserve">46. Uvedená kategorie se totiž vztahuje především na vnitrostátní opatření, která neumožňují žádné jiné používání výrobku, s výjimkou čistě okrajového, které je možno od dotčeného výrobku důvodně očekávat (rozsudky ze dne 21. dubna 2005, Lindberg, C-267/03, EU:C:2005:246, bod 77, jakož i ze dne 19. července 2012, Fortuna a další, C-213/11, C-214/11 a C-217/11, EU:C:2012:495, bod 32).</w:t>
      </w:r>
    </w:p>
    <w:p w14:paraId="47448916" w14:textId="77777777">
      <w:pPr>
        <w:pStyle w:val="P68B1DB1-BodyText19"/>
        <w:ind w:left="567"/>
        <w:rPr>
          <w:iCs/>
        </w:rPr>
      </w:pPr>
    </w:p>
    <w:p w14:paraId="6508CA59" w14:textId="00D7F268">
      <w:pPr>
        <w:pStyle w:val="P68B1DB1-BodyText19"/>
        <w:ind w:left="567"/>
        <w:rPr>
          <w:iCs/>
        </w:rPr>
      </w:pPr>
      <w:r>
        <w:t xml:space="preserve">47. I když v projednávané věci požadavek, aby instalace větrné turbíny byla podmíněna dodržením podmínky minimální vzdálenosti mezi touto větrnou turbínou a bytovými budovami, kterou ukládá vnitrostátní právní úprava dotčená ve věci v původním řízení, sice zahrnuje zákaz instalace větrné turbíny v minimální vzdálenosti menší než desetinásobek celkové výšky plánovaného zařízení z každé budovy s obytnou funkcí, je však třeba uvést, že tato právní úprava nezakazuje hospodářským subjektům pokračovat v instalaci větrných turbín, a tudíž využívat a uvádět na trh větrné generátory.“</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Technické předpisy de Facto</w:t>
      </w:r>
      <w:bookmarkEnd w:id="109"/>
      <w:bookmarkEnd w:id="110"/>
    </w:p>
    <w:p w14:paraId="297F85EC" w14:textId="77777777">
      <w:pPr>
        <w:pStyle w:val="BodyText"/>
      </w:pPr>
    </w:p>
    <w:p w14:paraId="6C908457" w14:textId="3B825828">
      <w:pPr>
        <w:pStyle w:val="P68B1DB1-BodyText11"/>
        <w:ind w:left="567"/>
        <w:rPr>
          <w:i/>
        </w:rPr>
      </w:pPr>
      <w:r>
        <w:t xml:space="preserve">„Technické předpisy de facto zahrnují: </w:t>
      </w:r>
    </w:p>
    <w:p w14:paraId="277715A6" w14:textId="77777777">
      <w:pPr>
        <w:pStyle w:val="BodyText"/>
        <w:ind w:left="567"/>
        <w:rPr>
          <w:i/>
        </w:rPr>
      </w:pPr>
    </w:p>
    <w:p w14:paraId="28BCD2BD" w14:textId="757EEC79">
      <w:pPr>
        <w:pStyle w:val="P68B1DB1-BodyText11"/>
        <w:numPr>
          <w:ilvl w:val="0"/>
          <w:numId w:val="31"/>
        </w:numPr>
        <w:rPr>
          <w:i/>
        </w:rPr>
      </w:pPr>
      <w:r>
        <w:t xml:space="preserve">právní nebo správní předpisy členského státu, které odkazují buď na technické specifikace, jiné požadavky nebo předpisy pro služby, nebo na profesní pravidla nebo pravidla správné praxe, které samy obsahují odkaz na technické specifikace, jiné požadavky nebo předpisy pro služby, přičemž soulad s nimi zakládá předpoklad shody s požadavky uloženými uvedenými právními nebo správními předpisy, </w:t>
      </w:r>
    </w:p>
    <w:p w14:paraId="32E4257D" w14:textId="77777777">
      <w:pPr>
        <w:pStyle w:val="BodyText"/>
        <w:ind w:left="1287"/>
        <w:rPr>
          <w:i/>
        </w:rPr>
      </w:pPr>
    </w:p>
    <w:p w14:paraId="5E0B6B62" w14:textId="2D5EF06C">
      <w:pPr>
        <w:pStyle w:val="P68B1DB1-BodyText11"/>
        <w:numPr>
          <w:ilvl w:val="0"/>
          <w:numId w:val="31"/>
        </w:numPr>
        <w:rPr>
          <w:i/>
        </w:rPr>
      </w:pPr>
      <w:r>
        <w:t xml:space="preserve">dobrovolné dohody, v nichž je smluvní stranou orgán veřejné moci a které ve veřejném zájmu stanoví shodu s technickými specifikacemi, jinými požadavky nebo předpisy pro služby, s výjimkou specifikací pro nabídková řízení při zadávání veřejných zakázek, </w:t>
      </w:r>
    </w:p>
    <w:p w14:paraId="4BEF10A9" w14:textId="77777777">
      <w:pPr>
        <w:pStyle w:val="BodyText"/>
        <w:rPr>
          <w:i/>
        </w:rPr>
      </w:pPr>
    </w:p>
    <w:p w14:paraId="5C79F6B1" w14:textId="7967F579">
      <w:pPr>
        <w:pStyle w:val="P68B1DB1-BodyText11"/>
        <w:numPr>
          <w:ilvl w:val="0"/>
          <w:numId w:val="31"/>
        </w:numPr>
        <w:rPr>
          <w:i/>
        </w:rPr>
      </w:pPr>
      <w:r>
        <w:t xml:space="preserve">technické specifikace nebo jiné požadavky nebo předpisy pro služby, které souvisejí s daňovými nebo finančními opatřeními ovlivňujícími spotřebu výrobků nebo služeb tím, že vyzývají ke shodě s těmito technickými specifikacemi nebo jinými požadavky nebo předpisy pro služby; to však neplatí pro technické specifikace nebo jiné požadavky nebo předpisy pro služby, které se týkají národních systémů sociálního zabezpečení. </w:t>
      </w:r>
    </w:p>
    <w:p w14:paraId="712A28B1" w14:textId="77777777">
      <w:pPr>
        <w:pStyle w:val="BodyText"/>
        <w:rPr>
          <w:i/>
        </w:rPr>
      </w:pPr>
    </w:p>
    <w:p w14:paraId="24545D3F" w14:textId="615DFC82">
      <w:pPr>
        <w:pStyle w:val="P68B1DB1-BodyText11"/>
        <w:ind w:left="567"/>
        <w:rPr>
          <w:i/>
        </w:rPr>
      </w:pPr>
      <w:r>
        <w:t xml:space="preserve">To zahrnuje technické předpisy uložené orgány určenými členskými státy, které jsou uvedeny na seznamu vypracovaném a případně aktualizovaném Komisí v rámci výboru uvedeného v článku 2.“</w:t>
      </w:r>
    </w:p>
    <w:p w14:paraId="5E87FB40" w14:textId="77777777">
      <w:pPr>
        <w:pStyle w:val="BodyText"/>
        <w:ind w:left="567"/>
        <w:rPr>
          <w:i/>
        </w:rPr>
      </w:pPr>
    </w:p>
    <w:p w14:paraId="5389ED96" w14:textId="0CBC1966">
      <w:pPr>
        <w:pStyle w:val="BodyText"/>
        <w:jc w:val="right"/>
      </w:pPr>
      <w:r>
        <w:t xml:space="preserve">(čl. 1 odst. 1 písm. f) druhá a třetí věta směrnice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Rozsudek ze dne 20. března 1997</w:t>
        </w:r>
      </w:hyperlink>
      <w:r>
        <w:t xml:space="preserve">, Bic Benelux, C-13/96, EU:C:1997:173, body 23 až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Požadavek na označování, jehož cílem je informovat spotřebitele o environmentální stopě určitých výrobků a souvisí s daní, ale představuje technickou specifikaci. Nemůže být považována za výlučně „související s daňovým opatřením“, a proto nespadá pod definici „technických předpisů de facto“.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zaprvé požadavek označování dotčený ve věci v původním řízení představuje podle definice uvedené v čl. 1 odst. 5 směrnice 83/189 technický předpis de iure v tom smyslu, že jeho „dodržení [...] je povinné [...] při uvádění na trh“ dotčeného výrobku a podle definice uvedené v čl. 1 odst. 1 se jedná o technickou specifikaci, jelikož tento předpis definuje „požadavky požadované pro výrobek, jako jsou [...] požadavky vztahující se na výrobek, pokud jde o [...] značení nebo označování“.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Zadruhé je cílem dotčeného označení informovat veřejnost zejména o účincích výrobků na životní prostředí a belgická vláda potvrdila význam, který je třeba přikládat tomuto aspektu právní úpravy označování. Cíl ekologické daně, kterým je ochrana životního prostředí, je tak posílen označením, které stejně jako jiné environmentální značení, ať už je spojeno s ekologickou daní, či nikoli, spotřebitelům připomíná škodlivé účinky dotčených výrobků na životní prostředí.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Vzhledem k tomu, že dotčený požadavek označování nemůže být v žádném případě považován za výlučně doprovodné daňové opatření, nepředstavuje tedy požadavek spojený s daňovým opatřením ve smyslu čl. 1 odst. 9 druhého pododstavce třetí odrážky směrnice 83/189, ve znění směrnice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Rozsudek ze dne 10. července 2014,</w:t>
        </w:r>
      </w:hyperlink>
      <w:r>
        <w:rPr>
          <w:b/>
          <w:i/>
        </w:rPr>
        <w:t xml:space="preserve"> Ivansson a další</w:t>
      </w:r>
      <w:r>
        <w:rPr>
          <w:sz w:val="25"/>
        </w:rPr>
        <w:t>,</w:t>
      </w:r>
      <w:r>
        <w:rPr>
          <w:b/>
          <w:i/>
        </w:rPr>
        <w:t xml:space="preserve"> C-307/13, EU:C:2014:2058, body 30 a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Odkaz na podrobná správní pravidla obsahující „technické specifikace“ nebo „jiné požadavky“ může návrhu zákona přiznat status „technického předpisu de facto“.</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je třeba konstatovat, že i když </w:t>
      </w:r>
      <w:r>
        <w:rPr>
          <w:i w:val="0"/>
        </w:rPr>
        <w:t xml:space="preserve">tento odstavec sám o sobě nepředstavuje</w:t>
      </w:r>
      <w:r>
        <w:t xml:space="preserve"> technický předpis, odkazuje ve svém druhém pododstavci na dodatečná ustanovení týkající se chovu slepic, která budou později sdělena zemědělskou radou.</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Takový odkaz na podrobnější správní předpisy může za předpokladu, že mohou být sama o sobě považována za „technické specifikace“ nebo „jiné požadavky“, přiznat § 9 nařízení o DSF postavení „technického předpisu de facto“ v souladu s čl. 1 bodem 11 první odrážkou směrnice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Rozsudek ze dne 11. června 2015</w:t>
        </w:r>
      </w:hyperlink>
      <w:r>
        <w:t xml:space="preserve">, Berlington Hungary a další, C-98/14, EU:C:2015:386, body 95 až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Vnitrostátní ustanovení, která pětinásobně násobí daň z výherních hracích přístrojů provozovaných v hernách a rovněž zavádějí poměrnou daň z této činnosti, nepředstavují „de facto technické předpisy“, neboť se jedná o daňová ustanovení, a nikoli o „technické specifikace související s daňovým pravidlem“ ve smyslu směrnice.</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Podle čl. 1 odst. 11 třetí odrážky této směrnice „technické předpisy de facto“ ve smyslu tohoto ustanovení spočívají v „technických specifikacích nebo jiných požadavcích nebo předpisech pro služby, které souvisejí s daňovými nebo finančními opatřeními ovlivňujícími spotřebu výrobků nebo služeb tím, že podporují dodržování těchto technických specifikací nebo jiných požadavků nebo předpisů pro služby“.</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Z tohoto znění vyplývá, že pojem „technické předpisy de facto“ nezahrnuje samotná daňová opatření, ale technické specifikace nebo jiné požadavky, které s ním souvisejí.</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Taková daňová právní úprava, jako je právní úprava dotčená ve věci v původním řízení, která není doprovázena žádnou technickou specifikací ani žádným jiným požadavkem, jehož dodržování má údajně zajistit, tedy nemůže být kvalifikována jako „technický předpis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Rozsudek ze dne 8. října 2020</w:t>
        </w:r>
      </w:hyperlink>
      <w:r>
        <w:t xml:space="preserve">, Admiral Sportwetten a další, EU:C:2020:812, body 38 a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Daňové právní předpisy, které nejsou doprovázeny žádnou „technickou specifikací“ ani žádným jiným požadavkem, jehož dodržování má zajistit, nemohou být kvalifikovány jako „de facto technický předpis“. Vnitrostátní daňová právní úprava, která stanoví zdanění provozování sportovních sázek, tedy nepředstavuje „technický předpis“.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pokud jde o technické předpisy de facto ve smyslu čl. 1 odst. 1 písm. f) bodu iii) směrnice 2015/1535, Soudní dvůr již rozhodl, že daňová právní úprava, k níž není přiložena žádná technická specifikace ani žádný jiný požadavek, jehož dodržování má údajně zajistit, nemůže být kvalifikována jako „technický předpis de facto“ (v tomto smyslu viz rozsudek ze dne 11. června 2015, Berlington Hungary a další, C 98/14</w:t>
        <w:noBreakHyphen/>
        <w:t xml:space="preserve">, EU:C:2015:386, bod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S ohledem na všechny výše uvedené úvahy je proto třeba na první otázku odpovědět tak, že článek 1 směrnice 2015/1535 musí být vykládán v tom smyslu, že vnitrostátní daňové pravidlo, které stanoví zdanění provozování sázkových terminálů, nepředstavuje „technický předpis“ ve smyslu tohoto článku.“</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Rozsudek ze dne 22. prosince 2022</w:t>
        </w:r>
      </w:hyperlink>
      <w:r>
        <w:rPr>
          <w:rFonts w:ascii="Times New Roman" w:hAnsi="Times New Roman" w:cs="Times New Roman" w:eastAsia="Times New Roman"/>
          <w:b/>
          <w:i/>
          <w:szCs w:val="20"/>
        </w:rPr>
        <w:t xml:space="preserve">, Airbnb Ireland a Airbnb Payments UK, C</w:t>
        <w:noBreakHyphen/>
        <w:t xml:space="preserve">83/21, EU:C:2022:1018, body 29 a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Právní předpisy daňové povahy nemohou být jako takové kvalifikovány jako „de facto technický předpis“.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Pokud jde na třetím místě o směrnici 2015/1535, je nutno uvést, že se tato směrnice odvolává na „Smlouvu o [FEU], a zejména na články 114, 337 a 43 této smlouvy“. Úvodem je třeba uvést, že vyloučení stanovené v čl. 114 odst. 2 SFEU týkající se „ustanovení o daních“ se použije rovněž ve vztahu k této směrnici, a to z důvodů uvedených v bodě 25 tohoto rozsudku.</w:t>
      </w:r>
    </w:p>
    <w:p w14:paraId="5619063A" w14:textId="77777777">
      <w:pPr>
        <w:pStyle w:val="P68B1DB1-BodyText19"/>
        <w:ind w:left="567"/>
      </w:pPr>
    </w:p>
    <w:p w14:paraId="43BD732D" w14:textId="6B6E6B11">
      <w:pPr>
        <w:pStyle w:val="P68B1DB1-BodyText19"/>
        <w:ind w:left="567"/>
        <w:rPr>
          <w:iCs/>
        </w:rPr>
      </w:pPr>
      <w:r>
        <w:t xml:space="preserve">30. Kromě toho obsah směrnice 2015/1535 nepřímo potvrzuje vyloučení „ustanovení o daních“ z její působnosti, neboť znění čl. 1 odst. 1 písm. f) bodu iii) této směrnice odkazuje mezi technickými předpisy de facto na technické specifikace nebo jiné požadavky nebo předpisy pro služby, které jsou „spojené s daňovými nebo finančními opatřeními“. Nejedná se tedy o skutečná daňová opatření, ale pouze o opatření spojená s daňovými opatřeními (v tomto smyslu viz rozsudek ze dne 8. října 2020, Admiral Sportwetten a další, C-711/19, EU:C:2020:812, bod 38); posledně uvedené tedy jako takové zůstávají mimo oblast působnosti uvedené směrnice.“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Vyloučené záležitosti</w:t>
      </w:r>
      <w:bookmarkEnd w:id="117"/>
      <w:bookmarkEnd w:id="118"/>
      <w:bookmarkEnd w:id="119"/>
    </w:p>
    <w:p w14:paraId="1278603B" w14:textId="77777777">
      <w:pPr>
        <w:pStyle w:val="BodyText"/>
        <w:rPr>
          <w:b/>
          <w:bCs/>
        </w:rPr>
      </w:pPr>
    </w:p>
    <w:p w14:paraId="1B32B976" w14:textId="77777777">
      <w:pPr>
        <w:pStyle w:val="P68B1DB1-BodyText11"/>
        <w:ind w:left="567"/>
      </w:pPr>
      <w:r>
        <w:t xml:space="preserve">„2. Tato směrnice se nevztahuje na: </w:t>
      </w:r>
    </w:p>
    <w:p w14:paraId="04019AF2" w14:textId="77777777">
      <w:pPr>
        <w:pStyle w:val="P68B1DB1-BodyText11"/>
        <w:ind w:left="1287" w:firstLine="153"/>
      </w:pPr>
      <w:r>
        <w:t xml:space="preserve">a) služby rozhlasového a televizního vysílání; </w:t>
      </w:r>
    </w:p>
    <w:p w14:paraId="1EADA741" w14:textId="108B47F0">
      <w:pPr>
        <w:pStyle w:val="P68B1DB1-BodyText11"/>
        <w:ind w:left="1440"/>
      </w:pPr>
      <w:r>
        <w:t xml:space="preserve">b) služby televizního vysílání, na něž se vztahuje čl. 1 odst. 1 písm. e) směrnice Evropského parlamentu a Rady 2010/13/EU (1). </w:t>
      </w:r>
    </w:p>
    <w:p w14:paraId="7DD31811" w14:textId="77777777">
      <w:pPr>
        <w:pStyle w:val="P68B1DB1-BodyText11"/>
        <w:ind w:left="567"/>
      </w:pPr>
    </w:p>
    <w:p w14:paraId="21C04911" w14:textId="0885ED27">
      <w:pPr>
        <w:pStyle w:val="P68B1DB1-BodyText11"/>
        <w:ind w:left="567"/>
      </w:pPr>
      <w:r>
        <w:t xml:space="preserve">3. Tato směrnice se nevztahuje na pravidla týkající se záležitostí, na něž se vztahují právní předpisy Unie v oblasti telekomunikačních služeb, na něž se vztahuje směrnice Evropského parlamentu a Rady 2002/21/ES (2). </w:t>
      </w:r>
    </w:p>
    <w:p w14:paraId="14E66827" w14:textId="77777777">
      <w:pPr>
        <w:pStyle w:val="P68B1DB1-BodyText11"/>
        <w:ind w:left="567"/>
      </w:pPr>
    </w:p>
    <w:p w14:paraId="21D3AD3B" w14:textId="663656A4">
      <w:pPr>
        <w:pStyle w:val="P68B1DB1-BodyText11"/>
        <w:ind w:left="567"/>
      </w:pPr>
      <w:r>
        <w:t xml:space="preserve">4. Tato směrnice se nevztahuje na pravidla týkající se záležitostí, na něž se vztahují právní předpisy Unie v oblasti finančních služeb, jejichž výčet není vyčerpávajícím způsobem uveden v příloze II této směrnice. </w:t>
      </w:r>
    </w:p>
    <w:p w14:paraId="0E58960E" w14:textId="77777777">
      <w:pPr>
        <w:pStyle w:val="P68B1DB1-BodyText11"/>
        <w:ind w:left="567"/>
      </w:pPr>
    </w:p>
    <w:p w14:paraId="66AEA247" w14:textId="77777777">
      <w:pPr>
        <w:pStyle w:val="P68B1DB1-BodyText11"/>
        <w:ind w:left="567"/>
      </w:pPr>
      <w:r>
        <w:t xml:space="preserve">5. S výjimkou čl. 5 odst. 3 se tato směrnice nevztahuje na pravidla přijatá regulovanými trhy nebo pro regulované trhy ve smyslu směrnice Evropského parlamentu a Rady 2004/39/ES (3) nebo jinými trhy či orgány provádějícími zúčtovací nebo vypořádací funkce pro tyto trhy nebo pro ně.</w:t>
      </w:r>
    </w:p>
    <w:p w14:paraId="5D510CB9" w14:textId="77777777">
      <w:pPr>
        <w:pStyle w:val="P68B1DB1-BodyText11"/>
        <w:ind w:left="567"/>
      </w:pPr>
    </w:p>
    <w:p w14:paraId="70E3F74F" w14:textId="117D7E99">
      <w:pPr>
        <w:pStyle w:val="P68B1DB1-BodyText11"/>
        <w:ind w:left="567"/>
      </w:pPr>
      <w:r>
        <w:t xml:space="preserve">6. Tato směrnice se nevztahuje na opatření, která členské státy považují podle Smluv za nezbytná pro ochranu osob, zejména pracovníků, při používání výrobků, pokud tato opatření nemají na výrobky vliv.</w:t>
      </w:r>
    </w:p>
    <w:p w14:paraId="24FE75EA" w14:textId="77777777">
      <w:pPr>
        <w:pStyle w:val="P68B1DB1-BodyText11"/>
        <w:ind w:left="567"/>
      </w:pPr>
    </w:p>
    <w:p w14:paraId="74938EC0" w14:textId="5965F3C9">
      <w:pPr>
        <w:pStyle w:val="BodyText"/>
        <w:ind w:left="1080"/>
        <w:jc w:val="right"/>
      </w:pPr>
      <w:r>
        <w:t xml:space="preserve">(Čl. 1 odst. 2 až 6 směrnice (EU) 2015/1535)</w:t>
      </w:r>
    </w:p>
    <w:p w14:paraId="2BAD670C" w14:textId="77777777">
      <w:pPr>
        <w:pStyle w:val="BodyText"/>
        <w:rPr>
          <w:i/>
          <w:iCs/>
          <w:sz w:val="20"/>
        </w:rPr>
      </w:pPr>
    </w:p>
    <w:p w14:paraId="0C974BBF" w14:textId="3B58908A">
      <w:pPr>
        <w:pStyle w:val="P68B1DB1-BodyText23"/>
        <w:ind w:left="567"/>
        <w:rPr>
          <w:iCs/>
        </w:rPr>
      </w:pPr>
      <w:r>
        <w:t xml:space="preserve">„„televizním vysíláním“ nebo „televizním vysíláním“ (tj. lineární audiovizuální mediální službou) audiovizuální mediální služba poskytovaná poskytovatelem mediálních služeb pro simultánní sledování pořadů na základě programové skladby;“</w:t>
      </w:r>
    </w:p>
    <w:p w14:paraId="68D48BC5" w14:textId="77777777">
      <w:pPr>
        <w:pStyle w:val="BodyText"/>
        <w:ind w:left="567"/>
        <w:rPr>
          <w:i/>
          <w:iCs/>
          <w:szCs w:val="24"/>
        </w:rPr>
      </w:pPr>
    </w:p>
    <w:p w14:paraId="1E9F9AD6" w14:textId="648E8643">
      <w:pPr>
        <w:pStyle w:val="BodyText"/>
        <w:ind w:left="1080"/>
        <w:jc w:val="right"/>
      </w:pPr>
      <w:r>
        <w:t xml:space="preserve">(Čl. 1 odst. 1 písm. e) směrnice 2010/13/EU)</w:t>
      </w:r>
    </w:p>
    <w:p w14:paraId="13E3D11F" w14:textId="77777777">
      <w:pPr>
        <w:pStyle w:val="BodyText"/>
        <w:ind w:left="1080"/>
        <w:jc w:val="right"/>
      </w:pPr>
    </w:p>
    <w:p w14:paraId="6E0ADBB8" w14:textId="55100584">
      <w:pPr>
        <w:pStyle w:val="P68B1DB1-BodyText11"/>
        <w:jc w:val="center"/>
        <w:rPr>
          <w:i/>
        </w:rPr>
      </w:pPr>
      <w:r>
        <w:t xml:space="preserve">Příklady finančních služeb, na něž se vztahuje čl. 1 odst. 4</w:t>
      </w:r>
    </w:p>
    <w:p w14:paraId="25F72A02" w14:textId="77777777">
      <w:pPr>
        <w:pStyle w:val="BodyText"/>
        <w:jc w:val="center"/>
        <w:rPr>
          <w:i/>
        </w:rPr>
      </w:pPr>
    </w:p>
    <w:p w14:paraId="319C26B1" w14:textId="77777777">
      <w:pPr>
        <w:pStyle w:val="P68B1DB1-BodyText11"/>
        <w:ind w:left="567"/>
        <w:rPr>
          <w:i/>
        </w:rPr>
      </w:pPr>
      <w:r>
        <w:t xml:space="preserve">— Investiční služby, </w:t>
      </w:r>
    </w:p>
    <w:p w14:paraId="4E853016" w14:textId="77777777">
      <w:pPr>
        <w:pStyle w:val="P68B1DB1-BodyText11"/>
        <w:ind w:left="567"/>
        <w:rPr>
          <w:i/>
        </w:rPr>
      </w:pPr>
      <w:r>
        <w:t xml:space="preserve">— pojišťovací a zajišťovací operace, </w:t>
      </w:r>
    </w:p>
    <w:p w14:paraId="6692A963" w14:textId="77777777">
      <w:pPr>
        <w:pStyle w:val="P68B1DB1-BodyText11"/>
        <w:ind w:left="567"/>
        <w:rPr>
          <w:i/>
        </w:rPr>
      </w:pPr>
      <w:r>
        <w:t xml:space="preserve">bankovní služby, </w:t>
      </w:r>
    </w:p>
    <w:p w14:paraId="23791C4C" w14:textId="77777777">
      <w:pPr>
        <w:pStyle w:val="P68B1DB1-BodyText11"/>
        <w:ind w:left="567"/>
        <w:rPr>
          <w:i/>
        </w:rPr>
      </w:pPr>
      <w:r>
        <w:t xml:space="preserve">— operace týkající se penzijních fondů, </w:t>
      </w:r>
    </w:p>
    <w:p w14:paraId="783F6792" w14:textId="77777777">
      <w:pPr>
        <w:pStyle w:val="P68B1DB1-BodyText11"/>
        <w:ind w:left="567"/>
        <w:rPr>
          <w:i/>
        </w:rPr>
      </w:pPr>
      <w:r>
        <w:t xml:space="preserve">— služby týkající se termínových obchodů nebo opcí. </w:t>
      </w:r>
    </w:p>
    <w:p w14:paraId="2DCD1B55" w14:textId="77777777">
      <w:pPr>
        <w:pStyle w:val="BodyText"/>
        <w:ind w:left="567"/>
        <w:rPr>
          <w:i/>
        </w:rPr>
      </w:pPr>
    </w:p>
    <w:p w14:paraId="337555AF" w14:textId="77777777">
      <w:pPr>
        <w:pStyle w:val="P68B1DB1-BodyText11"/>
        <w:ind w:left="567"/>
        <w:rPr>
          <w:i/>
        </w:rPr>
      </w:pPr>
      <w:r>
        <w:t xml:space="preserve">Tyto služby zahrnují zejména: </w:t>
      </w:r>
    </w:p>
    <w:p w14:paraId="3764E7FA" w14:textId="7CA8CD82">
      <w:pPr>
        <w:pStyle w:val="P68B1DB1-BodyText11"/>
        <w:ind w:left="567"/>
        <w:rPr>
          <w:i/>
        </w:rPr>
      </w:pPr>
      <w:r>
        <w:t xml:space="preserve">a) investiční služby uvedené v příloze směrnice 2004/39/ES; služby podniků kolektivního investování; </w:t>
      </w:r>
    </w:p>
    <w:p w14:paraId="5E0AD7FB" w14:textId="67C20460">
      <w:pPr>
        <w:pStyle w:val="P68B1DB1-BodyText11"/>
        <w:ind w:left="567"/>
        <w:rPr>
          <w:i/>
        </w:rPr>
      </w:pPr>
      <w:r>
        <w:t xml:space="preserve">b) služby zahrnuté do činností podléhajících vzájemnému uznávání podle přílohy I směrnice Evropského parlamentu a Rady 2013/36/EU (1); </w:t>
      </w:r>
    </w:p>
    <w:p w14:paraId="48C2F22B" w14:textId="3B1B8A48">
      <w:pPr>
        <w:pStyle w:val="P68B1DB1-BodyText11"/>
        <w:ind w:left="567"/>
        <w:rPr>
          <w:i/>
        </w:rPr>
      </w:pPr>
      <w:r>
        <w:t xml:space="preserve">C) operace, na které se vztahují pojišťovací a zajišťovací činnosti uvedené ve směrnici Evropského parlamentu a Rady 2009/138/ES (2).</w:t>
      </w:r>
    </w:p>
    <w:p w14:paraId="29E9A8E3" w14:textId="77777777">
      <w:pPr>
        <w:pStyle w:val="BodyText"/>
        <w:ind w:left="720"/>
        <w:rPr>
          <w:i/>
        </w:rPr>
      </w:pPr>
    </w:p>
    <w:p w14:paraId="79D13F1F" w14:textId="142C9AC5">
      <w:pPr>
        <w:pStyle w:val="BodyText"/>
        <w:ind w:left="1080"/>
        <w:jc w:val="right"/>
      </w:pPr>
      <w:r>
        <w:t xml:space="preserve">(Příloha II směrnice (EU) 2015/1535)</w:t>
      </w:r>
    </w:p>
    <w:p w14:paraId="0C95D790" w14:textId="77777777">
      <w:pPr>
        <w:pStyle w:val="BodyText"/>
        <w:ind w:left="567"/>
        <w:rPr>
          <w:i/>
          <w:iCs/>
          <w:szCs w:val="24"/>
        </w:rPr>
      </w:pPr>
    </w:p>
    <w:p w14:paraId="7A47117F" w14:textId="7E196DE2">
      <w:pPr>
        <w:pStyle w:val="P68B1DB1-BodyText23"/>
        <w:ind w:left="567"/>
        <w:rPr>
          <w:iCs/>
        </w:rPr>
      </w:pPr>
      <w:r>
        <w:t xml:space="preserve">„regulovaným trhem“ mnohostranný systém provozovaný nebo spravovaný organizátorem trhu, který sdružuje nebo usnadňuje sdružování vícečetných zájmů třetích osob na nákupu a prodeji finančních nástrojů – v systému a v souladu s jeho pevně stanovenými pravidly – způsobem, který vede k uzavření smlouvy o finančních nástrojích přijatých k obchodování podle jeho pravidel a/nebo systémů, a který má povolení a funguje pravidelně a v souladu s hlavou III této směrnice;“</w:t>
      </w:r>
    </w:p>
    <w:p w14:paraId="326B89D5" w14:textId="77777777">
      <w:pPr>
        <w:pStyle w:val="BodyText"/>
        <w:ind w:left="567"/>
        <w:rPr>
          <w:i/>
          <w:iCs/>
          <w:szCs w:val="24"/>
        </w:rPr>
      </w:pPr>
    </w:p>
    <w:p w14:paraId="2EE59DAD" w14:textId="7FE2F68F">
      <w:pPr>
        <w:pStyle w:val="P68B1DB1-BodyText24"/>
        <w:ind w:left="567"/>
        <w:jc w:val="right"/>
      </w:pPr>
      <w:r>
        <w:t xml:space="preserve">(Čl. 4 odst. 21 směrnice (EU) 2014/65), </w:t>
      </w:r>
    </w:p>
    <w:p w14:paraId="510D994F" w14:textId="6EE676DC">
      <w:pPr>
        <w:pStyle w:val="P68B1DB1-BodyText24"/>
        <w:ind w:left="567"/>
        <w:jc w:val="right"/>
      </w:pPr>
      <w:r>
        <w:t xml:space="preserve">přepracování směrnice 2004/39/ES)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Rozsudek ze dne 2. června 2005</w:t>
        </w:r>
      </w:hyperlink>
      <w:r>
        <w:rPr>
          <w:rFonts w:ascii="Times New Roman" w:hAnsi="Times New Roman" w:cs="Times New Roman" w:eastAsia="Times New Roman"/>
          <w:b/>
          <w:i/>
          <w:szCs w:val="20"/>
        </w:rPr>
        <w:t xml:space="preserve">, Mediakabel BV, C-89/04, EU:C:2005:348, body 22 a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Služba televizního vysílání dostupná na vyžádání předplatitelem, která se skládá z filmů, jejichž frekvenci a časovou frekvenci určuje poskytovatel, představuje službu „téměř videa na vyžádání“ spadající pod pojem „služby televizního vysílání“. Tento pojem je samostatně definován směrnicí 2010/13/EU (dříve směrnice 89/552/EHS) nezávisle na pojmu „služba informační společnosti“.</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dosah pojmu „televizní vysílání“ nelze v žádném případě vyvodit z vyloučení pojmu „služba informační společnosti“. Nicméně uvedená příloha má v souladu se svým názvem a čl. 1 bodem 2 směrnice 98/34 pouze demonstrativní povahu a jejím účelem je pouze vyloučením definovat pojem „služba informační společnosti“. Jejím předmětem ani účelem tedy není upřesnit meze pojmu „služba televizního vysílání“, jehož definice spočívá pouze na kritériích stanovených v čl. 1 písm. a) směrnice 89/552. Tak je tomu zejména v případě služeb rozhlasového vysílání. Rovněž nelze služby televizního vysílání omezit na služby, „které jsou poskytovány současně přenosem dat bez individuální žádosti neomezenému počtu jednotlivých příjemců“, uvedené v příloze V bodě 3 směrnice 98/34. Při dodržení uvedeného výkladu by se služby, jako předplacená televize, poskytované omezenému počtu příjemců, vymykaly pojmu „služby televizního vysílání“, přestože pod uvedený pojem spadají na základě kritérií stanovených v čl. 1 písm. a) směrnice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Konečně, v úmyslu zákonodárce Společenství při přijímání směrnic 98/34 a 98/48 nebylo změnit směrnici 89/552, která byla sama pozměněna méně než rok předtím směrnicí 97/36. Bod 20 odůvodnění směrnice 98/48, kterou se mění směrnice 98/34, tak uvádí, že směrnicí 98/48 „není dotčena oblast působnosti [...] směrnice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Rozsudek ze dne 12. září 2019</w:t>
        </w:r>
      </w:hyperlink>
      <w:r>
        <w:t xml:space="preserve">, VG Media, C-299/17, EU:C:2019:716, bod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„Technická pravidla“ v oblasti duševního vlastnictví nejsou vyloučena z oblasti působnosti směrnice, na rozdíl od pravidel týkajících se telekomunikačních nebo finančních služeb.</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okolnost, že § 87 g odst. 4 UrhG je součástí vnitrostátní právní úpravy autorského práva nebo práv s ním souvisejících, nemůže toto posouzení zpochybnit. Technické předpisy v oblasti duševního vlastnictví totiž nejsou výslovně vyloučeny z působnosti čl. 1 bodu 5 směrnice 98/34 na rozdíl od předpisů, které jsou předmětem evropské právní úpravy v oblasti telekomunikačních služeb nebo finančních služeb. Kromě toho z rozsudku ze dne 8. listopadu 2007, Schwibbert (C 20/05</w:t>
        <w:noBreakHyphen/>
        <w:t xml:space="preserve">, EU:C:2007:652), vyplývá, že ustanovení vnitrostátních právních předpisů v oblasti duševního vlastnictví mohou představovat „technický předpis“ podléhající oznámení podle čl. 8 odst. 1 této směrnice.“</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Oznamovací povinnost</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Oznámení ve fázi návrhu</w:t>
      </w:r>
      <w:bookmarkEnd w:id="123"/>
      <w:bookmarkEnd w:id="124"/>
    </w:p>
    <w:p w14:paraId="27EBED2C" w14:textId="3CCBF668">
      <w:pPr>
        <w:pStyle w:val="BodyText"/>
        <w:rPr>
          <w:b/>
          <w:bCs/>
        </w:rPr>
      </w:pPr>
    </w:p>
    <w:p w14:paraId="58135D0C" w14:textId="021350D1">
      <w:pPr>
        <w:pStyle w:val="P68B1DB1-BodyText11"/>
        <w:ind w:left="567"/>
        <w:rPr>
          <w:iCs/>
        </w:rPr>
      </w:pPr>
      <w:r>
        <w:t xml:space="preserve">„S výhradou článku 7 sdělí členské státy neprodleně Komisi každý návrh technického předpisu s výjimkou případů, kdy pouze přejímá úplné znění mezinárodní nebo evropské normy; v takovém případě postačí informace o příslušné normě; rovněž sdělí Komisi důvody, pro které je nezbytné takový technický předpis přijmout, pokud již nebyly uvedeny v návrhu.“</w:t>
      </w:r>
    </w:p>
    <w:p w14:paraId="79E57C28" w14:textId="77777777">
      <w:pPr>
        <w:pStyle w:val="BodyText"/>
        <w:ind w:left="567"/>
        <w:rPr>
          <w:i/>
          <w:iCs/>
        </w:rPr>
      </w:pPr>
    </w:p>
    <w:p w14:paraId="4348B9F9" w14:textId="1F348A6E">
      <w:pPr>
        <w:pStyle w:val="BodyText"/>
        <w:jc w:val="right"/>
      </w:pPr>
      <w:r>
        <w:t xml:space="preserve">(čl. 5 odst. 1 první věta směrnice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Rozsudek ze dne 2. srpna 1993</w:t>
        </w:r>
      </w:hyperlink>
      <w:r>
        <w:t xml:space="preserve">, Komise v. Itálie, C-139/92, EU:C:1993:346, body 8 a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Itálie tím, že ve fázi návrhu neoznámila ministerskou vyhlášku o definici a ověřování maximálního výkonu, jakož i o konstrukci a instalaci motorů pro rekreační plavidla, nesplnila svou povinnost oznámit návrhy technických předpisů.</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Italská vláda nepopírá, že ve fázi návrhu nesdělila Komisi dotčenou ministerskou vyhlášku.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Vzhledem k tomu, že bylo zjištěno porušení článků 8 a 9 směrnice, je třeba konstatovat nesplnění povinnosti v požadovaném znění Komisí.“</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Rozsudek ze dne 14. července 1994</w:t>
        </w:r>
      </w:hyperlink>
      <w:r>
        <w:t xml:space="preserve">, Komise v. Nizozemsko, C-61/93, EU:C:1994:302, body 6 a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Nizozemsko tím, že přijalo vyhlášky týkající se požadavků na odolnost lahví na nealkoholické nápoje a složení, klasifikace, balení a označování pesticidů, aniž je ve fázi návrhu oznámilo Komisi, nesplnilo svou povinnost oznámit návrhy technických předpisů.</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Dopisem ze dne 17. listopadu 1989 nizozemské orgány uznaly, že vyhláška ze dne 16. ledna 1989 obsahuje technické normy, na které se vztahuje směrnice 83/189, a že Komisi neoznámily návrh změny. Poukázaly však na to, že vyhláška byla předána Komisi a připojena k dopisu ze dne 22. května 1989, v němž byl tento orgán informován o privatizaci vah a měřítek.“</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Je nesporné, že v souladu s článkem 8 směrnice měly být návrhy vyhlášek ze dne 16. ledna 1989, 24. srpna 1988 a 21. října 1988 neprodleně oznámeny Komisi ve fázi přípravy a že takové oznámení nebylo učiněno.“</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Rozsudek ze dne 14. července 1994</w:t>
        </w:r>
      </w:hyperlink>
      <w:r>
        <w:t xml:space="preserve">, Komise v. Nizozemsko, C-52/93, EU:C:1994:301, body 6 a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Nizozemsko tím, že změnilo nařízení o normách jakosti pro květinové cibule, aniž by jej ve fázi návrhu oznámilo Komisi, nesplnilo svou povinnost oznámit návrhy technických předpisů.</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Dopisem ze dne 4. listopadu 1991 nizozemské orgány uznaly, že dotčené nařízení je technickým předpisem ve smyslu směrnice 83/189 a že Komisi neoznámily návrh změny.“</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Je nesporné, že v souladu s článkem 8 směrnice měl být návrh změny XIII nařízení o PVS neprodleně oznámen Komisi a že takové oznámení nebylo učiněno.“</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Rozsudek ze dne 8. září 2005</w:t>
        </w:r>
      </w:hyperlink>
      <w:r>
        <w:t xml:space="preserve">, Komise v. Portugalsko, C-500/03, EU:C:2005:515, body 39 až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Směrnice vyžaduje, aby členské státy neprodleně oznámily Komisi každý návrh technického předpisu. Portugalsko tím, že přijalo technický předpis, aniž by jej oznámilo Komisi, nesplnilo svou povinnost oznámit návrhy technických předpisů.</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(Jelikož rozsudek je k dispozici pouze ve francouzštině a portugalštině, je následující text překladem.)</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Vzhledem k tomu, že se projednávaná žaloba pro nesplnění povinnosti omezuje na návrh na určení nedodržení postupu předchozího formálního oznámení, stačí uvést, aniž je třeba odpovídat na ostatní argumenty účastníků řízení, že Soudní dvůr již rozhodl, že čl. 8 odst. 1 směrnice 98/34 ukládá členským státům povinnost neprodleně sdělit Komisi každý návrh technického předpisu (viz v tomto smyslu, pokud jde o ustanovení podobná ustanovením této směrnice, rozsudky ze dne 2. srpna 1993, Komise v. Itálie, 139/92, Recueil, s.</w:t>
        <w:noBreakHyphen/>
        <w:t xml:space="preserve">I 3, bod</w:t>
        <w:noBreakHyphen/>
        <w:t xml:space="preserve">31, a ze dne 11. ledna 1996, Komise v. Nizozemsko, 273/94, Recueil, s. I-</w:t>
        <w:noBreakHyphen/>
        <w:t xml:space="preserve">, bod).</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Vzhledem k tomu, že relevantní ustanovení nařízení č. 783/98 představují technické předpisy ve smyslu směrnice 98/34, jak bylo připomenuto v bodě 31 tohoto rozsudku, Portugalská republika byla povinna je oznámit v podobě návrhu podle čl. 8 odst. 1 směrnice 98/34 (viz v tomto smyslu, pokud jde o ustanovení podobná ustanovením směrnice 98/34, rozsudky ze dne 7. května 1998, Komise v. Belgie, 145/97,</w:t>
        <w:noBreakHyphen/>
        <w:t xml:space="preserve">Recueil, s.</w:t>
        <w:noBreakHyphen/>
        <w:t xml:space="preserve">I-13, bod 43, a ze dne 21. dubna 2005, Lindberg, 267/03, </w:t>
        <w:noBreakHyphen/>
        <w:t xml:space="preserve">Recueil, s. I-, bod).</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V důsledku toho je třeba konstatovat, že Portugalská republika tím, že přijala vyhlášku č. 783/98, aniž ji ve fázi návrhu oznámila Komisi, nesplnila povinnosti, které pro ni vyplývají z článku 8 směrnice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Rozsudek ze dne 26. října 2006</w:t>
        </w:r>
      </w:hyperlink>
      <w:r>
        <w:t xml:space="preserve">, Komise v. Řecko, C-65/05, EU:C:2006:673, body 60 až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Směrnice vyžaduje, aby členské státy neprodleně oznámily Komisi každý návrh technického předpisu. Řecko tím, že takové oznámení neučinilo před přijetím technického předpisu, nesplnilo povinnosti, které pro něj vyplývají z této směrnice.</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nic v nařízení č. 1367/2006 neumožňuje mít za to, že pojem „emise do životního prostředí“ ve smyslu čl. 6 odst. 1 první věty tohoto nařízení musí být omezen na emise pocházející z určitých průmyslových zařízení, jako jsou továrny a elektrárny.</w:t>
      </w:r>
    </w:p>
    <w:p w14:paraId="4BFB9A72" w14:textId="77777777">
      <w:pPr>
        <w:pStyle w:val="P68B1DB1-BodyText25"/>
        <w:ind w:left="510"/>
      </w:pPr>
    </w:p>
    <w:p w14:paraId="0E60EA19" w14:textId="5C6F09B6">
      <w:pPr>
        <w:pStyle w:val="P68B1DB1-BodyText25"/>
        <w:ind w:left="510"/>
      </w:pPr>
      <w:r>
        <w:t xml:space="preserve">61. Toto omezení nelze dovodit ani z Aarhuské úmluvy, k níž je třeba přihlížet při výkladu nařízení č. 1367/2006, neboť cílem tohoto nařízení, jak stanoví jeho článek 1, je přispět k provádění závazků vyplývajících z této úmluvy stanovením pravidel pro použití ustanovení uvedené úmluvy na unijní orgány a subjekty.</w:t>
      </w:r>
    </w:p>
    <w:p w14:paraId="37017D07" w14:textId="77777777">
      <w:pPr>
        <w:pStyle w:val="P68B1DB1-BodyText25"/>
        <w:ind w:left="510"/>
      </w:pPr>
    </w:p>
    <w:p w14:paraId="36CD38D8" w14:textId="043FC15A">
      <w:pPr>
        <w:pStyle w:val="P68B1DB1-BodyText25"/>
        <w:ind w:left="510"/>
        <w:rPr>
          <w:iCs/>
        </w:rPr>
      </w:pPr>
      <w:r>
        <w:t xml:space="preserve">62. Jak naproti tomu zdůraznil Soudní dvůr v bodě 72 rozsudku z dnešního dne, Bayer CropScience a Stichting De Bijenstichting (C-442/14), takové omezení by bylo v rozporu se samotným zněním čl. 4 odst. 4 prvního pododstavce písm. d) Aarhuské úmluvy. Podle tohoto ustanovení totiž mají být sděleny údaje o emisích, které jsou relevantní pro ochranu životního prostředí. Informace o emisích pocházejících z jiných zdrojů, než jsou průmyslová zařízení, například z používání přípravků na ochranu rostlin na rostlinách nebo půdě, jsou pro ochranu životního prostředí stejně důležité jako informace týkající se emisí průmyslového původu.“</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Oznámení nových technických předpisů</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Rozsudek ze dne 1. června 1994</w:t>
        </w:r>
      </w:hyperlink>
      <w:r>
        <w:t xml:space="preserve">, Komise v. Německo, C-317/92, EU:C:1994:212, body 25 a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Na rozšíření stávajícího „technického předpisu“ na nové výrobky se vztahuje oznamovací povinnost, přestože původní technický předpis, jehož oblast působnosti se rozšiřuje, již byl oznámen Komisi.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Tento argument nemůže být přijat. Dotčené německé nařízení představuje novou technickou specifikaci ve smyslu výše uvedeného článku 1, neboť sterilní lékařské nástroje, které nelze opakovaně použít, mohou být od nynějška uváděny na trh nebo používány v Německu pouze tehdy, jsou-li splněny určité povinnosti, jejichž použití bylo dříve omezeno na označení na obalu léčivých přípravků. Použití pravidla, které se dříve týkalo pouze jiných výrobků, na dané výrobky představuje ve vztahu k prvnímu z nich nové nařízení, a proto musí být oznámeno v souladu se směrnicí.</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Tento závěr není zpochybněn skutečností, že, jak tvrdí německá vláda, rozšíření působnosti pravidla je založeno na zmocňovacím ustanovení, které bylo předtím sděleno Komisi. Toto zmocňovací opatření, přijaté jako takové, nevyžaduje oznámení na základě výše uvedeného článku 8, neboť nepředstavuje novou specifikaci. Jinak je tomu v případě provádění tohoto opatření, které představuje novou specifikaci, která musí být oznámena.“</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Rozsudek ze dne 3. června 1999</w:t>
        </w:r>
      </w:hyperlink>
      <w:r>
        <w:rPr>
          <w:b/>
          <w:i/>
          <w:sz w:val="22"/>
          <w:szCs w:val="22"/>
        </w:rPr>
        <w:t xml:space="preserve">, Colim NV, C-33/189, EU:C:1999:274, bod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Vnitrostátní opatření, které reprodukuje nebo nahrazuje stávající „technické předpisy“, které již byly oznámeny Komisi, aniž by doplnilo nové specifikace, nepředstavuje návrh „technického předpisu“.</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cílem směrnice 83/189 je chránit prostřednictvím preventivní kontroly volný pohyb zboží, který je jedním ze základů Společenství (rozsudek ze dne 17. března 1997, Bic Benelux ν Belgický stát, C-13/96, Recueil, s. I-1753, bod 19). Cílem tohoto sledování je odstranit nebo omezit překážky volného pohybu zboží, které mohou vyplývat z technických předpisů, jejichž přijetí členské státy navrhují. Vnitrostátní opatření, které reprodukuje nebo nahrazuje stávající technické předpisy, které v případě, že byly přijaty po vstupu směrnice 83/189 v platnost, aniž by přidalo nové nebo dodatečné specifikace, byly řádně oznámeny Komisi, nemůže být považováno za „návrh“ technického předpisu ve smyslu čl. 1 odst. 6 směrnice 83/189, a tudíž ani za opatření podléhající oznamovací povinnosti.“</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Rozsudek ze dne 21. dubna 2005</w:t>
        </w:r>
      </w:hyperlink>
      <w:r>
        <w:t xml:space="preserve">, Lindberg, C-267/03, EU:C:2005:246, body 82 a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Předpis, který pouze přebírá nebo nahrazuje již oznámená pravidla bez doplnění nových „technických předpisů“, nemusí být oznamován.</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je třeba nejprve uvést, že vnitrostátní opatření, které reprodukuje nebo nahrazuje stávající technické předpisy, které byly v případě, že byly přijaty po vstupu směrnice 83/189 v platnost, řádně oznámeno Komisi, aniž by doplnilo nové nebo dodatečné specifikace, nemůže být považováno za „návrh“ technického předpisu ve smyslu čl. 1 odst. 9 směrnice 83/189, a tudíž za podléhající oznamovací povinnosti (viz výše uvedený rozsudek Colim, bod 22). V projednávané věci je třeba zohlednit datum vstupu směrnice 83/189 v platnost, pokud jde o Švédské království.“</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S ohledem na výše uvedené je třeba na třetí otázku odpovědět tak, že nové vymezení služby související s konstrukcí výrobku, zejména provozování některých hracích přístrojů, ve vnitrostátní právní úpravě, jak učinil zákon z roku 1996, může představovat technický předpis, který musí být oznámen na základě směrnice 83/189, pokud se tato nová právní úprava neomezuje na převzetí nebo nahrazení stávajících technických předpisů, které, pokud byly přijaty po vstupu směrnice 83/189 v platnost v dotyčném členském státě, aniž by doplnily nové nebo dodatečné specifikace, byly řádně oznámeny Komisi.“</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Rozsudek ze dne 13. března 2025</w:t>
        </w:r>
      </w:hyperlink>
      <w:r>
        <w:rPr>
          <w:rFonts w:ascii="Times New Roman" w:hAnsi="Times New Roman" w:cs="Times New Roman" w:eastAsia="Times New Roman"/>
          <w:b/>
          <w:i/>
          <w:szCs w:val="20"/>
        </w:rPr>
        <w:t xml:space="preserve">, Unigames UAB, C-120/24, EU:C:2025:174, body 57 a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Musí být oznámena změna návrhu technického předpisu, která podstatně rozšiřuje jeho oblast působnosti. Pozměňovací návrh, který zavádí sankce za nové jednání, musí být považován za podstatnou revizi technického předpisu.</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Ze žádosti o rozhodnutí o předběžné otázce vyplývá, že čl. 10 odst. 19 zákona o hazardních hrách „podstatně změnil“ zákaz podpory účasti na hazardních hrách. Předkládající soud zejména uvádí, že jednání vytýkané společnosti Unigames na základě platného zákona, spočívající ve zveřejnění informací o hazardních hrách, které nabízí, na internetových stránkách této společnosti, nemohlo být sankcionováno podle dřívějšího zákona o hazardních hrách. Podle předkládajícího soudu tedy uvedený čl. 10 odst. 19 rozšířil rozsah tohoto zákazu.</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Z informací uvedených v žádosti o rozhodnutí o předběžné otázce tak vyplývá, že čl. 10 odst. 19 zákona o hazardních hrách doplnil nové nebo dodatečné požadavky ve smyslu judikatury připomenuté v bodě 52 tohoto rozsudku ve srovnání s čl. 10 odst. 19 dřívějšího zákona o hazardních hrách. Z toho vyplývá, že s výhradou ověření, která musí provést předkládající soud, měla být změna, která vedla k platnému zákonu, oznámena podle čl. 5 odst. 1 prvního pododstavce směrnice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Oznámení úplného znění</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Rozsudek ze dne 16. září 1997</w:t>
        </w:r>
      </w:hyperlink>
      <w:r>
        <w:t xml:space="preserve">, Komise v. Itálie, C-279/94, EU:C:1997:396, body 38 a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Text obsahující „technické předpisy“ musí být oznámen v celém rozsahu, včetně opatření, která nejsou „technickými předpisy“, i když se odkladná lhůta vztahuje pouze na „technické předpisy“.</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Pokud jde o povinnost italské vlády oznámit úplné znění zákona č. 257/92, včetně ustanovení, která nejsou technickými předpisy, je třeba připomenout, že podle čl. 8 odst. 1 prvního pododstavce poslední věty směrnice musí členské státy rovněž sdělit Komisi znění základních právních nebo správních předpisů, které jsou především a bezprostředně dotčeny, pokud je znalost tohoto textu nezbytná pro posouzení důsledků návrhu technického předpisu.“</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Nicméně pouhá skutečnost, že všechna ustanovení zákona č. 257/92 jsou oznámena Komisi, nebrání Italské republice v tom, aby okamžitě, a tedy aniž by čekala na výsledky přezkumného řízení stanoveného směrnicí, uvedla v účinnost ustanovení, která nejsou technickými předpisy.“</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Oznámení dotčených základních </w:t>
      </w:r>
      <w:bookmarkEnd w:id="139"/>
      <w:r>
        <w:t>ustanovení</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„Je-li to vhodné a pokud již nebylo zasláno s předchozím sdělením, sdělí členské státy současně Komisi znění základních právních nebo správních předpisů, kterých se to týká především a přímo, pokud by jejich znalost byla nezbytná pro posouzení důsledků návrhu technického předpisu.“</w:t>
      </w:r>
    </w:p>
    <w:p w14:paraId="3C018828" w14:textId="77777777">
      <w:pPr>
        <w:pStyle w:val="BodyText"/>
        <w:ind w:left="1440"/>
        <w:jc w:val="right"/>
        <w:rPr>
          <w:i/>
          <w:iCs/>
        </w:rPr>
      </w:pPr>
    </w:p>
    <w:p w14:paraId="21D14611" w14:textId="15758967">
      <w:pPr>
        <w:pStyle w:val="BodyText"/>
        <w:ind w:left="1440"/>
        <w:jc w:val="right"/>
      </w:pPr>
      <w:r>
        <w:t xml:space="preserve">(čl. 5 odst. 1 druhá věta směrnice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Rozsudek ze dne 7. května 1998</w:t>
        </w:r>
      </w:hyperlink>
      <w:r>
        <w:t xml:space="preserve">, Komise v. Belgie, C-145/97, EU:C:1998:212, body 11 a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Členské státy musí sdělit nejen návrh znění obsahujícího „technické předpisy“, ale také znění základních právních nebo správních předpisů, kterých se to týká především a přímo. Cílem této povinnosti je umožnit Komisi, aby měla co nejvíce informací, a mohla tak účinně vykonávat pravomoci, které jí svěřuje směrnice.</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Zadruhé, pokud jde o přesný rozsah oznamovací povinnosti, poslední věta čl. 8 odst. 1 prvního pododstavce směrnice stanoví, že členské státy rovněž sdělí znění základních právních nebo správních předpisů, kterých se to týká, je-li znalost tohoto textu nezbytná pro posouzení důsledků návrhu technického předpisu.</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Jak Soudní dvůr upřesnil ve svém rozsudku ze dne 17. července 1997, Komise v. Itálie (C-279/94, Recueil, s. I-4743, bod 40), cílem tohoto ustanovení je umožnit Komisi co nejvíce informací o každém návrhu technické regulace, pokud jde o jeho obsah, rozsah a obecný kontext, aby mohla co nejúčinněji vykonávat pravomoci, které jí byly svěřeny směrnicí.“</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Opětovné oznámení</w:t>
      </w:r>
      <w:bookmarkEnd w:id="143"/>
      <w:r>
        <w:t xml:space="preserve"> během stabilizačního období</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„Členské státy znovu sdělí návrh technického předpisu Komisi za podmínek stanovených v prvním a druhém pododstavci tohoto odstavce, pokud v návrhu provedou změny, které významně změní jeho oblast působnosti, zkrátí původně plánovaný harmonogram provádění, doplní specifikace nebo požadavky nebo zpřísní tyto požadavky.“</w:t>
      </w:r>
    </w:p>
    <w:p w14:paraId="3E582DDB" w14:textId="77777777">
      <w:pPr>
        <w:pStyle w:val="BodyText"/>
        <w:ind w:left="1440"/>
        <w:jc w:val="right"/>
        <w:rPr>
          <w:i/>
          <w:iCs/>
        </w:rPr>
      </w:pPr>
    </w:p>
    <w:p w14:paraId="57E3F15D" w14:textId="51B7D3EF">
      <w:pPr>
        <w:pStyle w:val="BodyText"/>
        <w:ind w:left="1440"/>
        <w:jc w:val="right"/>
      </w:pPr>
      <w:r>
        <w:t xml:space="preserve">(čl. 5 odst. 1 třetí věta směrnice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Rozsudek ze dne 15. dubna 2010</w:t>
        </w:r>
      </w:hyperlink>
      <w:r>
        <w:t xml:space="preserve">, Sandström, C-433/05, EU:C:2010:184, body 47 a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Změny návrhu technického předpisu, které již byly oznámeny Komisi a které pouze zmírňují podmínky použití dotyčného výrobku, nepředstavují významnou změnu, která by vyžadovala další oznámení.</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s ohledem na cíl směrnice 98/34, připomenutý v bodě 41 tohoto rozsudku, změny provedené v návrhu technického předpisu, který již byl oznámen Komisi podle čl. 8 odst. 1 prvního pododstavce směrnice 98/34, které obsahují ve vztahu k oznámenému návrhu pouze zmírnění podmínek používání dotčeného výrobku, a které tedy snižují možný dopad technického předpisu na obchod, nepředstavují podstatnou změnu návrhu ve smyslu čl. 8 odst. 1 třetího pododstavce této směrnice. Takové změny tudíž nepodléhají předchozí oznamovací povinnosti.</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I když podle čl. 8 odst. 3 směrnice 98/34 členské státy neprodleně sdělí Komisi konečné znění technického předpisu, neoznámení nevýznamné změny takového předpisu před jeho přijetím nemá vliv na použitelnost tohoto nařízení, neexistuje-li povinnost předchozího oznámení.“</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Rozsudek ze dne 31. ledna 2013</w:t>
        </w:r>
      </w:hyperlink>
      <w:r>
        <w:t xml:space="preserve">, Belgische Petroleum Unie a další, C-26/11, EU:C:2013:44, body 56 a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Směrnice nevyžaduje opětovné oznámení návrhu vnitrostátních právních předpisů, pokud byl návrh po jeho oznámení pozměněn tak, aby zohledňoval připomínky Komise, a pozměněný návrh byl následně sdělen Komisi.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Belgické království se za těchto okolností omezilo na změnu ustanovení návrhu zákona v souladu se žádostí Komise o odstranění překážky obchodu, takže na základě čl. 10 odst. 1 poslední odrážky směrnice 98/34 se oznamovací povinnost stanovená v čl. 8 odst. 1 prvním pododstavci této směrnice nevztahuje na návrh zákona o povinnosti přimíchávání.</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Za těchto podmínek je třeba na druhou otázku odpovědět tak, že článek 8 směrnice 98/34 ve spojení s čl. 10 odst. 1 poslední odrážkou této směrnice musí být vykládán v tom smyslu, že nevyžaduje oznámení návrhu vnitrostátní právní úpravy, která ukládá ropným společnostem uvádějícím na trh benzin nebo motorovou naftu, aby ve stejném kalendářním roce uvedly na trh rovněž určité procentní podíly biopaliv, pokud byl tento návrh poté, co byl oznámen podle čl. 8 odst. 1 prvního pododstavce, změněn tak, aby zohlednil připomínky Komise k tomuto návrhu, a pozměněný návrh byl poté oznámen Komisi.“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Rozsudek ze dne 10. července 2014,</w:t>
        </w:r>
      </w:hyperlink>
      <w:r>
        <w:rPr>
          <w:b/>
          <w:i/>
        </w:rPr>
        <w:t xml:space="preserve"> Ivansson a další</w:t>
      </w:r>
      <w:r>
        <w:rPr>
          <w:sz w:val="25"/>
        </w:rPr>
        <w:t>,</w:t>
      </w:r>
      <w:r>
        <w:rPr>
          <w:rFonts w:ascii="Open Sans" w:hAnsi="Open Sans" w:cs="Open Sans" w:eastAsiaTheme="minorHAnsi"/>
          <w:color w:val="000000"/>
          <w:sz w:val="18"/>
          <w:szCs w:val="18"/>
        </w:rPr>
        <w:t xml:space="preserve"> </w:t>
      </w:r>
      <w:r>
        <w:rPr>
          <w:b/>
          <w:i/>
        </w:rPr>
        <w:t xml:space="preserve">C-307/13, EU:C:2014:2058, body 48 až 50</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Jakákoli významná změna harmonogramu provádění vnitrostátního opatření, včetně podstatného zkrácení, musí být oznámena Komisi. Neoznámení má za následek nepoužitelnost a nevymahatelnost opatření vůči jednotlivcům.</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V této souvislosti je třeba připomenout, že Soudní dvůr rozhodl, že nedodržení oznamovací povinnosti vůči Komisi zakládá vadu řízení při přijímání dotyčných technických předpisů a vede k nepoužitelnosti těchto technických předpisů, takže tyto nemohou být uplatňovány vůči jednotlivcům (viz zejména rozsudky CIA Security International, C-194/94, EU:C:1996:172, bod 54, a Schwibbert, C-20/05, EU:C:2007:652, bod 44). Jednotlivci se mohou dovolávat této nepoužitelnosti u vnitrostátního soudu, kterému přísluší odmítnout použití vnitrostátního technického předpisu, který nebyl oznámen v souladu se směrnicí 98/34 (viz zejména rozsudek Schwibbert, EU:C:2007:652, bod 44 a citovaná judikatura).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Z toho vyplývá, že pokud oznámení § 9 nařízení (1988:539) Komisi skutečně obsahovalo datum 1. května 2003 jako datum vstupu v platnost, a pokud má zkrácení doby jeho zavedení na 15. dubna téhož roku zásadní povahu, vede neexistence nového sdělení uvedeného vnitrostátního ustanovení Komisi k tomu, že toto ustanovení nemůže být vůči obžalovaným v původním řízení uplatňováno.</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Na druhou otázku je tedy třeba odpovědět tak, že pokud by zkrácení časového plánu pro vstup technického předpisu v platnost podléhalo povinnosti sdělit Komisi, jak je stanovena v čl. 8 odst. 1 třetím pododstavci směrnice 98/34, neuskutečnění takového sdělení by vedlo k nepoužitelnosti tohoto vnitrostátního opatření, takže by nemohlo být uplatněno vůči jednotlivcům.“</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Výjimky z oznamovací povinnosti</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Provedení evropského aktu</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„Články 5 a 6 se nepoužijí na právní a správní předpisy členských států nebo dobrovolné dohody, kterými členské státy: </w:t>
      </w:r>
    </w:p>
    <w:p w14:paraId="2762B474" w14:textId="77777777">
      <w:pPr>
        <w:pStyle w:val="BodyText"/>
        <w:ind w:left="567"/>
        <w:rPr>
          <w:i/>
        </w:rPr>
      </w:pPr>
    </w:p>
    <w:p w14:paraId="753FC221" w14:textId="4E9C46C0">
      <w:pPr>
        <w:pStyle w:val="P68B1DB1-BodyText11"/>
        <w:ind w:left="1440"/>
        <w:rPr>
          <w:iCs/>
        </w:rPr>
      </w:pPr>
      <w:r>
        <w:t xml:space="preserve">a) jsou v souladu se závaznými akty Unie, které vedou k přijetí technických specifikací nebo předpisů pro služby;“</w:t>
      </w:r>
    </w:p>
    <w:p w14:paraId="2A077376" w14:textId="77777777">
      <w:pPr>
        <w:pStyle w:val="BodyText"/>
        <w:ind w:left="567"/>
        <w:rPr>
          <w:i/>
          <w:iCs/>
        </w:rPr>
      </w:pPr>
    </w:p>
    <w:p w14:paraId="7AE538ED" w14:textId="4CFA3BCA">
      <w:pPr>
        <w:pStyle w:val="BodyText"/>
        <w:jc w:val="right"/>
      </w:pPr>
      <w:r>
        <w:t xml:space="preserve">(Čl. 7 odst. 1 písm. a) směrnice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Rozsudek ze dne 17. září 1996</w:t>
        </w:r>
      </w:hyperlink>
      <w:r>
        <w:t xml:space="preserve">, Komise v. Itálie, C-289/94, EU:C:1996:330, body 43 až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Aby vnitrostátní opatření mohlo být považováno za prováděcí opatření vyňaté z oznamovací povinnosti, musí být prokázána přímá souvislost se závazným aktem Společenství.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Směrnice 91/492 obsahuje mnohem širší ustanovení týkající se uvádění nejen mlžů, ale také mořských plžů, pláštěnců a ostnokožců na trh. Stanoví nové požadavky na všechny fáze sběru, manipulace, skladování, přepravy a distribuce měkkýšů a rovněž zavádí systém evidence a označování, který umožní identifikaci původu každé šarže pro hygienické účely.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Neexistence přímé souvislosti mezi směrnicí 91/492 a oběma dotčenými nařízeními je ostatně potvrzena tvrzením italské vlády, podle kterého byla tato směrnice provedena do italského práva prostřednictvím výše uvedeného legislativního nařízení č. 530 ze dne 30. prosince 1992, které, jak sama uvádí, představuje jediné prováděcí opatření ke směrnici 91/492 a k němuž Komise dne 27. ledna 1993 zaslala podrobné stanovisko, v němž toto nařízení kritizovala v rozsahu, v němž se vztahovala na jiný toxin (NSP), který není uveden ve směrnici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Vzhledem k tomu, že nepředstavují opatření provádějící směrnici 91/492, která by odůvodňovala použití článku 10 směrnice 83/189, musela být vyhláška č. 257 ze dne 1. srpna 1990 a vyhláška ze dne 1. září 1990 oznámeny Komisi na základě článku 8 posledně uvedené směrnice.“</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Rozsudek ze dne 26. září 2000</w:t>
        </w:r>
      </w:hyperlink>
      <w:r>
        <w:t xml:space="preserve">, Unilever, C-443/98, EU:C:2000:496, body 28 a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Mají-li členské státy při provádění unijní směrnice široký prostor pro uvážení, nelze vnitrostátní opatření přijatá za tímto účelem považovat za vnitrostátní ustanovení „v souladu se závazným aktem Společenství“.</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Zadruhé italská vláda tvrdí, že napadený zákon byl vyňat z oznamovací povinnosti podle článku 10 směrnice 83/189, neboť byl přijat v souladu se směrnicí Rady 79/112/EHS ze dne 18. prosince 1978 o sbližování právních předpisů členských států týkajících se označování potravin určených k prodeji konečnému spotřebiteli, jejich obchodní úpravy a související reklamy (Úř. věst. 1979, L 33, s. 1; Zvl. vyd. 15/01, s. 179). Článek 3 odst. 1 bod 7 této směrnice vyžaduje, aby bylo na etiketě uvedeno místo původu nebo provenience výrobku v případech, kdy by opomenutí těchto informací mohlo uvést spotřebitele v omyl, pokud jde o skutečný původ nebo provenienci potraviny.</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Toto tvrzení nemůže být přijato. Jak zdůraznila Komise, toto obecně formulované ustanovení směrnice 79/112 ponechává členským státům dostatečný manévrovací prostor k tomu, aby bylo možné dospět k závěru, že taková vnitrostátní pravidla týkající se označování původu, jako jsou pravidla přijatá napadeným zákonem, nemohou být považována za vnitrostátní ustanovení, která jsou v souladu se závazným aktem Společenství ve smyslu čl. 10 odst. 1 první odrážky směrnice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Rozsudek ze dne 22. ledna 2000</w:t>
        </w:r>
      </w:hyperlink>
      <w:r>
        <w:t xml:space="preserve">, Canal Satélite Digital, C-390/99, EU:C:2002:34, bod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Vnitrostátní předpisy, kterými se provádějí závazná opatření Společenství obsahující „technické specifikace“, nepodléhají oznamovací povinnosti za předpokladu, že jsou přísně omezeny na toto provedení.</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Pokud jde o druhou část třetí otázky, která se týká povinnosti podle článku 8 směrnice 83/189 sdělit Komisi každý návrh technického předpisu, z článku 10 této směrnice vyplývá, že články 8 a 9 se nepoužijí na právní a správní předpisy členských států ani na jimi uzavřené dobrovolné dohody, kterými členské státy dodržují závazná opatření Společenství vedoucí k přijetí technických specifikací. Pokud tedy vnitrostátní právní úprava dotčená ve věci v původním řízení provádí směrnici 95/47 a pouze v tomto rozsahu, neexistuje oznamovací povinnost podle směrnice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Rozsudek ze dne 8. září 2005</w:t>
        </w:r>
      </w:hyperlink>
      <w:r>
        <w:t xml:space="preserve">, Komise v. Portugalsko, C-500/03, EU:C:2005:515, body 34 a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 vnitrostátní ustanovení určující vlastnosti rekreačních plavidel se nemůže vztahovat výjimka z oznamovací povinnosti vyhrazené pro provedení, pokud dovolávaná směrnice ponechává členským státům volnost stanovit podmínky, které považují za nezbytné pro ochranu životního prostředí, uspořádání a bezpečnost vodních cest.</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(Rozsudek je k dispozici pouze ve francouzštině a portugalštině, následující text je překladem.)</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[...]Členské státy mají podle čl. 2 odst. 2 směrnice 94/25 právo vymezit na vnitrostátní úrovni podmínky, které považují za nezbytné pro plavbu v některých vodách za účelem ochrany životního prostředí a struktury vodních cest a zajištění bezpečnosti v těchto vodách. Tato ustanovení vnitrostátní právní úpravy však nelze v žádném případě považovat za přijatá za účelem dodržení závazného aktu Společenství.</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Z toho vyplývá, že nařízení o plavbě v lagunách, které zavádí technická omezení pro rekreační plavidla podle čl. 2 odst. 2 směrnice 94/25, nespadá do působnosti čl. 10 odst. 1 první odrážky směrnice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Použití ochranné doložky</w:t>
      </w:r>
      <w:bookmarkEnd w:id="158"/>
      <w:bookmarkEnd w:id="159"/>
    </w:p>
    <w:p w14:paraId="19EB441C" w14:textId="77777777">
      <w:pPr>
        <w:pStyle w:val="BodyText"/>
        <w:ind w:left="567"/>
      </w:pPr>
    </w:p>
    <w:p w14:paraId="3421D751" w14:textId="45643AD7">
      <w:pPr>
        <w:pStyle w:val="P68B1DB1-BodyText11"/>
        <w:ind w:left="567"/>
        <w:rPr>
          <w:iCs/>
        </w:rPr>
      </w:pPr>
      <w:r>
        <w:t xml:space="preserve">„Články 5 a 6 </w:t>
      </w:r>
      <w:r>
        <w:rPr>
          <w:i w:val="0"/>
        </w:rPr>
        <w:t xml:space="preserve">[o oznamovací povinnosti a odkladné lhůtě] </w:t>
      </w:r>
      <w:r>
        <w:t xml:space="preserve">se nepoužijí na právní a správní předpisy členských států nebo dobrovolné dohody, kterými členské státy: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využívá ochranných doložek stanovených v závazných aktech Unie;“</w:t>
      </w:r>
    </w:p>
    <w:p w14:paraId="3AF0BFA4" w14:textId="77777777">
      <w:pPr>
        <w:pStyle w:val="P68B1DB1-BodyText11"/>
        <w:ind w:left="567"/>
        <w:rPr>
          <w:iCs/>
        </w:rPr>
      </w:pPr>
    </w:p>
    <w:p w14:paraId="6099E717" w14:textId="6C5840E7">
      <w:pPr>
        <w:pStyle w:val="BodyText"/>
        <w:jc w:val="right"/>
      </w:pPr>
      <w:r>
        <w:t xml:space="preserve">(Čl. 7 odst. 1 písm. c) směrnice (EU) 2015/1535)</w:t>
      </w:r>
    </w:p>
    <w:p w14:paraId="0B43480F" w14:textId="77777777">
      <w:pPr>
        <w:pStyle w:val="BodyText"/>
        <w:jc w:val="right"/>
      </w:pPr>
    </w:p>
    <w:p w14:paraId="2F300DBD" w14:textId="39C2EC6A">
      <w:pPr>
        <w:pStyle w:val="P68B1DB1-BodyText11"/>
        <w:ind w:left="567"/>
        <w:rPr>
          <w:iCs/>
        </w:rPr>
      </w:pPr>
      <w:r>
        <w:t xml:space="preserve">„Výše uvedená harmonizační opatření zahrnují ve vhodných případech ochrannou doložku, která zmocňuje členské státy přijmout z jednoho nebo více důvodů neekonomické povahy uvedených v článku 36 prozatímní opatření, která podléhají kontrolnímu postupu Unie.“</w:t>
      </w:r>
    </w:p>
    <w:p w14:paraId="618BDE87" w14:textId="77777777">
      <w:pPr>
        <w:pStyle w:val="BodyText"/>
        <w:jc w:val="right"/>
      </w:pPr>
    </w:p>
    <w:p w14:paraId="4DE4DD33" w14:textId="77777777">
      <w:pPr>
        <w:pStyle w:val="BodyText"/>
        <w:jc w:val="right"/>
      </w:pPr>
      <w:r>
        <w:t xml:space="preserve">114 odst. 10 Smlouvy o fungování Evropské unie)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Rozsudek ze dne 8. září 2005</w:t>
        </w:r>
      </w:hyperlink>
      <w:r>
        <w:t xml:space="preserve">, Komise v. Portugalsko, C-500/03, EU:C:2005:515, body 34 a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Vnitrostátní předpisy zavádějící trvalá opatření nemohou využívat výjimky z oznamovací povinnosti vyhrazené ochranným doložkám, protože tyto doložky ze své podstaty zahrnují pouze prozatímní opatření.</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(Jelikož rozsudek je k dispozici pouze ve francouzštině a portugalštině, je následující text překladem.)</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Vzhledem k tomu, že se projednávaná žaloba pro nesplnění povinnosti omezuje na návrh na určení nesplnění formálního postupu předchozího oznámení, stačí uvést, aniž je třeba odpovídat na ostatní argumenty účastníků řízení, že Soudní dvůr již rozhodl, že čl. 8 odst. 1 směrnice 98/34 ukládá členským státům povinnost neprodleně sdělit Komisi každý návrh technického předpisu (viz v tomto smyslu, pokud jde o ustanovení podobná ustanovením této směrnice, rozsudky ze dne 2. srpna 1993, Komise v. Itálie, C-139/92, Recueil, s. I-3, bod 31, a ze dne 11. ledna 1996, Komise v. Nizozemsko, C-273/94, Recueil, s. I-, bod).</w:t>
      </w:r>
    </w:p>
    <w:p w14:paraId="4A696586" w14:textId="77777777">
      <w:pPr>
        <w:pStyle w:val="BodyText"/>
        <w:ind w:left="567"/>
        <w:rPr>
          <w:i/>
          <w:iCs/>
          <w:sz w:val="20"/>
          <w:szCs w:val="16"/>
        </w:rPr>
      </w:pPr>
    </w:p>
    <w:p w14:paraId="7FC8797C" w14:textId="46BA7B1B">
      <w:pPr>
        <w:pStyle w:val="P68B1DB1-BodyText25"/>
        <w:ind w:left="567"/>
        <w:jc w:val="left"/>
      </w:pPr>
      <w:r>
        <w:t xml:space="preserve">40. Vzhledem k tomu, že relevantní ustanovení nařízení č. 783/98 představují technické předpisy ve smyslu směrnice 98/34, jak bylo uvedeno v bodě 31 tohoto rozsudku, Portugalská republika byla povinna je oznámit v podobě návrhu podle čl. 8 odst. 1 směrnice 98/34 (viz v tomto smyslu, pokud jde o ustanovení podobná ustanovením směrnice 98/34, rozsudky ze dne 7. května 1998, Komise v. Belgie, C-145/97, Recueil, s. I-13, bod 43, a ze dne 21. dubna 2005, Lindberg, C-267/03, Recueil, s. I-, bod).“</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Rozsudek ze dne 8. října 2020</w:t>
        </w:r>
      </w:hyperlink>
      <w:r>
        <w:t xml:space="preserve">, Union des industries de la protection des plantes, C-514/19, EU:C:2020:803, body 46 a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(s odkazem na </w:t>
      </w:r>
      <w:hyperlink r:id="rId93" w:history="1">
        <w:r>
          <w:rPr>
            <w:rStyle w:val="Hyperlink"/>
            <w:rFonts w:ascii="Times New Roman" w:hAnsi="Times New Roman" w:cs="Times New Roman" w:eastAsia="Times New Roman"/>
            <w:b/>
            <w:i/>
            <w:color w:val="0000FF"/>
            <w:szCs w:val="20"/>
          </w:rPr>
          <w:t xml:space="preserve">stanovisko generální advokátky J. Kokott</w:t>
        </w:r>
      </w:hyperlink>
      <w:r>
        <w:rPr>
          <w:rFonts w:ascii="Times New Roman" w:hAnsi="Times New Roman" w:cs="Times New Roman" w:eastAsia="Times New Roman"/>
          <w:b/>
          <w:i/>
          <w:szCs w:val="20"/>
        </w:rPr>
        <w:t xml:space="preserve">, EU:C:2020:422, bod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Doložka odpovídající definici v článku 114 Smlouvy o fungování Evropské unie je ochrannou doložkou, i když není uvedena v aktu, který ji stanoví. Je proto osvobozena od oznamovací povinnosti.</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(Rozsudek Soudního dvora)</w:t>
      </w:r>
      <w:r>
        <w:rPr>
          <w:i/>
        </w:rPr>
        <w:t xml:space="preserve"> „46 [...] čl. 71 odst. 1 tohoto nařízení musí být považován za ochrannou doložku, jak uvedla generální advokátka v bodě 58 svého stanoviska.</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Rozdíl mezi postupy stanovenými v článku 5 uvedené směrnice a v článku 71 uvedeného nařízení je tedy potvrzen čl. 7 odst. 1 písm. c) této směrnice, který stanoví, že články 5 a 6 této směrnice se nepoužijí na ustanovení členských států, kterými členské státy používají ochranné doložky stanovené v závazných aktech Unie.“</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(stanovisko generální advokátky J. Kokott)</w:t>
      </w:r>
      <w:r>
        <w:rPr>
          <w:i/>
        </w:rPr>
        <w:t xml:space="preserve"> </w:t>
      </w:r>
      <w:bookmarkStart w:id="163" w:name="point58"/>
      <w:r>
        <w:rPr>
          <w:i/>
        </w:rPr>
        <w:t>„</w:t>
      </w:r>
      <w:bookmarkEnd w:id="163"/>
      <w:r>
        <w:rPr>
          <w:i/>
        </w:rPr>
        <w:t xml:space="preserve">58.      Článek 71 nařízení o ochraně rostlin sice na rozdíl od některých srovnatelných právních úprav nenese nadpis „Ochranná doložka“, obsahově však toto ustanovení odpovídá definici ochranných doložek podle čl. 114 odst. 10 SFEU. Lze ji proto rovněž považovat za ochrannou doložku pro účely čl. 7 odst. 1 písm. c) směrnice o oznamování.“</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Rozsudek ze dne 9. března 2023</w:t>
        </w:r>
      </w:hyperlink>
      <w:r>
        <w:rPr>
          <w:rFonts w:ascii="Times New Roman" w:hAnsi="Times New Roman" w:cs="Times New Roman" w:eastAsia="Times New Roman"/>
          <w:b/>
          <w:i/>
          <w:szCs w:val="20"/>
        </w:rPr>
        <w:t xml:space="preserve">, Vapo Atlantic,</w:t>
        <w:noBreakHyphen/>
        <w:t xml:space="preserve">C 604/21, EU:C:2023:175, body 55 až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Výjimka z oznamovací povinnosti založená na „ochranné doložce“ je možná pouze tehdy, pokud uvedený harmonizační akt výslovně obsahuje ustanovení odpovídající definici uvedené v článku 114 Smlouvy o fungování Evropské unie.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Je třeba uvést, že první dva pododstavce čl. 4 odst. 1 směrnice 2009/30 se omezují na to, že stanoví pro členské státy lhůtu k jejímu provedení, a sice do 31. prosince 2010, prostřednictvím právních a správních předpisů nezbytných za tímto účelem, přičemž od nich požaduje, aby neprodleně uvědomily Komisi o znění těchto předpisů. Třetí pododstavec tohoto ustanovení stanoví, že tyto předpisy přijaté členskými státy musí obsahovat odkaz na směrnici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Nic ve znění čl. 4 odst. 1 směrnice 2009/30 přitom nenasvědčuje tomu, že unijní normotvůrce zamýšlel zavést do této směrnice ochrannou doložku ve smyslu čl. 114 odst. 10 SFEU, kterou by mohly členské státy využít.</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V tomto ohledu posledně uvedené ustanovení stanoví, že harmonizační opatření zahrnují ve vhodných případech ochrannou doložku, která zmocňuje členské státy přijmout z jednoho nebo více důvodů neekonomické povahy uvedených v článku 36 SFEU prozatímní opatření, která podléhají kontrolnímu postupu Unie. Z toho vyplývá, že taková ochranná doložka musí být výslovně stanovena v harmonizačním aktu. Článek 4 odst. 1 směrnice 2009/30 nemá tyto vlastnosti, a nemůže tedy takovou ochrannou doložku představovat.“</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Změna v souladu se žádostí Komise</w:t>
      </w:r>
      <w:bookmarkEnd w:id="169"/>
      <w:bookmarkEnd w:id="170"/>
    </w:p>
    <w:p w14:paraId="049085CF" w14:textId="77777777">
      <w:pPr>
        <w:pStyle w:val="BodyText"/>
        <w:jc w:val="left"/>
      </w:pPr>
    </w:p>
    <w:p w14:paraId="40F4BBF6" w14:textId="77777777">
      <w:pPr>
        <w:pStyle w:val="P68B1DB1-BodyText11"/>
        <w:ind w:left="567"/>
        <w:rPr>
          <w:iCs/>
        </w:rPr>
      </w:pPr>
      <w:r>
        <w:t xml:space="preserve">„Články 5 a 6 </w:t>
      </w:r>
      <w:r>
        <w:rPr>
          <w:i w:val="0"/>
        </w:rPr>
        <w:t xml:space="preserve">[o oznamovací povinnosti a odkladné lhůtě] </w:t>
      </w:r>
      <w:r>
        <w:t xml:space="preserve">se nepoužijí na právní a správní předpisy členských států nebo dobrovolné dohody, kterými členské státy: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omezí se na změnu technického předpisu ve smyslu čl. 1 odst. 1 písm. f) v souladu se žádostí Komise s cílem odstranit překážku obchodu nebo v případě předpisů pro služby volnému pohybu služeb nebo svobodě usazování provozovatelů služeb.“</w:t>
      </w:r>
    </w:p>
    <w:p w14:paraId="21F03EA5" w14:textId="77777777">
      <w:pPr>
        <w:pStyle w:val="BodyText"/>
        <w:jc w:val="center"/>
      </w:pPr>
    </w:p>
    <w:p w14:paraId="7883B4B7" w14:textId="369773F7">
      <w:pPr>
        <w:pStyle w:val="BodyText"/>
        <w:jc w:val="right"/>
      </w:pPr>
      <w:r>
        <w:t xml:space="preserve">(Čl. 7 odst. 1 písm. f) směrnice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Rozsudek ze dne 31. ledna 2013</w:t>
        </w:r>
      </w:hyperlink>
      <w:r>
        <w:t xml:space="preserve">, Belgische Petroleum Unie a další, C-26/11, EU:C:2013:44, body 56 a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Směrnice nevyžaduje oznámení návrhu vnitrostátních právních předpisů, pokud byl návrh po prvotním oznámení pozměněn tak, aby zohledňoval připomínky Komise, a pozměněné znění bylo následně sděleno Komisi.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Belgické království se za těchto okolností omezilo na změnu ustanovení návrhu zákona v souladu se žádostí Komise o odstranění překážky obchodu, takže na základě čl. 10 odst. 1 poslední odrážky směrnice 98/34 se oznamovací povinnost stanovená v čl. 8 odst. 1 prvním pododstavci této směrnice nevztahuje na návrh zákona o povinnosti přimíchávání.</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Za těchto podmínek je třeba na druhou otázku odpovědět tak, že článek 8 směrnice 98/34 ve spojení s čl. 10 odst. 1 poslední odrážkou této směrnice musí být vykládán v tom smyslu, že nevyžaduje oznámení návrhu vnitrostátní právní úpravy, která ukládá ropným společnostem uvádějícím na trh benzin nebo motorovou naftu, aby ve stejném kalendářním roce uvedly na trh rovněž určité procentní podíly biopaliv, pokud byl tento návrh poté, co byl oznámen podle čl. 8 odst. 1 prvního pododstavce, změněn tak, aby zohlednil připomínky Komise k tomuto návrhu, a pozměněný návrh byl poté oznámen Komisi.“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Okolnosti, které nepředstavují výjimky</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Rozsudek ze dne 11. ledna 1996</w:t>
        </w:r>
      </w:hyperlink>
      <w:r>
        <w:t xml:space="preserve">, Komise v. Nizozemsko, C-273/94, EU:C:1996:4, body 14 a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Oznamovací povinnost nezávisí na předpokládaném účinku pravidla na obchod mezi členskými státy.</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Toto posouzení nemůže být vyvráceno argumentem nizozemské vlády, podle kterého je účinkem sporné vyhlášky podpora uvádění margarínu na trh, a že je tedy v souladu s hlavním cílem směrnice, kterým je odstranění překážek obchodu se zbožím uvnitř Společenství.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Členské státy jsou povinny sdělit Komisi každý návrh technického předpisu v souladu s článkem 8 směrnice. Taková povinnost nemůže být podmíněna jednostranným posouzením účinků, které může mít na obchod mezi členskými státy, ze strany členského státu, který vypracoval právní úpravu.“</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Rozsudek ze dne 16. června 1998</w:t>
        </w:r>
      </w:hyperlink>
      <w:r>
        <w:t xml:space="preserve">, Lemmens, C-226/97, EU:C:1998:296, body 18 až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Směrnice se vztahuje na „technické předpisy“ bez ohledu na důvod jejich přijetí. Skutečnost, že se opatření vztahuje na trestní právo, jej nezprošťuje oznamovací povinnosti. Vnitrostátní předpisy upravující přístroje pro analýzu dýchacích cest používané policií k měření alkoholu tak představují technický předpis, který měl být oznámen Komisi před jeho přijetím.</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Francouzská vláda tvrdí, že se směrnice nevztahuje na výrobky, které jsou stejně jako v projednávané věci určeny k použití v rámci výkonu veřejné moci, a tím spíše v trestním řízení zahájeném členskými státy.</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S těmito argumenty nelze souhlasit. I když trestní právo a pravidla trestního řízení v zásadě spadají do pravomoci členských států, nevyplývá z toho, že tato část práva nemůže být dotčena právem Společenství (viz v tomto smyslu rozsudky ze dne 11. července 1989, Cowan, 186/87, Recueil, s. 195, bod 19, a ze dne 14. července 1981, Casati, 203/80, Recueil, s. 2595, bod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V projednávané věci nic ve směrnici nenasvědčuje tomu, že by technické předpisy ve smyslu článku 1 této směrnice byly vyloučeny z oznamovací povinnosti, protože spadají do oblasti působnosti trestního práva, nebo že by oblast působnosti směrnice byla omezena na výrobky určené k použití jinak než při výkonu veřejné moci. Jak již Soudní dvůr uvedl v rozsudku ze dne 17. března 1997, Bic Benelux (C-13/96, Recueil, s. I-1753, bod 19), směrnice se vztahuje na technické předpisy bez ohledu na důvody, pro které byly přijaty.“</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Rozsudek ze dne 21. dubna 2005</w:t>
        </w:r>
      </w:hyperlink>
      <w:r>
        <w:t xml:space="preserve">, Lindberg, C-267/03, EU:C:2005:246, body 86, 91 a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Hodnota výrobku, kterého se pravidlo týká, velikost jeho trhu a vliv tohoto pravidla na obchod uvnitř Společenství nejsou relevantními kritérii pro určení, zda musí být oznámen „technický předpis“.</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Podstatou čtvrté otázky předkládajícího soudu je, jaký význam mají následující okolnosti pro účely oznamovací povinnosti stanovené směrnicí 83/189:</w:t>
      </w:r>
    </w:p>
    <w:p w14:paraId="767A8711" w14:textId="77777777">
      <w:pPr>
        <w:pStyle w:val="P68B1DB1-P68B1DB1-ListParagraph226"/>
        <w:tabs>
          <w:tab w:val="left" w:pos="396"/>
          <w:tab w:val="left" w:pos="425"/>
        </w:tabs>
        <w:ind w:left="709"/>
      </w:pPr>
      <w:r>
        <w:t xml:space="preserve">— Nahrazení požadavku povolení zákazem stanoveným vnitrostátním právem,</w:t>
      </w:r>
    </w:p>
    <w:p w14:paraId="559C82EC" w14:textId="77777777">
      <w:pPr>
        <w:pStyle w:val="P68B1DB1-P68B1DB1-ListParagraph226"/>
        <w:tabs>
          <w:tab w:val="left" w:pos="396"/>
          <w:tab w:val="left" w:pos="425"/>
        </w:tabs>
        <w:ind w:left="709"/>
      </w:pPr>
      <w:r>
        <w:t xml:space="preserve">— Větší nebo menší hodnota výrobku/služeb,</w:t>
      </w:r>
    </w:p>
    <w:p w14:paraId="7057795D" w14:textId="77777777">
      <w:pPr>
        <w:pStyle w:val="P68B1DB1-P68B1DB1-ListParagraph226"/>
        <w:tabs>
          <w:tab w:val="left" w:pos="396"/>
          <w:tab w:val="left" w:pos="425"/>
        </w:tabs>
        <w:ind w:left="709"/>
      </w:pPr>
      <w:r>
        <w:t xml:space="preserve">— Velikost trhu s produktem/službou nebo</w:t>
      </w:r>
    </w:p>
    <w:p w14:paraId="7E4DCD6F" w14:textId="27AB1FF7">
      <w:pPr>
        <w:pStyle w:val="P68B1DB1-P68B1DB1-ListParagraph226"/>
        <w:tabs>
          <w:tab w:val="left" w:pos="396"/>
          <w:tab w:val="left" w:pos="425"/>
        </w:tabs>
        <w:ind w:left="709"/>
      </w:pPr>
      <w:r>
        <w:t xml:space="preserve">— Účinek nového vnitrostátního ustanovení o používání, které by mohlo být buď úplným zákazem používání, nebo zákazem či omezením v jedné z možných oblastí použití?“</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Pokud se jedná o druhou a třetí okolnost uvedenou ve čtvrté předběžné otázce, je namístě připomenout, jak bylo uvedeno v bodu 50 tohoto rozsudku, že směrnice 83/189 stanovuje procesní systém preventivní kontroly, který umožňuje ověřit, zda se na vnitrostátní normu, která obsahuje technický předpis, vztahují ustanovení Smlouvy o volném pohybu zboží, a pokud ano, přezkoumat, zda je taková norma slučitelná s těmito ustanoveními.</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V tomto ohledu bylo v bodě 51 tohoto rozsudku rozhodnuto, že případné účinky technického předpisu na obchod uvnitř Společenství nepředstavují kritérium pro vymezení oblasti působnosti směrnice 83/189, zejména pokud jde o oznamovací povinnost, kterou stanoví.“</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Nepoužitelnost“</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Nepoužitelnost v případě neoznámení</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Rozsudek ze dne 30. dubna 1996</w:t>
        </w:r>
      </w:hyperlink>
      <w:r>
        <w:t xml:space="preserve">, CIA Security International SA, C-194/94, EU:C:1996:172, body 48 a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Porušení oznamovací povinnosti činí dotčené „technické předpisy“ nepoužitelnými, takže nemohou být uplatňovány vůči jednotlivcům. Jednotlivci se mohou dovolávat článků 8 a 9 směrnice 83/189 před vnitrostátním soudem, který musí odmítnout použití vnitrostátního „technického předpisu“, který nebyl oznámen v souladu s touto směrnicí.</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Takový důsledek porušení povinností vyplývajících ze směrnice 83/189 nezávisí na výslovném ustanovení v tomto smyslu. Jak již bylo uvedeno, je nepochybné, že cílem směrnice je ochrana volného pohybu zboží prostřednictvím preventivní kontroly a že povinnost oznámit návrhy představuje základní prostředek pro uskutečňování této kontroly Společenství. Účinnost kontroly Společenství bude o to větší, bude-li směrnice vykládána v tom smyslu, že porušení oznamovací povinnosti představuje podstatnou procesní vadu, která může vést k nepoužitelnosti dotčených technických předpisů na jednotlivce.“</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Na pátou a šestou otázku je tedy třeba odpovědět tak, že články 8 a 9 směrnice 83/189 musí být vykládány v tom smyslu, že se jich jednotlivci mohou dovolávat před vnitrostátním soudem, který musí odmítnout použití vnitrostátního technického předpisu, který nebyl oznámen v souladu se směrnicí.“</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Rozsudek ze dne 16. června 1998</w:t>
        </w:r>
      </w:hyperlink>
      <w:r>
        <w:t xml:space="preserve">, Lemmens, C-226/97, EU:C:1998:296, body 34 až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Nesplnění povinnosti oznámit technický předpis týkající se dýchacích přístrojů nemá za následek nevymahatelnost důkazů získaných prostřednictvím dýchacího přístroje schváleného v souladu s neoznámenými předpisy vůči osobě pověřené řízením pod vlivem alkoholu.</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V takovém trestním řízení, jako je řízení ve věci v původním řízení, se na obviněného vztahuje právní úprava, která jednak zakazuje a sankcionuje řízení pod vlivem alkoholu a jednak ukládá řidiči povinnost vyhrát dýchání do přístroje určeného k měření obsahu alkoholu, přičemž výsledek této zkoušky představuje důkaz v trestním řízení. Tato nařízení se liší od nařízení, která nebyla oznámena Komisi v souladu se směrnicí, a nejsou vymahatelná vůči jednotlivcům.</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I když nesdělení technických předpisů, které představuje procesní vadu při jejich přijímání, činí tyto předpisy nepoužitelnými v rozsahu, v němž brání používání nebo uvádění na trh výrobku, který s nimi není ve shodě, nemá za následek, že by bylo protiprávní jakékoli použití výrobku, který je v souladu s neoznámenými předpisy.</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Použití výrobku orgány veřejné moci v takovém případě, jako je projednávaný případ, nemůže vytvořit překážku obchodu, které by bylo možné zabránit, pokud by byl dodržen oznamovací postup.</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Na první otázku je tedy třeba odpovědět tak, že směrnice musí být vykládána v tom smyslu, že porušení povinnosti oznámit technický předpis o dýchacích přístrojích uložené jejím článkem 8 nemá za následek nemožnost dovolávat se důkazů získaných prostřednictvím takových přístrojů schválených v souladu s neoznámenými nařízeními vůči osobě pověřené řízením pod vlivem alkoholu.“</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Rozsudek ze dne 6. června 2002</w:t>
        </w:r>
      </w:hyperlink>
      <w:r>
        <w:t xml:space="preserve">, Sapod Audic, C-159/00, EU:C:2002:343, body 52 a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Je na vnitrostátním soudu, aby odmítl použít ustanovení, která jsou nepoužitelná z důvodu neoznámení. Důsledky takové nepoužitelnosti se řídí vnitrostátním právem, pokud není méně příznivé než pro obdobné vnitrostátní žaloby a neznemožňuje výkon unijních práv.</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Je však třeba uvést, že otázka důsledků, které je třeba vyvodit ve věci v původním řízení z nepoužitelnosti čl. 4 druhého pododstavce nařízení č. 92–377, pokud jde o přísnost sankce podle použitelného vnitrostátního práva, jako je neplatnost nebo nevymahatelnost smlouvy uzavřené mezi společnostmi Sapod a Eco-Emballages, je otázkou upravenou vnitrostátním právem, zejména pokud jde o pravidla a zásady smluvního práva, které tuto sankci omezují nebo upravují tak, aby její závažnost byla přiměřená konkrétní zjištěné vadě. Tato pravidla a zásady však nesmějí být méně příznivé než ty, které se týkají obdobných řízení na základě vnitrostátního práva (zásada rovnocennosti), a nemohou být upraveny tak, aby v praxi znemožňovaly výkon práv přiznaných právem Společenství (zásada efektivity) (viz zejména rozsudky Soudního dvora ze dne 14. prosince 1976, Rewe v. Landwirtschaftskammer für das Saarland, 33/76, Recueil, s. 1989, bod 5, a ze dne 13. března 2001, Camorotto a Vignone, C-52/99 a C-53/99, Recueil, s. I-1395, bod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Na druhou část druhé otázky je tedy třeba v rozsahu, v němž se týká směrnice 83/189, odpovědět tak, že v případě, že by takové vnitrostátní ustanovení, jako je čl. 4 druhý pododstavec nařízení č. 92–377, mělo být vykládáno v tom smyslu, že vyžaduje použití ochranné známky nebo etikety, může se jednotlivec dovolávat neoznámení tohoto vnitrostátního ustanovení v souladu s článkem 8 této směrnice. Je tedy na vnitrostátním soudu, aby odmítl použití tohoto ustanovení, přičemž otázka důsledků, které je třeba vyvodit z nepoužitelnosti tohoto vnitrostátního ustanovení, pokud jde o přísnost sankce podle použitelného vnitrostátního práva, jako je neplatnost nebo nevymahatelnost smlouvy, je otázkou upravenou vnitrostátním právem. Tento závěr je však podmíněn tím, že použitelná pravidla vnitrostátního práva nejsou méně příznivá než pravidla upravující podobná řízení na základě vnitrostátního práva a nejsou upravena tak, aby v praxi znemožňovala výkon práv přiznaných právem Společenství.“</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Rozsudek ze dne 8. září 2005</w:t>
        </w:r>
      </w:hyperlink>
      <w:r>
        <w:t xml:space="preserve">, Lidl Italia, C-303/04, EU:C:2005:528, body 22 a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Porušení oznamovací povinnosti představuje podstatnou procesní vadu, která může vést k nepoužitelnosti dotčených „technických předpisů“, a tudíž nevymahatelných vůči jednotlivcům.</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z ustálené judikatury vyplývá, že cílem směrnice 98/34 je chránit prostřednictvím preventivní kontroly volný pohyb zboží, který je jedním ze základů Společenství, a že tato kontrola slouží užitečnému účelu, jelikož technické předpisy spadající do působnosti této směrnice mohou představovat překážky obchodu se zbožím mezi členskými státy, přičemž takové překážky jsou přípustné pouze tehdy, jsou-li nezbytné k uspokojení naléhavých požadavků obecného zájmu (viz v tomto smyslu rozsudky ze dne 11. března 1996, CIA Security International, C-194/94, Recueil, s. I-2201, bod 40, a ze dne 14. května 1998, Lemmens, C-226/97, Recueil, s. I-3711, bod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Vzhledem k tomu, že oznamovací povinnost uvedená zejména v čl. 8 odst. 1 prvním pododstavci směrnice 98/34 je nezbytná pro dosažení této kontroly Společenství, účinnost takové kontroly by byla mnohem vyšší, bude-li tato směrnice vykládána v tom smyslu, že nedodržení oznamovací povinnosti představuje podstatnou procesní vadu, která může vést k nepoužitelnosti dotčených technických předpisů, a tudíž k jejich nevymahatelnosti vůči jednotlivcům (výše uvedené rozsudky CIA Security International, body 44, 48 a 54, jakož i Lemmens, bod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Rozsudek ze dne 31. ledna 2013</w:t>
        </w:r>
      </w:hyperlink>
      <w:r>
        <w:t xml:space="preserve">, Belgische Petroleum Unie a další, C</w:t>
        <w:noBreakHyphen/>
        <w:t xml:space="preserve">26/11, EU:C:2013:44, bod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Porušení oznamovací povinnosti představuje podstatnou procesní vadu, která může vést k nepoužitelnosti dotčených „technických předpisů“, a tudíž nevymahatelných vůči jednotlivcům.</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Vzhledem k tomu, že oznamovací povinnost uvedená v čl. 8 odst. 1 prvním pododstavci směrnice 98/34 je nezbytná pro dosažení této kontroly, účinnost takové kontroly by byla mnohem vyšší, bude-li tato směrnice vykládána v tom smyslu, že nedodržení oznamovací povinnosti představuje podstatnou procesní vadu, která může způsobit nepoužitelnost dotčených technických předpisů, a tudíž nevymahatelnou vůči jednotlivcům (viz výše uvedené rozsudky Lidl Italia, bod 23 a Sandström, bod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Rozsudek ze dne 2. února 2016</w:t>
        </w:r>
      </w:hyperlink>
      <w:r>
        <w:t xml:space="preserve">, Ince, C-336/14, EU:C:2016:72, body 67 a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Neoznámení „technického předpisu“ vede k jeho nepoužitelnosti a nevymahatelnosti vůči jednotlivcům. Tyto soudy se mohou dovolávat článku 8 směrnice 98/34 před vnitrostátními soudy, které jsou tedy povinny odmítnout použití neoznámeného pravidla.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Úvodem je třeba připomenout, že nedodržení oznamovací povinnosti stanovené v čl. 8 odst. 1 směrnice 98/34 zakládá vadu řízení při přijímání dotyčných technických předpisů a vede k nepoužitelnosti těchto předpisů, takže tyto nemohou být uplatňovány vůči jednotlivcům (viz zejména rozsudek Ivansson a další, C-307/13, EU:C:2014:2058 bod 48 a citovaná judikatura).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V tomto ohledu je třeba zdůraznit, jak uvedl generální advokát v bodě 60 svého stanoviska, že i když čl. 8 odst. 1 této směrnice vyžaduje, aby byl Komisi oznámen celý návrh zákona obsahujícího technické předpisy (v tomto smyslu viz rozsudek Komise v. Itálie, C-279/94, EU:C:1997:396, body 40 a 41), nepoužitelnost vyplývající z porušení této povinnosti se nevztahuje na všechna ustanovení takového zákona, ale pouze na technické předpisy v něm obsažené.“</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Usnesení ze dne 21. dubna 2016</w:t>
        </w:r>
      </w:hyperlink>
      <w:r>
        <w:t xml:space="preserve">, Beca Engineering, C-285/15, EU:C:2016:295, bod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Neoznámení „technického předpisu“ jej činí nepoužitelným a nevymahatelným vůči jednotlivcům, kteří se mohou dovolávat článku 8 směrnice 98/34 před vnitrostátními soudy, které jsou v důsledku toho povinny jeho použití odmítnout.</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(Vzhledem k tomu, že objednávka je k dispozici pouze ve francouzštině a italštině, je následující text překladem.)</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Z ustálené judikatury vyplývá, že nedodržení povinnosti okamžitého oznámení technických předpisů členskými státy Komisi, která je stanovena v článku 8 směrnice 98/34, činí dotčené technické předpisy nepoužitelnými, takže nemohou být uplatňovány vůči jednotlivcům, a tito se tak mohou dovolávat článku 8 směrnice 98/34 před vnitrostátním soudem, který musí odmítnout použití vnitrostátního technického předpisu, který nebyl oznámen v souladu s touto směrnicí (v tomto smyslu viz rozsudky ze dne 30. dubna 1996, CIA Security International, 194/94</w:t>
        <w:noBreakHyphen/>
        <w:t xml:space="preserve">, EU:C:1996:172, body 44 a 54; ze dne 26. září 2000, Unilever</w:t>
        <w:noBreakHyphen/>
        <w:t xml:space="preserve">, 443/98, EU:C:2000:496, bod 49; a ze dne 16. července 2015, UNIC a Uni.co.pel,</w:t>
        <w:noBreakHyphen/>
        <w:t xml:space="preserve">95/14, EU:C:2015:492, bod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Rozsudek ze dne 1. února 2017</w:t>
        </w:r>
      </w:hyperlink>
      <w:r>
        <w:t xml:space="preserve">, Município de Palmela,</w:t>
        <w:noBreakHyphen/>
        <w:t xml:space="preserve">C 144/16, EU:C:2017:76, body 36 a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Nepoužitelnost neoznámených technických předpisů se vztahuje pouze na ustanovení, která jsou jako taková kvalifikována, a nikoli na celý text, v němž jsou stanovena.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Kromě toho sankce za nesplnění takové oznamovací povinnosti spočívá v nepoužitelnosti neoznámených technických předpisů (v tomto smyslu viz, pokud jde o směrnici 83/189, rozsudek ze dne 30. dubna 1996, CIA Security International, C-194/94, EU:C:1996:172, bod 54, a pokud jde o směrnici 98/34, rozsudek ze dne 4. února 2016, Ince, C-336/14, EU:C:2016:72, bod 67 a citovaná judikatura).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Pokud jde o rozsah takové sankce, i když čl. 8 odst. 1 směrnice 83/189 a čl. 8 odst. 1 směrnice 98/34 vyžadují, aby byl Komisi oznámen celý návrh zákona obsahujícího technické předpisy, nepoužitelnost vyplývající z porušení této povinnosti se nevztahuje na všechna ustanovení takového zákona, ale pouze na technické předpisy v něm obsažené (v tomto smyslu viz rozsudek ze dne 4. února 2016, Ince, C-336/14, EU:C:2016:72, bod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Rozsudek ze dne 12. září 2019</w:t>
        </w:r>
      </w:hyperlink>
      <w:r>
        <w:t xml:space="preserve">, VG Media, C-299/17, EU:C:2019:716, bod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Nepoužitelnosti neoznámeného „technického předpisu“ se lze dovolávat v rámci řízení mezi jednotlivci.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Pokud je takový předpis, jako je předpis dotčený v původním řízení, zaměřen specificky na služby informační společnosti, musí být podle čl. 8 odst. 1 směrnice 98/34 jeho návrh oznámen předem Komisi. V opačném případě se lze podle ustálené judikatury dovolávat nepoužitelnosti technického předpisu, který nebyl oznámen v souladu s tímto ustanovením, ve sporu mezi jednotlivci (rozsudek ze dne 27. října 2016, James Elliott Construction, C</w:t>
        <w:noBreakHyphen/>
        <w:t xml:space="preserve">613/14, EU:C:2016:821, bod 64 a citovaná judikatura).“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Nepoužitelnost v případě přijetí během stabilizačního období</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Rozsudek ze dne 26. září 2000</w:t>
        </w:r>
      </w:hyperlink>
      <w:r>
        <w:t xml:space="preserve">, Unilever, C-443/98, EU:C:2000:496, body 44 a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Porušení povinnosti odložit přijetí „technického předpisu“ představuje podstatnou procesní vadu a z toho vyplývající nepoužitelnost může být uplatněna v občanskoprávním smluvním soudním řízení.</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I když Soudní dvůr v bodě 48 výše uvedeného rozsudku CIA Security poté, co připomněl, že cílem směrnice 83/189 je ochrana volného pohybu zboží prostřednictvím preventivní kontroly a že oznamovací povinnost je nezbytná pro dosažení takové kontroly Společenství, konstatoval, že účinnost takové kontroly by byla mnohem vyšší, pokud by byla tato směrnice vykládána v tom smyslu, že porušení oznamovací povinnosti představuje podstatnou procesní vadu, která může způsobit nepoužitelnost dotčených technických předpisů na jednotlivce, z úvah uvedených v bodech 40 až 43 tohoto rozsudku vyplývá, že porušení povinností odkladu přijetí stanovených v článku 9 směrnice 83/189 představuje rovněž podstatnou procesní vadu, která může vést k nepoužitelnosti technických předpisů.“</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Z judikatury Soudního dvora tak vyplývá, že nepoužitelnost technického předpisu, který nebyl oznámen v souladu s článkem 8 směrnice 83/189, může být uplatněna v rámci řízení mezi jednotlivci z důvodů uvedených v bodech 40 až 43 tohoto rozsudku. Totéž platí pro nesplnění povinností stanovených v článku 9 této směrnice a v tomto ohledu není třeba zacházet se spory mezi jednotlivci v oblasti nekalé soutěže odlišně, jako ve věci CIA Security International, od sporů mezi jednotlivci týkajících se práv a povinností smluvní povahy, jako je tomu ve věci v původním řízení.“</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Rozsudek ze dne 16. července 2015</w:t>
        </w:r>
      </w:hyperlink>
      <w:r>
        <w:t xml:space="preserve">, UNIC a Uni.co.pel, C-95/14, EU:C:2015:492, body 29 a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„Technický předpis“ nelze použít, pokud nebyl oznámen nebo pokud, i když byl oznámen, byl přijat a proveden před uplynutím odkladné lhůty. Nedodržení této odkladné lhůty představuje podstatnou procesní vadu, která činí dotčený „technický předpis“ nepoužitelným a nevymahatelným vůči jednotlivcům.</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V tomto ohledu je třeba připomenout, že technický předpis nemůže být použit, pokud nebyl sdělen v souladu s čl. 8 odst. 1 směrnice 98/34, nebo pokud byl, byť byl sdělen, schválen a proveden před uplynutím tříměsíčního období odložení přijetí návrhu stanoveného v čl. 9 odst. 1 uvedené směrnice (viz rozsudky CIA Security International, C-194/94, EU:C:1996:172, body 41, 44 a 54, jakož i Unilever, C-443/98, EU:C:2000:496, bod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V důsledku toho ve věci v původním řízení přísluší předkládajícímu soudu, aby ověřil, zda zákon č. 8/2013 vstoupil v platnost, aniž by dodržel odkladnou lhůtu stanovenou v článku 9 směrnice 98/34. V případě kladné odpovědi představuje porušení této lhůty podstatnou procesní vadu, která způsobuje neplatnost dotčeného technického předpisu. Jak uvedla generální advokátka v bodech 44 až 47 svého stanoviska, čl. 3 odst. 2 zákona č. 8/2103 by byl v tomto případě nepoužitelný vůči jednotlivcům.“</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Rozsudek ze dne 21. prosince 2023</w:t>
        </w:r>
      </w:hyperlink>
      <w:r>
        <w:rPr>
          <w:rFonts w:ascii="Times New Roman" w:hAnsi="Times New Roman" w:cs="Times New Roman" w:eastAsia="Times New Roman"/>
          <w:b/>
          <w:i/>
          <w:szCs w:val="20"/>
        </w:rPr>
        <w:t xml:space="preserve">, Papier Mettler Italia, C-86/22, EU:C:2023:1023, body 48 a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Přijetí návrhu „technického předpisu“ šest dní po jeho oznámení je v rozporu se směrnicí.</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Ustanovení, která podmiňují vstup právních předpisů v platnost tím, že Komise nereaguje na tyto právní předpisy (dále jen „podmínky s podmíněným osvobozením od cla“), jsou v rozporu se směrnicí, neboť přijetí takových právních předpisů neumožňuje zohlednit názory jiných členských států a porušuje zásadu právní jistoty.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Zadruhé přijetí vyhlášky dotčené v původním řízení ve lhůtě šesti dnů od jejího oznámení Komisi podle čl. 8 odst. 1 uvedené směrnice porušuje rovněž povinnost stanovenou v jejím čl. 9 odst. 1, podle níž členské státy odloží přijetí „návrhu technického předpisu“ o tři měsíce ode dne, kdy Komise obdržela sdělení uvedené v čl. 8 odst. 1 uvedené směrnice.“</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Dále uvedená vláda tvrdí, že vstup v platnost vyhlášky dotčené v původním řízení byl podle jejího článku 6 podmíněn „úspěšným ukončením“ oznamovacího postupu zahájeného dne 12. března 2013 na základě čl. 8 odst. 1 směrnice 98/34. Tento postup však k takovému výsledku nevedl, jelikož Komise k této vyhlášce nevydala stanovisko. Tento argument je třeba odmítnout, jelikož přijetí a zveřejnění této vyhlášky může mít samo o sobě určité účinky na volný pohyb dotčeného zboží; zadruhé neumožnily zohlednit připomínky a podrobná stanoviska Nizozemského království, Švédského království a Spojeného království Velké Británie a Severního Irska; zatřetí, jak uvedl generální advokát v bodě 52 svého stanoviska, představují legislativní techniku, která je neslučitelná se zásadou právní jistoty.“</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Vyjasnění účinků nepoužitelnosti</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Rozsudek ze dne 11. června 2015</w:t>
        </w:r>
      </w:hyperlink>
      <w:r>
        <w:t xml:space="preserve">, Berlington Hungary a další, C-98/14, EU:C:2015:386, body 108 a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Účelem oznamovací povinnosti a povinnosti zdržet se jednání není přiznat práva jednotlivcům. Jejich porušení členským státem tedy podle unijního práva nepřiznává jednotlivcům právo požadovat od tohoto členského státu náhradu škody, která z toho vyplývá.</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V tomto ohledu z judikatury vyplývá, že i když je cílem směrnice 98/34 zajistit volný pohyb zboží organizováním preventivní kontroly, jejíž účinnost vyžaduje neuplatnění vnitrostátního opatření přijatého v rozporu s články 8 a 9 této směrnice v rámci sporu mezi jednotlivci, tato směrnice nijak nedefinuje věcnou působnost právního pravidla, na jehož základě musí vnitrostátní soud rozhodnout spor, který mu byl předložen. Tato směrnice tak nezakládá práva ani povinnosti jednotlivců (rozsudek Unilever, C-443/98, EU:C:2000:496, bod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Za těchto podmínek je třeba konstatovat, že první z podmínek uvedených v bodě 104 není splněna, takže jednotlivci se nemohou dovolávat porušení článků 8 a 9 této směrnice za účelem založení odpovědnosti dotyčného členského státu na základě unijního práva.“</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Řízení o nesplnění povinnosti</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Rozsudek ze dne 4. června 2009</w:t>
        </w:r>
      </w:hyperlink>
      <w:r>
        <w:t xml:space="preserve">, Komise v. Řecko, C-109/08, EU:C:2009:346, body 14 až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Rozsudek Soudního dvora konstatující nesplnění oznamovací povinnosti musí být neprodleně splněn, aby bylo zajištěno jednotné uplatňování unijního práva. Otázka, zda k takovému porušení došlo na základě článku 228 ES, je posuzována po uplynutí lhůty stanovené v odůvodněném stanovisku. Vzhledem k tomu, že v projednávaném případě Řecko nepřijalo žádná opatření před uplynutím stanovené lhůty, nesplnilo povinnosti, které pro něj vyplývají z čl. 228 odst. 1 ES.</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I když článek 228 ES neupřesňuje lhůtu pro splnění povinností vyplývajících z rozsudku Soudního dvora, kterým se určuje nesplnění povinnosti, z ustálené judikatury vyplývá, že význam okamžitého a jednotného použití práva Společenství vyžaduje, aby řízení o splnění povinností bylo zahájeno okamžitě a ukončeno v co nejkratší lhůtě (viz zejména rozsudek ze dne 11. července 2008, Komise v. Francie, C-121/07, Sb. rozh. s. I</w:t>
        <w:noBreakHyphen/>
        <w:t xml:space="preserve">0000, bod 21 a citovaná</w:t>
        <w:noBreakHyphen/>
        <w:t>judikatura).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Kromě toho je rozhodným datem pro posouzení existence nesplnění povinnosti podle článku 228 ES den uplynutí lhůty stanovené v odůvodněném stanovisku vydaném na základě tohoto ustanovení (viz zejména rozsudek ze dne 18. června 2007,</w:t>
        <w:noBreakHyphen/>
        <w:t xml:space="preserve">Komise v. Německo, C 503/04, Sb. rozh. s. I</w:t>
        <w:noBreakHyphen/>
        <w:t xml:space="preserve">6153, bod 19 a citovaná</w:t>
        <w:noBreakHyphen/>
        <w:t>judikatura).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V projednávané věci je zjevné, že ke dni uplynutí dvouměsíční lhůty stanovené v odůvodněném stanovisku ze dne 29. června 2007 Řecká republika nepřijala žádné z opatření nezbytných k tomu, aby vyhověla výše uvedenému rozsudku</w:t>
        <w:noBreakHyphen/>
        <w:t xml:space="preserve">Komise v. Řecko, jelikož návrh prvního opatření, jehož cílem je vyhovět tomuto rozsudku, byl Komisi oznámen až dne 7. května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Za těchto podmínek je třeba konstatovat, jak sama uznává, že Řecká republika nesplnila povinnosti, které pro ni vyplývají z čl. 228 odst. 1 ES.“</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Srovnání směrnice 2015/1535 a směrnice 83/189/EHS je založeno na původních nezměněných aktech, zatímco srovnání směrnice 98/34/ES je založeno na znění pozměněném směrnicí 98/48/ES ze dne 20. července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Směrnice Evropského parlamentu a Rady (EU) 2015/1535 ze dne 9. září 2015 o postupu při poskytování informací v oblasti technických předpisů a předpisů pro služby informační společnosti (kodifikované znění)</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Směrnice Evropského parlamentu a Rady 98/34/ES ze dne 22. června 1998 o postupu při poskytování informací v oblasti norem a technických předpisů, ve znění směrnice 98/48/ES ze dne 20. července 1998 (včetně předpisů pro služby)</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Směrnice Rady 83/189/EHS ze dne 28. března 1983, kterou se stanoví postup pro poskytování informací v oblasti technických norem a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cs"/>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