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C8E28" w14:textId="77777777" w:rsidR="00C50A56" w:rsidRDefault="00BC30A1">
      <w:pPr>
        <w:pStyle w:val="Title"/>
      </w:pPr>
      <w:r>
        <w:t xml:space="preserve">STATUTEN VAN FINLAND </w:t>
      </w:r>
    </w:p>
    <w:p w14:paraId="151661DC" w14:textId="77777777" w:rsidR="00C50A56" w:rsidRDefault="00BC30A1">
      <w:pPr>
        <w:spacing w:before="178"/>
        <w:ind w:left="530" w:right="363"/>
        <w:jc w:val="center"/>
        <w:rPr>
          <w:sz w:val="20"/>
        </w:rPr>
      </w:pPr>
      <w:r>
        <w:rPr>
          <w:sz w:val="20"/>
        </w:rPr>
        <w:t>Gepubliceerd in Helsinki op 31 december 2018</w:t>
      </w:r>
    </w:p>
    <w:p w14:paraId="16B4F9C9" w14:textId="77777777" w:rsidR="00C50A56" w:rsidRDefault="00BC30A1">
      <w:pPr>
        <w:pStyle w:val="BodyText"/>
        <w:spacing w:before="2"/>
        <w:rPr>
          <w:sz w:val="4"/>
        </w:rPr>
      </w:pPr>
      <w:r>
        <w:rPr>
          <w:noProof/>
        </w:rPr>
        <w:drawing>
          <wp:anchor distT="0" distB="0" distL="0" distR="0" simplePos="0" relativeHeight="251657216" behindDoc="0" locked="0" layoutInCell="1" allowOverlap="1" wp14:anchorId="648AEDE8" wp14:editId="40D5C8CE">
            <wp:simplePos x="0" y="0"/>
            <wp:positionH relativeFrom="page">
              <wp:posOffset>1349502</wp:posOffset>
            </wp:positionH>
            <wp:positionV relativeFrom="paragraph">
              <wp:posOffset>45795</wp:posOffset>
            </wp:positionV>
            <wp:extent cx="4968240" cy="762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4968240" cy="76200"/>
                    </a:xfrm>
                    <a:prstGeom prst="rect">
                      <a:avLst/>
                    </a:prstGeom>
                  </pic:spPr>
                </pic:pic>
              </a:graphicData>
            </a:graphic>
          </wp:anchor>
        </w:drawing>
      </w:r>
    </w:p>
    <w:p w14:paraId="37DF44B9" w14:textId="77777777" w:rsidR="00C50A56" w:rsidRDefault="00C50A56">
      <w:pPr>
        <w:pStyle w:val="BodyText"/>
        <w:rPr>
          <w:sz w:val="24"/>
        </w:rPr>
      </w:pPr>
    </w:p>
    <w:p w14:paraId="0B5C4999" w14:textId="77777777" w:rsidR="00C50A56" w:rsidRDefault="00C50A56">
      <w:pPr>
        <w:pStyle w:val="BodyText"/>
        <w:spacing w:before="1"/>
        <w:rPr>
          <w:sz w:val="34"/>
        </w:rPr>
      </w:pPr>
    </w:p>
    <w:p w14:paraId="6E8024A2" w14:textId="77777777" w:rsidR="00C50A56" w:rsidRDefault="00BC30A1">
      <w:pPr>
        <w:ind w:left="530" w:right="361"/>
        <w:jc w:val="center"/>
        <w:rPr>
          <w:b/>
          <w:sz w:val="28"/>
        </w:rPr>
      </w:pPr>
      <w:r>
        <w:rPr>
          <w:b/>
          <w:sz w:val="28"/>
        </w:rPr>
        <w:t>1307/2018</w:t>
      </w:r>
    </w:p>
    <w:p w14:paraId="450A4194" w14:textId="77777777" w:rsidR="00C50A56" w:rsidRDefault="00BC30A1">
      <w:pPr>
        <w:spacing w:before="239"/>
        <w:ind w:left="530" w:right="359"/>
        <w:jc w:val="center"/>
        <w:rPr>
          <w:b/>
          <w:sz w:val="28"/>
        </w:rPr>
      </w:pPr>
      <w:r>
        <w:rPr>
          <w:b/>
          <w:sz w:val="28"/>
        </w:rPr>
        <w:t>Wet</w:t>
      </w:r>
    </w:p>
    <w:p w14:paraId="3582A5CE" w14:textId="77777777" w:rsidR="00C50A56" w:rsidRDefault="00BC30A1">
      <w:pPr>
        <w:pStyle w:val="Heading1"/>
        <w:spacing w:before="34"/>
      </w:pPr>
      <w:r>
        <w:t>wijziging van de §§ 89 en 91 van de Wegenverkeerswet</w:t>
      </w:r>
    </w:p>
    <w:p w14:paraId="701F9DE9" w14:textId="77777777" w:rsidR="00C50A56" w:rsidRDefault="00C50A56">
      <w:pPr>
        <w:pStyle w:val="BodyText"/>
        <w:spacing w:before="2"/>
        <w:rPr>
          <w:b/>
          <w:sz w:val="23"/>
        </w:rPr>
      </w:pPr>
    </w:p>
    <w:p w14:paraId="07F9D7D4" w14:textId="77777777" w:rsidR="00C50A56" w:rsidRDefault="00BC30A1">
      <w:pPr>
        <w:pStyle w:val="BodyText"/>
        <w:ind w:left="672"/>
      </w:pPr>
      <w:r>
        <w:t>Overeenkomstig de beslissing van het parlement,</w:t>
      </w:r>
    </w:p>
    <w:p w14:paraId="16D98DF3" w14:textId="77777777" w:rsidR="00C50A56" w:rsidRDefault="00BC30A1">
      <w:pPr>
        <w:pStyle w:val="BodyText"/>
        <w:spacing w:before="7" w:line="246" w:lineRule="exact"/>
        <w:ind w:left="672"/>
      </w:pPr>
      <w:r>
        <w:t>§ 89, lid 1, onder 4) en § 91 van de wet inzake wegverkeer (267/1981)</w:t>
      </w:r>
    </w:p>
    <w:p w14:paraId="33276404" w14:textId="77777777" w:rsidR="00C50A56" w:rsidRDefault="00BC30A1">
      <w:pPr>
        <w:pStyle w:val="BodyText"/>
        <w:spacing w:before="4" w:line="228" w:lineRule="auto"/>
        <w:ind w:left="445" w:firstLine="226"/>
      </w:pPr>
      <w:r>
        <w:t xml:space="preserve">zoals gepubliceerd in § 89, lid 1, onder 4) van de wet 1610/2015 en § 91 van de wet 1091/2002, worden als volgt </w:t>
      </w:r>
      <w:r>
        <w:rPr>
          <w:i/>
          <w:iCs/>
        </w:rPr>
        <w:t>gewijzigd</w:t>
      </w:r>
      <w:r>
        <w:t>:</w:t>
      </w:r>
    </w:p>
    <w:p w14:paraId="0934C4E6" w14:textId="77777777" w:rsidR="00C50A56" w:rsidRDefault="00C50A56">
      <w:pPr>
        <w:pStyle w:val="BodyText"/>
        <w:spacing w:before="2"/>
        <w:rPr>
          <w:sz w:val="9"/>
        </w:rPr>
      </w:pPr>
    </w:p>
    <w:p w14:paraId="48725E0E" w14:textId="77777777" w:rsidR="00C50A56" w:rsidRDefault="00BC30A1">
      <w:pPr>
        <w:pStyle w:val="BodyText"/>
        <w:spacing w:before="90"/>
        <w:ind w:left="530" w:right="360"/>
        <w:jc w:val="center"/>
      </w:pPr>
      <w:r>
        <w:t>§ 89</w:t>
      </w:r>
    </w:p>
    <w:p w14:paraId="668F2942" w14:textId="77777777" w:rsidR="00C50A56" w:rsidRDefault="00BC30A1">
      <w:pPr>
        <w:spacing w:before="110"/>
        <w:ind w:left="530" w:right="359"/>
        <w:jc w:val="center"/>
        <w:rPr>
          <w:i/>
        </w:rPr>
      </w:pPr>
      <w:r>
        <w:rPr>
          <w:i/>
        </w:rPr>
        <w:t>Gebruik van valhelmen</w:t>
      </w:r>
    </w:p>
    <w:p w14:paraId="1D2EB194" w14:textId="77777777" w:rsidR="00C50A56" w:rsidRDefault="00BC30A1">
      <w:pPr>
        <w:pStyle w:val="BodyText"/>
        <w:spacing w:before="147" w:line="228" w:lineRule="auto"/>
        <w:ind w:left="445" w:right="17" w:firstLine="226"/>
      </w:pPr>
      <w:r>
        <w:t>De bestuurder en de passagier moeten een valhelm dragen waaraan een typegoedkeuring is toegekend, tenzij dit niet mogelijk is door ziekte, letsel of een andere bijzondere reden, en dit tijdens het rijden met:</w:t>
      </w:r>
    </w:p>
    <w:p w14:paraId="235F441F" w14:textId="77777777" w:rsidR="00C50A56" w:rsidRDefault="00BC30A1">
      <w:pPr>
        <w:spacing w:line="242" w:lineRule="exact"/>
        <w:ind w:left="1143"/>
      </w:pPr>
      <w:r>
        <w:t>— — — — — — — — — — — — — — —  — —  —  — —</w:t>
      </w:r>
    </w:p>
    <w:p w14:paraId="18C52C6F" w14:textId="77777777" w:rsidR="00C50A56" w:rsidRDefault="00BC30A1">
      <w:pPr>
        <w:pStyle w:val="BodyText"/>
        <w:spacing w:before="7" w:line="246" w:lineRule="exact"/>
        <w:ind w:left="672"/>
      </w:pPr>
      <w:r>
        <w:t>4) sneeuwmobielen en zware sneeuwmobielen;</w:t>
      </w:r>
    </w:p>
    <w:p w14:paraId="5F4669A0" w14:textId="77777777" w:rsidR="00C50A56" w:rsidRDefault="00BC30A1">
      <w:pPr>
        <w:spacing w:line="246" w:lineRule="exact"/>
        <w:ind w:left="1143"/>
      </w:pPr>
      <w:r>
        <w:t>— — — — — — — — — — — — — — —  — —  —  — —</w:t>
      </w:r>
    </w:p>
    <w:p w14:paraId="2B4F0E05" w14:textId="77777777" w:rsidR="00C50A56" w:rsidRDefault="00BC30A1">
      <w:pPr>
        <w:pStyle w:val="BodyText"/>
        <w:spacing w:before="213"/>
        <w:ind w:left="530" w:right="360"/>
        <w:jc w:val="center"/>
      </w:pPr>
      <w:r>
        <w:t>§ 91</w:t>
      </w:r>
    </w:p>
    <w:p w14:paraId="12D9A911" w14:textId="77777777" w:rsidR="00C50A56" w:rsidRDefault="00BC30A1">
      <w:pPr>
        <w:spacing w:before="111"/>
        <w:ind w:left="530" w:right="362"/>
        <w:jc w:val="center"/>
        <w:rPr>
          <w:i/>
        </w:rPr>
      </w:pPr>
      <w:r>
        <w:rPr>
          <w:i/>
        </w:rPr>
        <w:t>Gebruik van terreinvoertuigen</w:t>
      </w:r>
    </w:p>
    <w:p w14:paraId="43379D15" w14:textId="77777777" w:rsidR="00C50A56" w:rsidRDefault="00BC30A1">
      <w:pPr>
        <w:pStyle w:val="BodyText"/>
        <w:spacing w:before="147" w:line="228" w:lineRule="auto"/>
        <w:ind w:left="445" w:right="272" w:firstLine="226"/>
        <w:jc w:val="both"/>
      </w:pPr>
      <w:r>
        <w:t>Terreinvoertuigen mogen niet op de weg worden gebruikt. De wet inzake vervoer op onverhard terrein (1710/1995) legt het gebruik van sneeuwmobielen en zware sneeuwmobielen op sneeuwmobielwegen vast. Een regeringsdecreet kan het kleinschalige gebruik vastleggen van motorscooters en andere terreinvoertuigen die zijn uitgerust met wielen in andere gebieden dan op sneeuwmobielwegen.</w:t>
      </w:r>
    </w:p>
    <w:p w14:paraId="47921967" w14:textId="77777777" w:rsidR="00C50A56" w:rsidRDefault="00BC30A1">
      <w:pPr>
        <w:spacing w:line="241" w:lineRule="exact"/>
        <w:ind w:left="530" w:right="359"/>
        <w:jc w:val="center"/>
      </w:pPr>
      <w:r>
        <w:t>—————</w:t>
      </w:r>
    </w:p>
    <w:p w14:paraId="4AE5580A" w14:textId="77777777" w:rsidR="00C50A56" w:rsidRDefault="00BC30A1">
      <w:pPr>
        <w:pStyle w:val="BodyText"/>
        <w:spacing w:before="6"/>
        <w:ind w:left="530" w:right="2992"/>
        <w:jc w:val="center"/>
      </w:pPr>
      <w:r>
        <w:t>Deze wet treedt in werking op 31 december 2018.</w:t>
      </w:r>
    </w:p>
    <w:p w14:paraId="5B6F4662" w14:textId="77777777" w:rsidR="00C50A56" w:rsidRDefault="00BC30A1">
      <w:pPr>
        <w:pStyle w:val="BodyText"/>
        <w:spacing w:before="193"/>
        <w:ind w:left="445"/>
      </w:pPr>
      <w:r>
        <w:t>Helsinki, vrijdag 28 december 2018</w:t>
      </w:r>
    </w:p>
    <w:p w14:paraId="56EBF3C5" w14:textId="77777777" w:rsidR="00C50A56" w:rsidRDefault="00C50A56">
      <w:pPr>
        <w:pStyle w:val="BodyText"/>
        <w:spacing w:before="7"/>
        <w:rPr>
          <w:sz w:val="34"/>
        </w:rPr>
      </w:pPr>
    </w:p>
    <w:p w14:paraId="34F3A210" w14:textId="77777777" w:rsidR="00C50A56" w:rsidRDefault="00BC30A1" w:rsidP="00864B2E">
      <w:pPr>
        <w:pStyle w:val="Heading1"/>
        <w:spacing w:line="369" w:lineRule="auto"/>
        <w:ind w:left="3295" w:right="2880"/>
      </w:pPr>
      <w:r>
        <w:t>President van de Republiek Sauli Niinistö</w:t>
      </w:r>
    </w:p>
    <w:p w14:paraId="019CFCF5" w14:textId="77777777" w:rsidR="00C50A56" w:rsidRDefault="00C50A56">
      <w:pPr>
        <w:pStyle w:val="BodyText"/>
        <w:rPr>
          <w:b/>
          <w:sz w:val="24"/>
        </w:rPr>
      </w:pPr>
    </w:p>
    <w:p w14:paraId="7EA0FEDE" w14:textId="77777777" w:rsidR="00C50A56" w:rsidRDefault="00C50A56">
      <w:pPr>
        <w:pStyle w:val="BodyText"/>
        <w:spacing w:before="6"/>
        <w:rPr>
          <w:b/>
          <w:sz w:val="32"/>
        </w:rPr>
      </w:pPr>
    </w:p>
    <w:p w14:paraId="015E8FE0" w14:textId="77777777" w:rsidR="00C50A56" w:rsidRDefault="00BC30A1" w:rsidP="00864B2E">
      <w:pPr>
        <w:pStyle w:val="BodyText"/>
        <w:ind w:left="3828"/>
      </w:pPr>
      <w:r>
        <w:t>Minister van Verkeer en Communicatie Anne Berner</w:t>
      </w:r>
    </w:p>
    <w:p w14:paraId="23C241BE" w14:textId="77777777" w:rsidR="00C50A56" w:rsidRDefault="00C50A56">
      <w:pPr>
        <w:pStyle w:val="BodyText"/>
        <w:rPr>
          <w:sz w:val="20"/>
        </w:rPr>
      </w:pPr>
    </w:p>
    <w:p w14:paraId="6E60E6CB" w14:textId="77777777" w:rsidR="00C50A56" w:rsidRDefault="00C50A56">
      <w:pPr>
        <w:pStyle w:val="BodyText"/>
        <w:spacing w:before="6"/>
        <w:rPr>
          <w:sz w:val="16"/>
        </w:rPr>
      </w:pPr>
    </w:p>
    <w:p w14:paraId="3A5B39E2" w14:textId="31FFB8C9" w:rsidR="00C50A56" w:rsidRDefault="00BC30A1" w:rsidP="00375E12">
      <w:pPr>
        <w:spacing w:before="113" w:line="208" w:lineRule="auto"/>
        <w:ind w:left="445" w:right="7060"/>
        <w:rPr>
          <w:sz w:val="20"/>
        </w:rPr>
      </w:pPr>
      <w:r>
        <w:rPr>
          <w:sz w:val="17"/>
        </w:rPr>
        <w:t>HE 185/2018, LiVM 31/2018, EV 172/2018</w:t>
      </w:r>
    </w:p>
    <w:p w14:paraId="58C87867" w14:textId="77777777" w:rsidR="00C50A56" w:rsidRDefault="00864B2E">
      <w:pPr>
        <w:pStyle w:val="BodyText"/>
        <w:rPr>
          <w:sz w:val="16"/>
        </w:rPr>
      </w:pPr>
      <w:r>
        <w:pict w14:anchorId="64855369">
          <v:rect id="docshape1" o:spid="_x0000_s1026" style="position:absolute;margin-left:106.25pt;margin-top:10.4pt;width:391.2pt;height:.4pt;z-index:-251658240;mso-wrap-distance-left:0;mso-wrap-distance-right:0;mso-position-horizontal-relative:page" fillcolor="black" stroked="f">
            <w10:wrap type="topAndBottom" anchorx="page"/>
          </v:rect>
        </w:pict>
      </w:r>
    </w:p>
    <w:p w14:paraId="1DBFF770" w14:textId="77777777" w:rsidR="00C50A56" w:rsidRDefault="00BC30A1">
      <w:pPr>
        <w:tabs>
          <w:tab w:val="left" w:pos="7247"/>
        </w:tabs>
        <w:spacing w:before="37"/>
        <w:ind w:left="445"/>
        <w:rPr>
          <w:sz w:val="13"/>
        </w:rPr>
      </w:pPr>
      <w:r>
        <w:rPr>
          <w:color w:val="231F20"/>
          <w:sz w:val="13"/>
        </w:rPr>
        <w:t>UITGEVER: MINISTERIE VAN JUSTITIE ISSN 1455-8904</w:t>
      </w:r>
    </w:p>
    <w:p w14:paraId="68844C5E" w14:textId="77777777" w:rsidR="00C50A56" w:rsidRDefault="00C50A56">
      <w:pPr>
        <w:pStyle w:val="BodyText"/>
        <w:spacing w:before="10"/>
        <w:rPr>
          <w:sz w:val="20"/>
        </w:rPr>
      </w:pPr>
    </w:p>
    <w:p w14:paraId="36729355" w14:textId="77777777" w:rsidR="00C50A56" w:rsidRDefault="00BC30A1">
      <w:pPr>
        <w:pStyle w:val="BodyText"/>
        <w:ind w:left="169"/>
        <w:jc w:val="center"/>
      </w:pPr>
      <w:r>
        <w:t>1</w:t>
      </w:r>
    </w:p>
    <w:sectPr w:rsidR="00C50A56">
      <w:type w:val="continuous"/>
      <w:pgSz w:w="11910" w:h="16840"/>
      <w:pgMar w:top="126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50A56"/>
    <w:rsid w:val="00375E12"/>
    <w:rsid w:val="00864B2E"/>
    <w:rsid w:val="00BC30A1"/>
    <w:rsid w:val="00C50A5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22D318"/>
  <w15:docId w15:val="{CA4F54E6-E41C-4843-AD5E-2568BFCD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30" w:right="36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530" w:right="424"/>
      <w:jc w:val="center"/>
    </w:pPr>
    <w:rPr>
      <w:rFonts w:ascii="Times" w:eastAsia="Times" w:hAnsi="Times" w:cs="Times"/>
      <w:b/>
      <w:bCs/>
      <w:sz w:val="70"/>
      <w:szCs w:val="7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Säädöskokoelma</dc:subject>
  <cp:keywords>class='Internal'</cp:keywords>
  <cp:lastModifiedBy>Liana Brili</cp:lastModifiedBy>
  <cp:revision>5</cp:revision>
  <dcterms:created xsi:type="dcterms:W3CDTF">2021-07-07T06:16:00Z</dcterms:created>
  <dcterms:modified xsi:type="dcterms:W3CDTF">2021-11-04T11:24:00Z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2018-12-28T00:00:00Z</vt:filetime>
  </property>
  <property fmtid="{D5CDD505-2E9C-101B-9397-08002B2CF9AE}" pid="3" name="LastSaved">
    <vt:filetime>2021-07-07T00:00:00Z</vt:filetime>
  </property>
</Properties>
</file>