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PREDPISI FINSKE</w:t>
      </w:r>
      <w:r>
        <w:t xml:space="preserve">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 xml:space="preserve">Objavljeno v Helsinkih dne 31. decembra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 xml:space="preserve"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 xml:space="preserve">Zakon</w:t>
      </w:r>
    </w:p>
    <w:p w14:paraId="3582A5CE" w14:textId="77777777" w:rsidR="00C50A56" w:rsidRDefault="00BC30A1">
      <w:pPr>
        <w:pStyle w:val="Heading1"/>
        <w:spacing w:before="34"/>
      </w:pPr>
      <w:r>
        <w:t xml:space="preserve">o spremembi oddelkov 89 in 91 zakona o cestnem prometu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 xml:space="preserve">Skladno s sklepom parlamenta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 xml:space="preserve">o spremembi oddelkov 89(1)(4) in 91 Zakona o cestnem prometu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se oddelek 89(1)(4) Zakona 1610/2015 in oddelek 91 Zakona 1091/2002 </w:t>
      </w:r>
      <w:r>
        <w:rPr>
          <w:i/>
        </w:rPr>
        <w:t xml:space="preserve">spremenita</w:t>
      </w:r>
      <w:r>
        <w:t xml:space="preserve">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 xml:space="preserve">Oddelek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 xml:space="preserve">Uporaba varnostnih čelad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 xml:space="preserve">Voznik in potniki morajo nositi tipsko odobreno zaščitno čelado, razen če jim to preprečuje njihova bolezen ali poškodba ali drug poseben razlog, med vožnjo:</w:t>
      </w:r>
    </w:p>
    <w:p w14:paraId="235F441F" w14:textId="77777777" w:rsidR="00C50A56" w:rsidRDefault="00BC30A1">
      <w:pPr>
        <w:spacing w:line="242" w:lineRule="exact"/>
        <w:ind w:left="1143"/>
      </w:pPr>
      <w:r>
        <w:t xml:space="preserve"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 xml:space="preserve">4) s snežnimi sanmi in težkimi snežnimi sanmi;</w:t>
      </w:r>
    </w:p>
    <w:p w14:paraId="5F4669A0" w14:textId="77777777" w:rsidR="00C50A56" w:rsidRDefault="00BC30A1">
      <w:pPr>
        <w:spacing w:line="246" w:lineRule="exact"/>
        <w:ind w:left="1143"/>
      </w:pPr>
      <w:r>
        <w:t xml:space="preserve"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 xml:space="preserve">Oddelek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 xml:space="preserve">Uporaba terenskih vozil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 xml:space="preserve">Terenskih vozil se ne sme uporabljati na cestah.</w:t>
      </w:r>
      <w:r>
        <w:t xml:space="preserve"> </w:t>
      </w:r>
      <w:r>
        <w:t xml:space="preserve">Zakon o terenskem prometu (1710/1995) določa uporabo snežnih sani in težkih snežnih sani na poteh za snežne sani.</w:t>
      </w:r>
      <w:r>
        <w:t xml:space="preserve"> </w:t>
      </w:r>
      <w:r>
        <w:t xml:space="preserve">Z vladno uredbo se lahko opredeli manjša uporaba motornih sani in drugih terenskih vozil, opremljenih s kolesi, na območjih izven poti za snežne sani.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 xml:space="preserve"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 xml:space="preserve">Ta zakon začne veljati 31. Decembra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 xml:space="preserve">Helsinki, 28. december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>
      <w:pPr>
        <w:pStyle w:val="Heading1"/>
        <w:spacing w:line="369" w:lineRule="auto"/>
        <w:ind w:left="3295" w:right="3125"/>
      </w:pPr>
      <w:r>
        <w:t xml:space="preserve">Predsednik republike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 xml:space="preserve">Ministrica za promet in zveze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 xml:space="preserve">He 185/2018, LiVM 31/2018, EV 172/2018</w:t>
      </w:r>
    </w:p>
    <w:p w14:paraId="58C87867" w14:textId="77777777" w:rsidR="00C50A56" w:rsidRDefault="00375E1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 xml:space="preserve">IZDAJATELJ:</w:t>
      </w:r>
      <w:r>
        <w:rPr>
          <w:color w:val="231F20"/>
          <w:sz w:val="13"/>
        </w:rPr>
        <w:t xml:space="preserve"> </w:t>
      </w:r>
      <w:r>
        <w:rPr>
          <w:color w:val="231F20"/>
          <w:sz w:val="13"/>
        </w:rPr>
        <w:t xml:space="preserve">MINISTRSTVO ZA PRAVOSODJE</w:t>
      </w:r>
      <w:r>
        <w:rPr>
          <w:color w:val="231F20"/>
          <w:sz w:val="13"/>
        </w:rPr>
        <w:tab/>
      </w:r>
      <w:r>
        <w:rPr>
          <w:color w:val="231F20"/>
          <w:sz w:val="13"/>
        </w:rPr>
        <w:t xml:space="preserve"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 xml:space="preserve"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Dimitris Dimitriadis</cp:lastModifiedBy>
  <cp:revision>3</cp:revision>
  <dcterms:created xsi:type="dcterms:W3CDTF">2021-07-07T06:16:00Z</dcterms:created>
  <dcterms:modified xsi:type="dcterms:W3CDTF">2021-09-08T08:07:00Z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