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66E" w:rsidRPr="00C3280C" w:rsidRDefault="00B0766E" w:rsidP="00B0766E">
      <w:pPr>
        <w:jc w:val="center"/>
        <w:textAlignment w:val="baseline"/>
        <w:rPr>
          <w:rFonts w:ascii="Courier New" w:hAnsi="Courier New"/>
          <w:sz w:val="20"/>
          <w:szCs w:val="20"/>
        </w:rPr>
      </w:pPr>
      <w:r w:rsidRPr="00C3280C">
        <w:rPr>
          <w:rFonts w:ascii="Courier New" w:hAnsi="Courier New"/>
          <w:sz w:val="20"/>
          <w:szCs w:val="20"/>
        </w:rPr>
        <w:t>1. ------IND- 2018 0236 P-- DE- ------ 20180615 --- --- PROJET</w:t>
      </w:r>
    </w:p>
    <w:p w:rsidR="009B163D" w:rsidRPr="00D655FE" w:rsidRDefault="009B163D" w:rsidP="009B163D">
      <w:pPr>
        <w:jc w:val="center"/>
      </w:pPr>
      <w:r>
        <w:t>WIRTSCHAFTSMINISTERIUM</w:t>
      </w:r>
    </w:p>
    <w:p w:rsidR="009B163D" w:rsidRPr="00D655FE" w:rsidRDefault="009B163D" w:rsidP="009B163D">
      <w:pPr>
        <w:jc w:val="center"/>
      </w:pPr>
      <w:r>
        <w:t>Gesetzesdekret Nr. ……/2018</w:t>
      </w:r>
    </w:p>
    <w:p w:rsidR="009B163D" w:rsidRPr="00D655FE" w:rsidRDefault="009B163D" w:rsidP="009B163D">
      <w:pPr>
        <w:jc w:val="both"/>
      </w:pPr>
      <w:r>
        <w:t>Mit diesem Gesetzesdekret wird die Verordnung über den Einbau und den Betrieb von einfachen Druckbehältern und Druckgeräten verabschiedet, mit der eine der Maßnahmen des SIMPLEX+-Programms zur Vereinfachung der Zulassungsverfahren für diese Geräte umgesetzt wird, indem die entsprechenden Verfahren über eine über die Unternehmerplattform „</w:t>
      </w:r>
      <w:proofErr w:type="spellStart"/>
      <w:r>
        <w:t>Balcão</w:t>
      </w:r>
      <w:proofErr w:type="spellEnd"/>
      <w:r>
        <w:t xml:space="preserve"> do </w:t>
      </w:r>
      <w:proofErr w:type="spellStart"/>
      <w:r>
        <w:t>Empreendedor</w:t>
      </w:r>
      <w:proofErr w:type="spellEnd"/>
      <w:r>
        <w:t xml:space="preserve">“ zugängliche elektronische Plattform papierlos abgewickelt werden. </w:t>
      </w:r>
    </w:p>
    <w:p w:rsidR="009B163D" w:rsidRPr="00D655FE" w:rsidRDefault="009B163D" w:rsidP="009B163D">
      <w:pPr>
        <w:jc w:val="both"/>
      </w:pPr>
      <w:r>
        <w:t>Der Anwendungsbereich der verabschiedeten Verordnung, die diesem Gesetzesdekret als Anhang beigefügt ist, schließt einfache Druckbehälter für Luft oder Stickstoff und Druckgeräte sowie Baugruppen mit einem maximal zulässigen Druck von über 0,5 bar ein, für die die Vorschriften für die Bereitstellung auf dem Markt mit dem Gesetzesdekret Nr. 37/2017 vom 29. März zur Umsetzung der Richtlinie 2014/29/EU des Europäischen Parlaments und des Rates vom 26. Februar 2014 in innerstaatliches Recht bzw. dem Gesetzesdekret Nr. 111-D/2017 vom 31. August zur Umsetzung der Richtlinie 2014/68/EU des Europäischen Parlaments und des Rates vom 15. Mai 2014 in innerstaatliches Recht umgesetzt wurden.</w:t>
      </w:r>
    </w:p>
    <w:p w:rsidR="009B163D" w:rsidRPr="00D655FE" w:rsidRDefault="009B163D" w:rsidP="009B163D">
      <w:pPr>
        <w:jc w:val="both"/>
      </w:pPr>
      <w:r>
        <w:t>Die hier verabschiedete rechtliche Regelung sieht eine Reihe von Vereinfachungsmaßnahmen vor, die die Zulassungsverfahren für diese Geräte an die Bestimmungen der oben genannten Regelungen anpassen, und soll die effizientere Verwaltung und die schnellere Abwicklung der Zulassungsverfahren gewährleisten, die in die Zuständigkeit des Portugiesischen Instituts für Qualitätssicherung (</w:t>
      </w:r>
      <w:proofErr w:type="spellStart"/>
      <w:r>
        <w:t>Instituto</w:t>
      </w:r>
      <w:proofErr w:type="spellEnd"/>
      <w:r>
        <w:t xml:space="preserve"> </w:t>
      </w:r>
      <w:proofErr w:type="spellStart"/>
      <w:r>
        <w:t>Português</w:t>
      </w:r>
      <w:proofErr w:type="spellEnd"/>
      <w:r>
        <w:t xml:space="preserve"> da </w:t>
      </w:r>
      <w:proofErr w:type="spellStart"/>
      <w:r>
        <w:t>Qualidade</w:t>
      </w:r>
      <w:proofErr w:type="spellEnd"/>
      <w:r>
        <w:t>, I.P. (IPQ, I.P.)) fallen, um so die entsprechenden Kosten für die Unternehmen zu senken.</w:t>
      </w:r>
    </w:p>
    <w:p w:rsidR="009B163D" w:rsidRPr="00D655FE" w:rsidRDefault="009B163D" w:rsidP="009B163D">
      <w:pPr>
        <w:jc w:val="both"/>
      </w:pPr>
      <w:r>
        <w:t xml:space="preserve">Mit der Veröffentlichung der neuen Verordnung wird das Gesetzesdekret Nr. 90/2010 vom 22. Juli aufgehoben, während dessen fast achtjähriger Anwendung eine Reihe von Aspekten bestimmt werden konnten, insbesondere die Pflicht zur Durchführung von Druckversuchen an Neugeräten, die die Europäische Kommission angesichts der Schwierigkeiten bei Auslegung und Anwendung in der Praxis zu Einwänden veranlasst hat, die für die neue Verordnung entsprechend mit der Bestimmung berücksichtigt wurden, dass Druckversuche bei der Herstellung für die Inbetriebnahme ausreichend sind, sofern diese weniger als zwei Jahre zurückliegen, da diese Frist unbeschadet sonstiger anwendbarer ergänzender Bestimmungen als mit der üblichen gewerblichen Garantie vereinbar betrachtet wird. </w:t>
      </w:r>
    </w:p>
    <w:p w:rsidR="009B163D" w:rsidRPr="00D655FE" w:rsidRDefault="009B163D" w:rsidP="009B163D">
      <w:pPr>
        <w:jc w:val="both"/>
      </w:pPr>
      <w:r>
        <w:t xml:space="preserve">Um das Zulassungsverfahren zu beschleunigen und die entsprechenden Kosten zu senken, sieht die neue Verordnung insbesondere den Wegfall der eigenverantwortlichen Anmeldung, die Betriebsanmeldung für einfache Druckbehälter, die Verkürzung der Frist für Entscheidung und Ausstellung von Erklärungen und Bescheinigungen durch das IPQ, I.P. von 45 auf 30 Tage, die Verlängerung der allgemeinen Gültigkeitsdauer der Bescheinigungen von 5 auf 6 Jahre unbeschadet der ergänzenden technischen Anweisungen (ITC), die Einführung der Begutachtung von Anlagenentwürfen durch eine Inspektionsstelle, die Befreiung von der Vorlage des Anlagenentwurfs für Behälter für Flüssiggas (LPG) angesichts der Zuständigkeit anderer Stellen für diesen Bereich und die Ausweitung des Konzepts der kleinen Reparatur auf alle einfachen Druckbehälter und Druckgeräte vor. Für Zwischeninspektionen ist die papierlose Abwicklung vorgesehen. </w:t>
      </w:r>
    </w:p>
    <w:p w:rsidR="009B163D" w:rsidRPr="00D655FE" w:rsidRDefault="009B163D" w:rsidP="009B163D">
      <w:pPr>
        <w:jc w:val="both"/>
      </w:pPr>
      <w:r>
        <w:lastRenderedPageBreak/>
        <w:t>Um schließlich das Zulassungsverfahren zu beschleunigen, entfällt die Pflicht zur Meldung geplanter Inspektionen durch die Inspektionsstellen an das IPQ, I.P.</w:t>
      </w:r>
    </w:p>
    <w:p w:rsidR="009B163D" w:rsidRPr="00D655FE" w:rsidRDefault="009B163D" w:rsidP="009B163D">
      <w:pPr>
        <w:jc w:val="both"/>
      </w:pPr>
      <w:r>
        <w:t xml:space="preserve">Dieses Gesetzesdekret wurde der Europäischen Kommission in der Entwurfsphase nach den Bestimmungen der Richtlinie (EU) 2015/1535 des Europäischen Parlaments und des Rates vom 9. September 2015 über ein Informationsverfahren auf dem Gebiet der technischen Vorschriften und der Vorschriften für die Dienste der Informationsgesellschaft </w:t>
      </w:r>
      <w:proofErr w:type="spellStart"/>
      <w:r>
        <w:t>notifiziert</w:t>
      </w:r>
      <w:proofErr w:type="spellEnd"/>
      <w:r>
        <w:t>.</w:t>
      </w:r>
    </w:p>
    <w:p w:rsidR="009B163D" w:rsidRPr="00D655FE" w:rsidRDefault="009B163D" w:rsidP="009B163D">
      <w:pPr>
        <w:jc w:val="both"/>
      </w:pPr>
      <w:r>
        <w:t>Dementsprechend:</w:t>
      </w:r>
    </w:p>
    <w:p w:rsidR="009B163D" w:rsidRPr="00D655FE" w:rsidRDefault="009B163D" w:rsidP="009B163D">
      <w:pPr>
        <w:jc w:val="both"/>
      </w:pPr>
      <w:r>
        <w:t>beschließt die Regierung nach Artikel 198 Absatz 1 Buchstabe a der Verfassung Folgendes:</w:t>
      </w:r>
    </w:p>
    <w:p w:rsidR="009B163D" w:rsidRPr="00D655FE" w:rsidRDefault="009B163D" w:rsidP="009B163D">
      <w:pPr>
        <w:spacing w:after="0" w:line="240" w:lineRule="auto"/>
        <w:jc w:val="center"/>
      </w:pPr>
    </w:p>
    <w:p w:rsidR="009B163D" w:rsidRPr="00D655FE" w:rsidRDefault="009B163D" w:rsidP="00481368">
      <w:pPr>
        <w:keepNext/>
        <w:spacing w:after="0" w:line="240" w:lineRule="auto"/>
        <w:jc w:val="center"/>
      </w:pPr>
      <w:r>
        <w:t>Artikel 1</w:t>
      </w:r>
    </w:p>
    <w:p w:rsidR="009B163D" w:rsidRPr="00D655FE" w:rsidRDefault="009B163D" w:rsidP="00481368">
      <w:pPr>
        <w:keepNext/>
        <w:spacing w:after="0" w:line="240" w:lineRule="auto"/>
        <w:jc w:val="center"/>
      </w:pPr>
      <w:r>
        <w:t>Gegenstand</w:t>
      </w:r>
    </w:p>
    <w:p w:rsidR="009B163D" w:rsidRPr="00D655FE" w:rsidRDefault="009B163D" w:rsidP="009B163D">
      <w:pPr>
        <w:spacing w:after="0" w:line="240" w:lineRule="auto"/>
        <w:jc w:val="both"/>
      </w:pPr>
    </w:p>
    <w:p w:rsidR="009B163D" w:rsidRPr="00D655FE" w:rsidRDefault="009B163D" w:rsidP="009B163D">
      <w:pPr>
        <w:spacing w:after="0" w:line="240" w:lineRule="auto"/>
        <w:jc w:val="both"/>
      </w:pPr>
      <w:r>
        <w:t>Die diesem Gesetzesdekret als Anhang beigefügte Verordnung über den Einbau und den Betrieb von einfachen Druckbehältern und Druckgeräten wird verabschiedet.</w:t>
      </w:r>
    </w:p>
    <w:p w:rsidR="009B163D" w:rsidRPr="00D655FE" w:rsidRDefault="009B163D" w:rsidP="009B163D">
      <w:pPr>
        <w:spacing w:after="0" w:line="240" w:lineRule="auto"/>
        <w:jc w:val="center"/>
      </w:pPr>
    </w:p>
    <w:p w:rsidR="009B163D" w:rsidRPr="00D655FE" w:rsidRDefault="009B163D" w:rsidP="009B163D">
      <w:pPr>
        <w:spacing w:after="0" w:line="240" w:lineRule="auto"/>
        <w:jc w:val="center"/>
      </w:pPr>
    </w:p>
    <w:p w:rsidR="009B163D" w:rsidRPr="00D655FE" w:rsidRDefault="00547B14" w:rsidP="00481368">
      <w:pPr>
        <w:keepNext/>
        <w:spacing w:after="0" w:line="240" w:lineRule="auto"/>
        <w:jc w:val="center"/>
      </w:pPr>
      <w:r>
        <w:t>Artikel 2</w:t>
      </w:r>
    </w:p>
    <w:p w:rsidR="009B163D" w:rsidRPr="00D655FE" w:rsidRDefault="009B163D" w:rsidP="00481368">
      <w:pPr>
        <w:keepNext/>
        <w:spacing w:after="0" w:line="240" w:lineRule="auto"/>
        <w:jc w:val="center"/>
      </w:pPr>
      <w:r>
        <w:t xml:space="preserve">Aufhebungsbestimmung </w:t>
      </w:r>
    </w:p>
    <w:p w:rsidR="009B163D" w:rsidRPr="00D655FE" w:rsidRDefault="009B163D" w:rsidP="009B163D">
      <w:pPr>
        <w:spacing w:after="0" w:line="240" w:lineRule="auto"/>
        <w:jc w:val="both"/>
      </w:pPr>
    </w:p>
    <w:p w:rsidR="009B163D" w:rsidRPr="00D655FE" w:rsidRDefault="009B163D" w:rsidP="009B163D">
      <w:pPr>
        <w:spacing w:after="0" w:line="240" w:lineRule="auto"/>
        <w:jc w:val="both"/>
      </w:pPr>
      <w:r>
        <w:t>Das Gesetzesdekret Nr. 90/2010 vom 22. Juli wird aufgehoben.</w:t>
      </w:r>
    </w:p>
    <w:p w:rsidR="009B163D" w:rsidRPr="00D655FE" w:rsidRDefault="009B163D" w:rsidP="009B163D">
      <w:pPr>
        <w:spacing w:after="0" w:line="240" w:lineRule="auto"/>
        <w:jc w:val="center"/>
      </w:pPr>
    </w:p>
    <w:p w:rsidR="009B163D" w:rsidRPr="00D655FE" w:rsidRDefault="009B163D" w:rsidP="009B163D">
      <w:pPr>
        <w:spacing w:after="0" w:line="240" w:lineRule="auto"/>
        <w:jc w:val="center"/>
      </w:pPr>
    </w:p>
    <w:p w:rsidR="009B163D" w:rsidRPr="00D655FE" w:rsidRDefault="00547B14" w:rsidP="00481368">
      <w:pPr>
        <w:keepNext/>
        <w:spacing w:after="0" w:line="240" w:lineRule="auto"/>
        <w:jc w:val="center"/>
      </w:pPr>
      <w:r>
        <w:t>Artikel 3</w:t>
      </w:r>
    </w:p>
    <w:p w:rsidR="009440B9" w:rsidRPr="00D655FE" w:rsidRDefault="009B163D" w:rsidP="00481368">
      <w:pPr>
        <w:keepNext/>
        <w:spacing w:after="0" w:line="240" w:lineRule="auto"/>
        <w:jc w:val="center"/>
      </w:pPr>
      <w:r>
        <w:t>Übergangsbestimmung</w:t>
      </w:r>
    </w:p>
    <w:p w:rsidR="009B163D" w:rsidRPr="00D655FE" w:rsidRDefault="009B163D" w:rsidP="009B163D">
      <w:pPr>
        <w:spacing w:after="0" w:line="240" w:lineRule="auto"/>
        <w:jc w:val="center"/>
      </w:pPr>
    </w:p>
    <w:p w:rsidR="009B163D" w:rsidRPr="00D655FE" w:rsidRDefault="009B163D" w:rsidP="009B163D">
      <w:pPr>
        <w:spacing w:after="0" w:line="240" w:lineRule="auto"/>
      </w:pPr>
      <w:r>
        <w:t>Die durch die folgenden Rechtsvorschriften verabschiedeten ergänzenden technischen Anweisungen (ITC) bleiben bis zu ihrer Ersetzung in Kraft:</w:t>
      </w:r>
    </w:p>
    <w:p w:rsidR="009B163D" w:rsidRPr="00D655FE" w:rsidRDefault="009B163D" w:rsidP="009B163D">
      <w:pPr>
        <w:pStyle w:val="ListParagraph"/>
        <w:numPr>
          <w:ilvl w:val="0"/>
          <w:numId w:val="3"/>
        </w:numPr>
        <w:spacing w:after="0" w:line="240" w:lineRule="auto"/>
        <w:jc w:val="both"/>
        <w:rPr>
          <w:rFonts w:asciiTheme="minorHAnsi" w:hAnsiTheme="minorHAnsi"/>
          <w:sz w:val="22"/>
        </w:rPr>
      </w:pPr>
      <w:r>
        <w:rPr>
          <w:rFonts w:asciiTheme="minorHAnsi" w:hAnsiTheme="minorHAnsi"/>
          <w:sz w:val="22"/>
        </w:rPr>
        <w:t xml:space="preserve">Beschluss Nr. 22332/2001 vom 12. Oktober, veröffentlicht im </w:t>
      </w:r>
      <w:proofErr w:type="spellStart"/>
      <w:r>
        <w:rPr>
          <w:rFonts w:asciiTheme="minorHAnsi" w:hAnsiTheme="minorHAnsi"/>
          <w:i/>
          <w:sz w:val="22"/>
        </w:rPr>
        <w:t>Diário</w:t>
      </w:r>
      <w:proofErr w:type="spellEnd"/>
      <w:r>
        <w:rPr>
          <w:rFonts w:asciiTheme="minorHAnsi" w:hAnsiTheme="minorHAnsi"/>
          <w:i/>
          <w:sz w:val="22"/>
        </w:rPr>
        <w:t xml:space="preserve"> da </w:t>
      </w:r>
      <w:proofErr w:type="spellStart"/>
      <w:r>
        <w:rPr>
          <w:rFonts w:asciiTheme="minorHAnsi" w:hAnsiTheme="minorHAnsi"/>
          <w:i/>
          <w:sz w:val="22"/>
        </w:rPr>
        <w:t>República</w:t>
      </w:r>
      <w:proofErr w:type="spellEnd"/>
      <w:r>
        <w:rPr>
          <w:rFonts w:asciiTheme="minorHAnsi" w:hAnsiTheme="minorHAnsi"/>
          <w:sz w:val="22"/>
        </w:rPr>
        <w:t xml:space="preserve"> Nr. 252, Serie II, vom 30. Oktober 2001;</w:t>
      </w:r>
    </w:p>
    <w:p w:rsidR="009B163D" w:rsidRPr="00D655FE" w:rsidRDefault="009B163D" w:rsidP="009B163D">
      <w:pPr>
        <w:pStyle w:val="ListParagraph"/>
        <w:numPr>
          <w:ilvl w:val="0"/>
          <w:numId w:val="3"/>
        </w:numPr>
        <w:spacing w:after="0" w:line="240" w:lineRule="auto"/>
        <w:jc w:val="both"/>
        <w:rPr>
          <w:rFonts w:asciiTheme="minorHAnsi" w:hAnsiTheme="minorHAnsi"/>
          <w:sz w:val="22"/>
        </w:rPr>
      </w:pPr>
      <w:r>
        <w:rPr>
          <w:rFonts w:asciiTheme="minorHAnsi" w:hAnsiTheme="minorHAnsi"/>
          <w:sz w:val="22"/>
        </w:rPr>
        <w:t xml:space="preserve">Beschluss Nr. 22333/2001 vom 12. Oktober, veröffentlicht im </w:t>
      </w:r>
      <w:proofErr w:type="spellStart"/>
      <w:r>
        <w:rPr>
          <w:rFonts w:asciiTheme="minorHAnsi" w:hAnsiTheme="minorHAnsi"/>
          <w:i/>
          <w:sz w:val="22"/>
        </w:rPr>
        <w:t>Diário</w:t>
      </w:r>
      <w:proofErr w:type="spellEnd"/>
      <w:r>
        <w:rPr>
          <w:rFonts w:asciiTheme="minorHAnsi" w:hAnsiTheme="minorHAnsi"/>
          <w:i/>
          <w:sz w:val="22"/>
        </w:rPr>
        <w:t xml:space="preserve"> da </w:t>
      </w:r>
      <w:proofErr w:type="spellStart"/>
      <w:r>
        <w:rPr>
          <w:rFonts w:asciiTheme="minorHAnsi" w:hAnsiTheme="minorHAnsi"/>
          <w:i/>
          <w:sz w:val="22"/>
        </w:rPr>
        <w:t>República</w:t>
      </w:r>
      <w:proofErr w:type="spellEnd"/>
      <w:r>
        <w:rPr>
          <w:rFonts w:asciiTheme="minorHAnsi" w:hAnsiTheme="minorHAnsi"/>
          <w:sz w:val="22"/>
        </w:rPr>
        <w:t xml:space="preserve"> Nr. 252, Serie II, vom 30. Oktober 2001;</w:t>
      </w:r>
    </w:p>
    <w:p w:rsidR="009B163D" w:rsidRPr="00D655FE" w:rsidRDefault="009B163D" w:rsidP="009B163D">
      <w:pPr>
        <w:pStyle w:val="ListParagraph"/>
        <w:numPr>
          <w:ilvl w:val="0"/>
          <w:numId w:val="3"/>
        </w:numPr>
        <w:spacing w:after="0" w:line="240" w:lineRule="auto"/>
        <w:jc w:val="both"/>
        <w:rPr>
          <w:rFonts w:asciiTheme="minorHAnsi" w:hAnsiTheme="minorHAnsi"/>
          <w:sz w:val="22"/>
        </w:rPr>
      </w:pPr>
      <w:r>
        <w:rPr>
          <w:rFonts w:asciiTheme="minorHAnsi" w:hAnsiTheme="minorHAnsi"/>
          <w:sz w:val="22"/>
        </w:rPr>
        <w:t xml:space="preserve">Beschluss Nr. 1859/2003 vom 13. Dezember, veröffentlicht im </w:t>
      </w:r>
      <w:proofErr w:type="spellStart"/>
      <w:r>
        <w:rPr>
          <w:rFonts w:asciiTheme="minorHAnsi" w:hAnsiTheme="minorHAnsi"/>
          <w:i/>
          <w:sz w:val="22"/>
        </w:rPr>
        <w:t>Diário</w:t>
      </w:r>
      <w:proofErr w:type="spellEnd"/>
      <w:r>
        <w:rPr>
          <w:rFonts w:asciiTheme="minorHAnsi" w:hAnsiTheme="minorHAnsi"/>
          <w:i/>
          <w:sz w:val="22"/>
        </w:rPr>
        <w:t xml:space="preserve"> da </w:t>
      </w:r>
      <w:proofErr w:type="spellStart"/>
      <w:r>
        <w:rPr>
          <w:rFonts w:asciiTheme="minorHAnsi" w:hAnsiTheme="minorHAnsi"/>
          <w:i/>
          <w:sz w:val="22"/>
        </w:rPr>
        <w:t>República</w:t>
      </w:r>
      <w:proofErr w:type="spellEnd"/>
      <w:r>
        <w:rPr>
          <w:rFonts w:asciiTheme="minorHAnsi" w:hAnsiTheme="minorHAnsi"/>
          <w:sz w:val="22"/>
        </w:rPr>
        <w:t xml:space="preserve"> Nr. 25, Serie II, vom 30. Januar 2003;</w:t>
      </w:r>
    </w:p>
    <w:p w:rsidR="009B163D" w:rsidRPr="00D655FE" w:rsidRDefault="009B163D" w:rsidP="009B163D">
      <w:pPr>
        <w:pStyle w:val="ListParagraph"/>
        <w:numPr>
          <w:ilvl w:val="0"/>
          <w:numId w:val="3"/>
        </w:numPr>
        <w:spacing w:after="0" w:line="240" w:lineRule="auto"/>
        <w:jc w:val="both"/>
        <w:rPr>
          <w:rFonts w:asciiTheme="minorHAnsi" w:hAnsiTheme="minorHAnsi"/>
          <w:sz w:val="22"/>
        </w:rPr>
      </w:pPr>
      <w:r>
        <w:rPr>
          <w:rFonts w:asciiTheme="minorHAnsi" w:hAnsiTheme="minorHAnsi"/>
          <w:sz w:val="22"/>
        </w:rPr>
        <w:t xml:space="preserve">Beschluss Nr. 11551/2007 vom 21. Mai, veröffentlicht im </w:t>
      </w:r>
      <w:proofErr w:type="spellStart"/>
      <w:r>
        <w:rPr>
          <w:rFonts w:asciiTheme="minorHAnsi" w:hAnsiTheme="minorHAnsi"/>
          <w:i/>
          <w:sz w:val="22"/>
        </w:rPr>
        <w:t>Diário</w:t>
      </w:r>
      <w:proofErr w:type="spellEnd"/>
      <w:r>
        <w:rPr>
          <w:rFonts w:asciiTheme="minorHAnsi" w:hAnsiTheme="minorHAnsi"/>
          <w:i/>
          <w:sz w:val="22"/>
        </w:rPr>
        <w:t xml:space="preserve"> da </w:t>
      </w:r>
      <w:proofErr w:type="spellStart"/>
      <w:r>
        <w:rPr>
          <w:rFonts w:asciiTheme="minorHAnsi" w:hAnsiTheme="minorHAnsi"/>
          <w:i/>
          <w:sz w:val="22"/>
        </w:rPr>
        <w:t>República</w:t>
      </w:r>
      <w:proofErr w:type="spellEnd"/>
      <w:r>
        <w:rPr>
          <w:rFonts w:asciiTheme="minorHAnsi" w:hAnsiTheme="minorHAnsi"/>
          <w:sz w:val="22"/>
        </w:rPr>
        <w:t xml:space="preserve"> Nr. 112, Serie II, vom 12. Juni 2007;</w:t>
      </w:r>
    </w:p>
    <w:p w:rsidR="009B163D" w:rsidRPr="00D655FE" w:rsidRDefault="009B163D" w:rsidP="009B163D">
      <w:pPr>
        <w:pStyle w:val="ListParagraph"/>
        <w:numPr>
          <w:ilvl w:val="0"/>
          <w:numId w:val="3"/>
        </w:numPr>
        <w:spacing w:after="0" w:line="240" w:lineRule="auto"/>
        <w:jc w:val="both"/>
        <w:rPr>
          <w:rFonts w:asciiTheme="minorHAnsi" w:hAnsiTheme="minorHAnsi"/>
          <w:sz w:val="22"/>
        </w:rPr>
      </w:pPr>
      <w:r>
        <w:rPr>
          <w:rFonts w:asciiTheme="minorHAnsi" w:hAnsiTheme="minorHAnsi"/>
          <w:sz w:val="22"/>
        </w:rPr>
        <w:t xml:space="preserve">Beschluss Nr. 24260/2007 vom 10. Oktober, veröffentlicht im </w:t>
      </w:r>
      <w:proofErr w:type="spellStart"/>
      <w:r>
        <w:rPr>
          <w:rFonts w:asciiTheme="minorHAnsi" w:hAnsiTheme="minorHAnsi"/>
          <w:i/>
          <w:sz w:val="22"/>
        </w:rPr>
        <w:t>Diário</w:t>
      </w:r>
      <w:proofErr w:type="spellEnd"/>
      <w:r>
        <w:rPr>
          <w:rFonts w:asciiTheme="minorHAnsi" w:hAnsiTheme="minorHAnsi"/>
          <w:i/>
          <w:sz w:val="22"/>
        </w:rPr>
        <w:t xml:space="preserve"> da </w:t>
      </w:r>
      <w:proofErr w:type="spellStart"/>
      <w:r>
        <w:rPr>
          <w:rFonts w:asciiTheme="minorHAnsi" w:hAnsiTheme="minorHAnsi"/>
          <w:i/>
          <w:sz w:val="22"/>
        </w:rPr>
        <w:t>República</w:t>
      </w:r>
      <w:proofErr w:type="spellEnd"/>
      <w:r>
        <w:rPr>
          <w:rFonts w:asciiTheme="minorHAnsi" w:hAnsiTheme="minorHAnsi"/>
          <w:sz w:val="22"/>
        </w:rPr>
        <w:t xml:space="preserve"> Nr. 204, Serie II, vom 23. Oktober 2007;</w:t>
      </w:r>
    </w:p>
    <w:p w:rsidR="009B163D" w:rsidRPr="00D655FE" w:rsidRDefault="009B163D" w:rsidP="009B163D">
      <w:pPr>
        <w:pStyle w:val="ListParagraph"/>
        <w:numPr>
          <w:ilvl w:val="0"/>
          <w:numId w:val="3"/>
        </w:numPr>
        <w:spacing w:after="0" w:line="240" w:lineRule="auto"/>
        <w:jc w:val="both"/>
        <w:rPr>
          <w:rFonts w:asciiTheme="minorHAnsi" w:hAnsiTheme="minorHAnsi"/>
          <w:sz w:val="22"/>
        </w:rPr>
      </w:pPr>
      <w:r>
        <w:rPr>
          <w:rFonts w:asciiTheme="minorHAnsi" w:hAnsiTheme="minorHAnsi"/>
          <w:sz w:val="22"/>
        </w:rPr>
        <w:t xml:space="preserve">Beschluss Nr. 24261/2007 vom 10. Oktober, veröffentlicht im </w:t>
      </w:r>
      <w:proofErr w:type="spellStart"/>
      <w:r>
        <w:rPr>
          <w:rFonts w:asciiTheme="minorHAnsi" w:hAnsiTheme="minorHAnsi"/>
          <w:i/>
          <w:sz w:val="22"/>
        </w:rPr>
        <w:t>Diário</w:t>
      </w:r>
      <w:proofErr w:type="spellEnd"/>
      <w:r>
        <w:rPr>
          <w:rFonts w:asciiTheme="minorHAnsi" w:hAnsiTheme="minorHAnsi"/>
          <w:i/>
          <w:sz w:val="22"/>
        </w:rPr>
        <w:t xml:space="preserve"> da </w:t>
      </w:r>
      <w:proofErr w:type="spellStart"/>
      <w:r>
        <w:rPr>
          <w:rFonts w:asciiTheme="minorHAnsi" w:hAnsiTheme="minorHAnsi"/>
          <w:i/>
          <w:sz w:val="22"/>
        </w:rPr>
        <w:t>República</w:t>
      </w:r>
      <w:proofErr w:type="spellEnd"/>
      <w:r>
        <w:rPr>
          <w:rFonts w:asciiTheme="minorHAnsi" w:hAnsiTheme="minorHAnsi"/>
          <w:sz w:val="22"/>
        </w:rPr>
        <w:t xml:space="preserve"> Nr. 268, Serie II, vom 23. Oktober 2007.</w:t>
      </w:r>
    </w:p>
    <w:p w:rsidR="009B163D" w:rsidRPr="00D655FE" w:rsidRDefault="009B163D" w:rsidP="009B163D">
      <w:pPr>
        <w:spacing w:after="0" w:line="240" w:lineRule="auto"/>
        <w:jc w:val="center"/>
      </w:pPr>
    </w:p>
    <w:p w:rsidR="009B163D" w:rsidRPr="00D655FE" w:rsidRDefault="009B163D" w:rsidP="009B163D">
      <w:pPr>
        <w:spacing w:after="0" w:line="240" w:lineRule="auto"/>
        <w:jc w:val="center"/>
      </w:pPr>
    </w:p>
    <w:p w:rsidR="009B163D" w:rsidRPr="00D655FE" w:rsidRDefault="00547B14" w:rsidP="00481368">
      <w:pPr>
        <w:keepNext/>
        <w:spacing w:after="0" w:line="240" w:lineRule="auto"/>
        <w:jc w:val="center"/>
      </w:pPr>
      <w:r>
        <w:t>Artikel 4</w:t>
      </w:r>
    </w:p>
    <w:p w:rsidR="009B163D" w:rsidRPr="00D655FE" w:rsidRDefault="009B163D" w:rsidP="00481368">
      <w:pPr>
        <w:keepNext/>
        <w:spacing w:after="0" w:line="240" w:lineRule="auto"/>
        <w:jc w:val="center"/>
      </w:pPr>
      <w:r>
        <w:t xml:space="preserve">Inkrafttreten </w:t>
      </w:r>
    </w:p>
    <w:p w:rsidR="009B163D" w:rsidRPr="00D655FE" w:rsidRDefault="009B163D" w:rsidP="009B163D">
      <w:pPr>
        <w:spacing w:after="0" w:line="240" w:lineRule="auto"/>
      </w:pPr>
    </w:p>
    <w:p w:rsidR="009B163D" w:rsidRPr="00D655FE" w:rsidRDefault="009B163D" w:rsidP="009B163D">
      <w:pPr>
        <w:pStyle w:val="NormalWeb"/>
        <w:shd w:val="clear" w:color="auto" w:fill="FFFFFF"/>
        <w:spacing w:before="0" w:beforeAutospacing="0" w:after="225" w:afterAutospacing="0" w:line="390" w:lineRule="atLeast"/>
        <w:jc w:val="both"/>
        <w:rPr>
          <w:rFonts w:asciiTheme="minorHAnsi" w:eastAsiaTheme="minorEastAsia" w:hAnsiTheme="minorHAnsi" w:cstheme="minorBidi"/>
          <w:sz w:val="22"/>
          <w:szCs w:val="22"/>
        </w:rPr>
      </w:pPr>
      <w:r>
        <w:rPr>
          <w:rFonts w:asciiTheme="minorHAnsi" w:hAnsiTheme="minorHAnsi"/>
          <w:sz w:val="22"/>
          <w:szCs w:val="22"/>
        </w:rPr>
        <w:t xml:space="preserve">Dieses Gesetzesdekret tritt 60 Tage nach seiner Veröffentlichung in Kraft. </w:t>
      </w:r>
    </w:p>
    <w:p w:rsidR="009B163D" w:rsidRPr="00D655FE" w:rsidRDefault="009B163D" w:rsidP="009B163D">
      <w:pPr>
        <w:pStyle w:val="NormalWeb"/>
        <w:shd w:val="clear" w:color="auto" w:fill="FFFFFF"/>
        <w:spacing w:before="0" w:beforeAutospacing="0" w:after="225" w:afterAutospacing="0" w:line="390" w:lineRule="atLeast"/>
        <w:jc w:val="both"/>
        <w:rPr>
          <w:rFonts w:asciiTheme="minorHAnsi" w:eastAsiaTheme="minorEastAsia" w:hAnsiTheme="minorHAnsi" w:cstheme="minorBidi"/>
          <w:sz w:val="22"/>
          <w:szCs w:val="22"/>
        </w:rPr>
      </w:pPr>
    </w:p>
    <w:p w:rsidR="009B163D" w:rsidRPr="00D655FE" w:rsidRDefault="009B163D" w:rsidP="009B163D">
      <w:pPr>
        <w:pStyle w:val="NormalWeb"/>
        <w:shd w:val="clear" w:color="auto" w:fill="FFFFFF"/>
        <w:spacing w:before="0" w:beforeAutospacing="0" w:after="225" w:afterAutospacing="0" w:line="390" w:lineRule="atLeast"/>
        <w:jc w:val="both"/>
        <w:rPr>
          <w:rFonts w:asciiTheme="minorHAnsi" w:eastAsiaTheme="minorEastAsia" w:hAnsiTheme="minorHAnsi" w:cstheme="minorBidi"/>
          <w:sz w:val="22"/>
          <w:szCs w:val="22"/>
        </w:rPr>
      </w:pPr>
      <w:r>
        <w:rPr>
          <w:rFonts w:asciiTheme="minorHAnsi" w:hAnsiTheme="minorHAnsi"/>
          <w:sz w:val="22"/>
          <w:szCs w:val="22"/>
        </w:rPr>
        <w:lastRenderedPageBreak/>
        <w:t>Im Ministerrat genehmigt und geprüft am …… - ……</w:t>
      </w:r>
    </w:p>
    <w:p w:rsidR="009B163D" w:rsidRPr="00D655FE" w:rsidRDefault="009B163D" w:rsidP="009B163D">
      <w:pPr>
        <w:pStyle w:val="NormalWeb"/>
        <w:shd w:val="clear" w:color="auto" w:fill="FFFFFF"/>
        <w:spacing w:before="0" w:beforeAutospacing="0" w:after="225" w:afterAutospacing="0" w:line="390" w:lineRule="atLeast"/>
        <w:jc w:val="both"/>
        <w:rPr>
          <w:rFonts w:asciiTheme="minorHAnsi" w:eastAsiaTheme="minorEastAsia" w:hAnsiTheme="minorHAnsi" w:cstheme="minorBidi"/>
          <w:sz w:val="22"/>
          <w:szCs w:val="22"/>
        </w:rPr>
      </w:pPr>
      <w:r>
        <w:rPr>
          <w:rFonts w:asciiTheme="minorHAnsi" w:hAnsiTheme="minorHAnsi"/>
          <w:sz w:val="22"/>
          <w:szCs w:val="22"/>
        </w:rPr>
        <w:t>Bekannt gegeben am ……</w:t>
      </w:r>
    </w:p>
    <w:p w:rsidR="009B163D" w:rsidRPr="00D655FE" w:rsidRDefault="009B163D" w:rsidP="009B163D">
      <w:pPr>
        <w:pStyle w:val="NormalWeb"/>
        <w:shd w:val="clear" w:color="auto" w:fill="FFFFFF"/>
        <w:spacing w:before="0" w:beforeAutospacing="0" w:after="225" w:afterAutospacing="0" w:line="390" w:lineRule="atLeast"/>
        <w:jc w:val="both"/>
        <w:rPr>
          <w:rFonts w:asciiTheme="minorHAnsi" w:eastAsiaTheme="minorEastAsia" w:hAnsiTheme="minorHAnsi" w:cstheme="minorBidi"/>
          <w:sz w:val="22"/>
          <w:szCs w:val="22"/>
        </w:rPr>
      </w:pPr>
      <w:r>
        <w:rPr>
          <w:rFonts w:asciiTheme="minorHAnsi" w:hAnsiTheme="minorHAnsi"/>
          <w:sz w:val="22"/>
          <w:szCs w:val="22"/>
        </w:rPr>
        <w:t>Wird veröffentlicht.</w:t>
      </w:r>
    </w:p>
    <w:p w:rsidR="009B163D" w:rsidRPr="00D655FE" w:rsidRDefault="009B163D" w:rsidP="009B163D">
      <w:pPr>
        <w:pStyle w:val="NormalWeb"/>
        <w:shd w:val="clear" w:color="auto" w:fill="FFFFFF"/>
        <w:spacing w:before="0" w:beforeAutospacing="0" w:after="225" w:afterAutospacing="0" w:line="390" w:lineRule="atLeast"/>
        <w:jc w:val="both"/>
        <w:rPr>
          <w:rFonts w:asciiTheme="minorHAnsi" w:eastAsiaTheme="minorEastAsia" w:hAnsiTheme="minorHAnsi" w:cstheme="minorBidi"/>
          <w:sz w:val="22"/>
          <w:szCs w:val="22"/>
        </w:rPr>
      </w:pPr>
      <w:r>
        <w:rPr>
          <w:rFonts w:asciiTheme="minorHAnsi" w:hAnsiTheme="minorHAnsi"/>
          <w:sz w:val="22"/>
          <w:szCs w:val="22"/>
        </w:rPr>
        <w:t xml:space="preserve">Der Präsident der Republik, </w:t>
      </w:r>
    </w:p>
    <w:p w:rsidR="009B163D" w:rsidRPr="00D655FE" w:rsidRDefault="009B163D" w:rsidP="009B163D">
      <w:pPr>
        <w:pStyle w:val="NormalWeb"/>
        <w:shd w:val="clear" w:color="auto" w:fill="FFFFFF"/>
        <w:spacing w:before="0" w:beforeAutospacing="0" w:after="225" w:afterAutospacing="0" w:line="390" w:lineRule="atLeast"/>
        <w:jc w:val="both"/>
        <w:rPr>
          <w:rFonts w:asciiTheme="minorHAnsi" w:eastAsiaTheme="minorEastAsia" w:hAnsiTheme="minorHAnsi" w:cstheme="minorBidi"/>
          <w:sz w:val="22"/>
          <w:szCs w:val="22"/>
        </w:rPr>
      </w:pPr>
      <w:r>
        <w:rPr>
          <w:rFonts w:asciiTheme="minorHAnsi" w:hAnsiTheme="minorHAnsi"/>
          <w:sz w:val="22"/>
          <w:szCs w:val="22"/>
        </w:rPr>
        <w:t>Gegengezeichnet am ……</w:t>
      </w:r>
    </w:p>
    <w:p w:rsidR="009B163D" w:rsidRPr="00D655FE" w:rsidRDefault="009B163D" w:rsidP="009B163D">
      <w:pPr>
        <w:pStyle w:val="NormalWeb"/>
        <w:shd w:val="clear" w:color="auto" w:fill="FFFFFF"/>
        <w:spacing w:before="0" w:beforeAutospacing="0" w:after="225" w:afterAutospacing="0" w:line="390" w:lineRule="atLeast"/>
        <w:jc w:val="both"/>
        <w:rPr>
          <w:rFonts w:asciiTheme="minorHAnsi" w:eastAsiaTheme="minorEastAsia" w:hAnsiTheme="minorHAnsi" w:cstheme="minorBidi"/>
          <w:sz w:val="22"/>
          <w:szCs w:val="22"/>
        </w:rPr>
      </w:pPr>
      <w:r>
        <w:rPr>
          <w:rFonts w:asciiTheme="minorHAnsi" w:hAnsiTheme="minorHAnsi"/>
          <w:sz w:val="22"/>
          <w:szCs w:val="22"/>
        </w:rPr>
        <w:t>Durch den Ministerpräsidenten, ……</w:t>
      </w:r>
    </w:p>
    <w:p w:rsidR="00280262" w:rsidRPr="00D655FE" w:rsidRDefault="00280262" w:rsidP="00042583">
      <w:pPr>
        <w:spacing w:after="0" w:line="240" w:lineRule="auto"/>
        <w:jc w:val="center"/>
      </w:pPr>
    </w:p>
    <w:p w:rsidR="00042583" w:rsidRPr="00D655FE" w:rsidRDefault="00426E6D" w:rsidP="00481368">
      <w:pPr>
        <w:keepNext/>
        <w:spacing w:after="0" w:line="240" w:lineRule="auto"/>
        <w:jc w:val="center"/>
      </w:pPr>
      <w:r>
        <w:t>ANHANG</w:t>
      </w:r>
    </w:p>
    <w:p w:rsidR="00042583" w:rsidRPr="00D655FE" w:rsidRDefault="004F466B" w:rsidP="00481368">
      <w:pPr>
        <w:keepNext/>
        <w:spacing w:after="0" w:line="240" w:lineRule="auto"/>
        <w:jc w:val="center"/>
      </w:pPr>
      <w:r>
        <w:t>(auf den sich Artikel 1 bezieht)</w:t>
      </w:r>
    </w:p>
    <w:p w:rsidR="00042583" w:rsidRPr="00D655FE" w:rsidRDefault="00042583" w:rsidP="00481368">
      <w:pPr>
        <w:keepNext/>
        <w:jc w:val="both"/>
      </w:pPr>
    </w:p>
    <w:p w:rsidR="00042583" w:rsidRPr="00D655FE" w:rsidRDefault="00DA2FF2" w:rsidP="00481368">
      <w:pPr>
        <w:keepNext/>
        <w:jc w:val="center"/>
        <w:rPr>
          <w:b/>
        </w:rPr>
      </w:pPr>
      <w:r>
        <w:rPr>
          <w:b/>
        </w:rPr>
        <w:t xml:space="preserve">VERORDNUNG ÜBER DEN EINBAU UND DEN BETRIEB VON EINFACHEN DRUCKBEHÄLTERN UND DRUCKGERÄTEN </w:t>
      </w:r>
    </w:p>
    <w:p w:rsidR="00042583" w:rsidRPr="00D655FE" w:rsidRDefault="004F466B" w:rsidP="00481368">
      <w:pPr>
        <w:keepNext/>
        <w:jc w:val="center"/>
      </w:pPr>
      <w:r>
        <w:t>KAPITEL I</w:t>
      </w:r>
    </w:p>
    <w:p w:rsidR="00042583" w:rsidRPr="00D655FE" w:rsidRDefault="004F466B" w:rsidP="00481368">
      <w:pPr>
        <w:keepNext/>
        <w:jc w:val="center"/>
        <w:rPr>
          <w:b/>
        </w:rPr>
      </w:pPr>
      <w:r>
        <w:rPr>
          <w:b/>
        </w:rPr>
        <w:t>Gegenstand, Anwendungsbereich und Begriffsbestimmungen</w:t>
      </w:r>
    </w:p>
    <w:p w:rsidR="00042583" w:rsidRPr="00D655FE" w:rsidRDefault="004F466B" w:rsidP="00481368">
      <w:pPr>
        <w:keepNext/>
        <w:jc w:val="center"/>
      </w:pPr>
      <w:r>
        <w:t>Artikel 1</w:t>
      </w:r>
    </w:p>
    <w:p w:rsidR="00042583" w:rsidRPr="00D655FE" w:rsidRDefault="004F466B" w:rsidP="00481368">
      <w:pPr>
        <w:keepNext/>
        <w:jc w:val="center"/>
        <w:rPr>
          <w:b/>
        </w:rPr>
      </w:pPr>
      <w:r>
        <w:rPr>
          <w:b/>
        </w:rPr>
        <w:t>Gegenstand</w:t>
      </w:r>
    </w:p>
    <w:p w:rsidR="00042583" w:rsidRPr="00D655FE" w:rsidRDefault="004F466B" w:rsidP="00042583">
      <w:pPr>
        <w:jc w:val="both"/>
      </w:pPr>
      <w:r>
        <w:t>Für Einbau, Betrieb, Reparatur und Änderung von einfachen Druckbehältern und Druckgeräten gelten die in dieser Verordnung vorgesehenen Verfahren.</w:t>
      </w:r>
    </w:p>
    <w:p w:rsidR="00042583" w:rsidRPr="00D655FE" w:rsidRDefault="004F466B" w:rsidP="00481368">
      <w:pPr>
        <w:keepNext/>
        <w:jc w:val="center"/>
      </w:pPr>
      <w:r>
        <w:t>Artikel 2</w:t>
      </w:r>
    </w:p>
    <w:p w:rsidR="00042583" w:rsidRPr="00D655FE" w:rsidRDefault="004F466B" w:rsidP="00481368">
      <w:pPr>
        <w:keepNext/>
        <w:jc w:val="center"/>
        <w:rPr>
          <w:b/>
        </w:rPr>
      </w:pPr>
      <w:r>
        <w:rPr>
          <w:b/>
        </w:rPr>
        <w:t>Anwendungsbereich</w:t>
      </w:r>
    </w:p>
    <w:p w:rsidR="00A92182" w:rsidRPr="00D655FE" w:rsidRDefault="00A92182" w:rsidP="00A92182">
      <w:pPr>
        <w:jc w:val="both"/>
      </w:pPr>
      <w:r>
        <w:t>1. Diese Verordnung ist anwendbar auf:</w:t>
      </w:r>
    </w:p>
    <w:p w:rsidR="00A92182" w:rsidRPr="00D655FE" w:rsidRDefault="00A92182" w:rsidP="00A92182">
      <w:pPr>
        <w:pStyle w:val="CommentText"/>
        <w:spacing w:line="276" w:lineRule="auto"/>
        <w:jc w:val="both"/>
        <w:rPr>
          <w:sz w:val="22"/>
          <w:szCs w:val="22"/>
        </w:rPr>
      </w:pPr>
      <w:r>
        <w:rPr>
          <w:sz w:val="22"/>
          <w:szCs w:val="22"/>
        </w:rPr>
        <w:t>a) alle einfachen Druckbehälter für Luft oder Stickstoff mit einem maximal zulässigen Druck von über 0,5 bar, die gemäß Gesetzesdekret 37/2017 vom 29. März entworfen und gebaut werden;</w:t>
      </w:r>
    </w:p>
    <w:p w:rsidR="00A92182" w:rsidRPr="00D655FE" w:rsidRDefault="00A92182" w:rsidP="00A92182">
      <w:pPr>
        <w:pStyle w:val="CommentText"/>
        <w:spacing w:line="276" w:lineRule="auto"/>
        <w:jc w:val="both"/>
        <w:rPr>
          <w:sz w:val="22"/>
          <w:szCs w:val="22"/>
        </w:rPr>
      </w:pPr>
      <w:r>
        <w:rPr>
          <w:sz w:val="22"/>
          <w:szCs w:val="22"/>
        </w:rPr>
        <w:t>b) alle Druckgeräte für Fluide (Flüssigkeit, Gas oder Dampf) mit einem maximal zulässigen Druck (PS) von über 0,5 bar, die gemäß Gesetzesdekret 111-D/2017 vom 31. August entworfen und gebaut werden;</w:t>
      </w:r>
    </w:p>
    <w:p w:rsidR="00A92182" w:rsidRPr="00D655FE" w:rsidRDefault="00A92182" w:rsidP="00A92182">
      <w:pPr>
        <w:pStyle w:val="CommentText"/>
        <w:spacing w:line="276" w:lineRule="auto"/>
        <w:jc w:val="both"/>
        <w:rPr>
          <w:sz w:val="22"/>
          <w:szCs w:val="22"/>
        </w:rPr>
      </w:pPr>
      <w:r>
        <w:rPr>
          <w:sz w:val="22"/>
          <w:szCs w:val="22"/>
        </w:rPr>
        <w:t>c) alle importierten und nicht importierten gebrauchten Behälter und Geräte, die gemäß der zum Zeitpunkt ihres Baus geltenden Gesetzgebung gebaut wurden.</w:t>
      </w:r>
    </w:p>
    <w:p w:rsidR="00A92182" w:rsidRPr="00D655FE" w:rsidRDefault="00A92182" w:rsidP="00A92182">
      <w:pPr>
        <w:jc w:val="both"/>
      </w:pPr>
      <w:r>
        <w:t>2. Einfache Druckbehälter, auf die eine der folgenden Bedingungen zutrifft, sind vom Anwendungsbereich der Verordnung ausgeschlossen:</w:t>
      </w:r>
    </w:p>
    <w:p w:rsidR="00A92182" w:rsidRPr="00C3280C" w:rsidRDefault="00A92182" w:rsidP="00A92182">
      <w:pPr>
        <w:jc w:val="both"/>
        <w:rPr>
          <w:lang w:val="en-US"/>
        </w:rPr>
      </w:pPr>
      <w:r w:rsidRPr="00C3280C">
        <w:rPr>
          <w:i/>
          <w:lang w:val="en-US"/>
        </w:rPr>
        <w:t>a)</w:t>
      </w:r>
      <w:r w:rsidRPr="00C3280C">
        <w:rPr>
          <w:lang w:val="en-US"/>
        </w:rPr>
        <w:t xml:space="preserve"> PS ≤ 4 bar und PS &gt; 30 bar;</w:t>
      </w:r>
    </w:p>
    <w:p w:rsidR="00A92182" w:rsidRPr="00AA7682" w:rsidRDefault="00A92182" w:rsidP="00A92182">
      <w:pPr>
        <w:jc w:val="both"/>
        <w:rPr>
          <w:lang w:val="en-US"/>
        </w:rPr>
      </w:pPr>
      <w:r w:rsidRPr="00AA7682">
        <w:rPr>
          <w:i/>
          <w:lang w:val="en-US"/>
        </w:rPr>
        <w:lastRenderedPageBreak/>
        <w:t>b)</w:t>
      </w:r>
      <w:r w:rsidRPr="00AA7682">
        <w:rPr>
          <w:lang w:val="en-US"/>
        </w:rPr>
        <w:t xml:space="preserve"> PS × V ≤ 3000 </w:t>
      </w:r>
      <w:proofErr w:type="spellStart"/>
      <w:r w:rsidRPr="00AA7682">
        <w:rPr>
          <w:lang w:val="en-US"/>
        </w:rPr>
        <w:t>bar.l</w:t>
      </w:r>
      <w:proofErr w:type="spellEnd"/>
      <w:r w:rsidRPr="00AA7682">
        <w:rPr>
          <w:lang w:val="en-US"/>
        </w:rPr>
        <w:t xml:space="preserve"> und PS × V &gt; 10 000 </w:t>
      </w:r>
      <w:proofErr w:type="spellStart"/>
      <w:r w:rsidRPr="00AA7682">
        <w:rPr>
          <w:lang w:val="en-US"/>
        </w:rPr>
        <w:t>bar.l</w:t>
      </w:r>
      <w:proofErr w:type="spellEnd"/>
      <w:r w:rsidRPr="00AA7682">
        <w:rPr>
          <w:lang w:val="en-US"/>
        </w:rPr>
        <w:t>;</w:t>
      </w:r>
    </w:p>
    <w:p w:rsidR="00A92182" w:rsidRPr="00D655FE" w:rsidRDefault="00540350" w:rsidP="00A92182">
      <w:pPr>
        <w:jc w:val="both"/>
      </w:pPr>
      <w:r>
        <w:rPr>
          <w:i/>
        </w:rPr>
        <w:t>c)</w:t>
      </w:r>
      <w:r>
        <w:t xml:space="preserve"> Mindesttemperatur ≤ –40 °C und Höchsttemperatur &gt; 300 °C für einfache Druckbehälter aus Stahl und Höchsttemperatur &gt; 100 °C für einfache Druckbehälter aus Aluminium oder Aluminiumlegierungen.</w:t>
      </w:r>
    </w:p>
    <w:p w:rsidR="00A92182" w:rsidRPr="00D655FE" w:rsidRDefault="00A92182" w:rsidP="00A92182">
      <w:pPr>
        <w:jc w:val="both"/>
      </w:pPr>
      <w:r>
        <w:t>3. Druckgeräte, auf die eine der folgenden Bedingungen zutrifft, sind vom Anwendungsbereich der Verordnung ausgeschlossen:</w:t>
      </w:r>
    </w:p>
    <w:p w:rsidR="00A92182" w:rsidRPr="00D655FE" w:rsidRDefault="00A92182" w:rsidP="00A92182">
      <w:pPr>
        <w:jc w:val="both"/>
      </w:pPr>
      <w:r>
        <w:t>a) Druckgeräte mit Ausnahme der in den Buchstaben b, c und d aufgeführten Druckgeräte, die:</w:t>
      </w:r>
    </w:p>
    <w:p w:rsidR="00A92182" w:rsidRPr="00D655FE" w:rsidRDefault="00A92182" w:rsidP="00A92182">
      <w:pPr>
        <w:jc w:val="both"/>
      </w:pPr>
      <w:r>
        <w:rPr>
          <w:i/>
        </w:rPr>
        <w:t>i</w:t>
      </w:r>
      <w:r>
        <w:t>) Gase, Flüssiggase und Dämpfe der Gruppe 1 enthalten, mit:</w:t>
      </w:r>
    </w:p>
    <w:p w:rsidR="00A92182" w:rsidRPr="00AA7682" w:rsidRDefault="00A92182" w:rsidP="00A92182">
      <w:pPr>
        <w:jc w:val="both"/>
        <w:rPr>
          <w:lang w:val="da-DK"/>
        </w:rPr>
      </w:pPr>
      <w:r w:rsidRPr="00AA7682">
        <w:rPr>
          <w:lang w:val="da-DK"/>
        </w:rPr>
        <w:t>I) PS ≤ 2 bar;</w:t>
      </w:r>
    </w:p>
    <w:p w:rsidR="00A92182" w:rsidRPr="00AA7682" w:rsidRDefault="00A92182" w:rsidP="00A92182">
      <w:pPr>
        <w:jc w:val="both"/>
        <w:rPr>
          <w:lang w:val="da-DK"/>
        </w:rPr>
      </w:pPr>
      <w:r w:rsidRPr="00AA7682">
        <w:rPr>
          <w:lang w:val="da-DK"/>
        </w:rPr>
        <w:t>II) PS × V ≤ 1000 </w:t>
      </w:r>
      <w:proofErr w:type="spellStart"/>
      <w:r w:rsidRPr="00AA7682">
        <w:rPr>
          <w:lang w:val="da-DK"/>
        </w:rPr>
        <w:t>bar.l</w:t>
      </w:r>
      <w:proofErr w:type="spellEnd"/>
      <w:r w:rsidRPr="00AA7682">
        <w:rPr>
          <w:lang w:val="da-DK"/>
        </w:rPr>
        <w:t>;</w:t>
      </w:r>
    </w:p>
    <w:p w:rsidR="00A92182" w:rsidRPr="00D655FE" w:rsidRDefault="00A92182" w:rsidP="00A92182">
      <w:pPr>
        <w:jc w:val="both"/>
      </w:pPr>
      <w:r>
        <w:rPr>
          <w:i/>
        </w:rPr>
        <w:t>ii</w:t>
      </w:r>
      <w:r>
        <w:t>) Flüssigkeiten der Gruppe 1 enthalten, mit:</w:t>
      </w:r>
    </w:p>
    <w:p w:rsidR="00A92182" w:rsidRPr="00AA7682" w:rsidRDefault="00A92182" w:rsidP="00A92182">
      <w:pPr>
        <w:jc w:val="both"/>
        <w:rPr>
          <w:lang w:val="da-DK"/>
        </w:rPr>
      </w:pPr>
      <w:r w:rsidRPr="00AA7682">
        <w:rPr>
          <w:lang w:val="da-DK"/>
        </w:rPr>
        <w:t>I) PS ≤ 4 bar;</w:t>
      </w:r>
    </w:p>
    <w:p w:rsidR="00A92182" w:rsidRPr="00AA7682" w:rsidRDefault="00A92182" w:rsidP="00A92182">
      <w:pPr>
        <w:jc w:val="both"/>
        <w:rPr>
          <w:lang w:val="da-DK"/>
        </w:rPr>
      </w:pPr>
      <w:r w:rsidRPr="00AA7682">
        <w:rPr>
          <w:lang w:val="da-DK"/>
        </w:rPr>
        <w:t>II) PS × V ≤ 10 000 </w:t>
      </w:r>
      <w:proofErr w:type="spellStart"/>
      <w:r w:rsidRPr="00AA7682">
        <w:rPr>
          <w:lang w:val="da-DK"/>
        </w:rPr>
        <w:t>bar.l</w:t>
      </w:r>
      <w:proofErr w:type="spellEnd"/>
      <w:r w:rsidRPr="00AA7682">
        <w:rPr>
          <w:lang w:val="da-DK"/>
        </w:rPr>
        <w:t>;</w:t>
      </w:r>
    </w:p>
    <w:p w:rsidR="00A92182" w:rsidRPr="00D655FE" w:rsidRDefault="00A92182" w:rsidP="00A92182">
      <w:pPr>
        <w:jc w:val="both"/>
      </w:pPr>
      <w:r>
        <w:rPr>
          <w:i/>
        </w:rPr>
        <w:t>iii</w:t>
      </w:r>
      <w:r>
        <w:t>) Gase, Flüssiggase und Dämpfe der Gruppe 2 enthalten, mit:</w:t>
      </w:r>
    </w:p>
    <w:p w:rsidR="00A92182" w:rsidRPr="00AA7682" w:rsidRDefault="00A92182" w:rsidP="00A92182">
      <w:pPr>
        <w:jc w:val="both"/>
        <w:rPr>
          <w:lang w:val="da-DK"/>
        </w:rPr>
      </w:pPr>
      <w:r w:rsidRPr="00AA7682">
        <w:rPr>
          <w:lang w:val="da-DK"/>
        </w:rPr>
        <w:t>I) PS ≤ 4 bar;</w:t>
      </w:r>
    </w:p>
    <w:p w:rsidR="00A92182" w:rsidRPr="00AA7682" w:rsidRDefault="00A92182" w:rsidP="00A92182">
      <w:pPr>
        <w:jc w:val="both"/>
        <w:rPr>
          <w:lang w:val="da-DK"/>
        </w:rPr>
      </w:pPr>
      <w:r w:rsidRPr="00AA7682">
        <w:rPr>
          <w:lang w:val="da-DK"/>
        </w:rPr>
        <w:t>II) PS × V ≤ 3000 </w:t>
      </w:r>
      <w:proofErr w:type="spellStart"/>
      <w:r w:rsidRPr="00AA7682">
        <w:rPr>
          <w:lang w:val="da-DK"/>
        </w:rPr>
        <w:t>bar.l</w:t>
      </w:r>
      <w:proofErr w:type="spellEnd"/>
      <w:r w:rsidRPr="00AA7682">
        <w:rPr>
          <w:lang w:val="da-DK"/>
        </w:rPr>
        <w:t>;</w:t>
      </w:r>
    </w:p>
    <w:p w:rsidR="00A92182" w:rsidRPr="00D655FE" w:rsidRDefault="00A92182" w:rsidP="00A92182">
      <w:pPr>
        <w:jc w:val="both"/>
      </w:pPr>
      <w:r>
        <w:rPr>
          <w:i/>
        </w:rPr>
        <w:t>iv</w:t>
      </w:r>
      <w:r>
        <w:t>) Flüssigkeiten der Gruppe 2 enthalten, mit:</w:t>
      </w:r>
    </w:p>
    <w:p w:rsidR="00A92182" w:rsidRPr="00AA7682" w:rsidRDefault="00A92182" w:rsidP="00A92182">
      <w:pPr>
        <w:jc w:val="both"/>
        <w:rPr>
          <w:lang w:val="da-DK"/>
        </w:rPr>
      </w:pPr>
      <w:r w:rsidRPr="00AA7682">
        <w:rPr>
          <w:lang w:val="da-DK"/>
        </w:rPr>
        <w:t>I) PS ≤ 10 bar;</w:t>
      </w:r>
    </w:p>
    <w:p w:rsidR="00A92182" w:rsidRPr="00AA7682" w:rsidRDefault="00A92182" w:rsidP="00A92182">
      <w:pPr>
        <w:jc w:val="both"/>
        <w:rPr>
          <w:lang w:val="da-DK"/>
        </w:rPr>
      </w:pPr>
      <w:r w:rsidRPr="00AA7682">
        <w:rPr>
          <w:lang w:val="da-DK"/>
        </w:rPr>
        <w:t>II) PS × V ≤ 20 000 </w:t>
      </w:r>
      <w:proofErr w:type="spellStart"/>
      <w:r w:rsidRPr="00AA7682">
        <w:rPr>
          <w:lang w:val="da-DK"/>
        </w:rPr>
        <w:t>bar.l</w:t>
      </w:r>
      <w:proofErr w:type="spellEnd"/>
      <w:r w:rsidRPr="00AA7682">
        <w:rPr>
          <w:lang w:val="da-DK"/>
        </w:rPr>
        <w:t>;</w:t>
      </w:r>
    </w:p>
    <w:p w:rsidR="00A92182" w:rsidRPr="00D655FE" w:rsidRDefault="00A92182" w:rsidP="00A92182">
      <w:pPr>
        <w:jc w:val="both"/>
      </w:pPr>
      <w:r>
        <w:t xml:space="preserve">III) </w:t>
      </w:r>
      <w:proofErr w:type="spellStart"/>
      <w:r>
        <w:t>TS</w:t>
      </w:r>
      <w:r>
        <w:rPr>
          <w:vertAlign w:val="subscript"/>
        </w:rPr>
        <w:t>máx</w:t>
      </w:r>
      <w:proofErr w:type="spellEnd"/>
      <w:r>
        <w:t xml:space="preserve"> ≤ 80 °C;</w:t>
      </w:r>
    </w:p>
    <w:p w:rsidR="00A92182" w:rsidRPr="00D655FE" w:rsidRDefault="00A92182" w:rsidP="00A92182">
      <w:pPr>
        <w:jc w:val="both"/>
      </w:pPr>
      <w:r>
        <w:rPr>
          <w:i/>
        </w:rPr>
        <w:t>b)</w:t>
      </w:r>
      <w:r>
        <w:t xml:space="preserve"> Dampf- und Heißwassererzeuger mit:</w:t>
      </w:r>
    </w:p>
    <w:p w:rsidR="00A92182" w:rsidRPr="00AA7682" w:rsidRDefault="00A92182" w:rsidP="00A92182">
      <w:pPr>
        <w:jc w:val="both"/>
        <w:rPr>
          <w:lang w:val="da-DK"/>
        </w:rPr>
      </w:pPr>
      <w:r w:rsidRPr="00AA7682">
        <w:rPr>
          <w:i/>
          <w:lang w:val="da-DK"/>
        </w:rPr>
        <w:t>i</w:t>
      </w:r>
      <w:r w:rsidRPr="00AA7682">
        <w:rPr>
          <w:lang w:val="da-DK"/>
        </w:rPr>
        <w:t>) PS ≤ 0,5 bar;</w:t>
      </w:r>
    </w:p>
    <w:p w:rsidR="00A92182" w:rsidRPr="00AA7682" w:rsidRDefault="00A92182" w:rsidP="00A92182">
      <w:pPr>
        <w:jc w:val="both"/>
        <w:rPr>
          <w:lang w:val="da-DK"/>
        </w:rPr>
      </w:pPr>
      <w:r w:rsidRPr="00AA7682">
        <w:rPr>
          <w:i/>
          <w:lang w:val="da-DK"/>
        </w:rPr>
        <w:t>ii</w:t>
      </w:r>
      <w:r w:rsidRPr="00AA7682">
        <w:rPr>
          <w:lang w:val="da-DK"/>
        </w:rPr>
        <w:t>) PS × V ≤ 200 </w:t>
      </w:r>
      <w:proofErr w:type="spellStart"/>
      <w:r w:rsidRPr="00AA7682">
        <w:rPr>
          <w:lang w:val="da-DK"/>
        </w:rPr>
        <w:t>bar.l</w:t>
      </w:r>
      <w:proofErr w:type="spellEnd"/>
      <w:r w:rsidRPr="00AA7682">
        <w:rPr>
          <w:lang w:val="da-DK"/>
        </w:rPr>
        <w:t>;</w:t>
      </w:r>
    </w:p>
    <w:p w:rsidR="00A92182" w:rsidRPr="00D655FE" w:rsidRDefault="00A92182" w:rsidP="00A92182">
      <w:pPr>
        <w:jc w:val="both"/>
      </w:pPr>
      <w:r>
        <w:rPr>
          <w:i/>
        </w:rPr>
        <w:t>iii</w:t>
      </w:r>
      <w:r>
        <w:t xml:space="preserve">) </w:t>
      </w:r>
      <w:proofErr w:type="spellStart"/>
      <w:r>
        <w:t>TS</w:t>
      </w:r>
      <w:r>
        <w:rPr>
          <w:vertAlign w:val="subscript"/>
        </w:rPr>
        <w:t>máx</w:t>
      </w:r>
      <w:proofErr w:type="spellEnd"/>
      <w:r>
        <w:t xml:space="preserve"> ≤ 110°C;</w:t>
      </w:r>
    </w:p>
    <w:p w:rsidR="00A92182" w:rsidRPr="00D655FE" w:rsidRDefault="00A92182" w:rsidP="00A92182">
      <w:pPr>
        <w:jc w:val="both"/>
      </w:pPr>
      <w:r>
        <w:rPr>
          <w:i/>
        </w:rPr>
        <w:t>c)</w:t>
      </w:r>
      <w:r>
        <w:t xml:space="preserve"> Warmwassererzeuger mit:</w:t>
      </w:r>
    </w:p>
    <w:p w:rsidR="00A92182" w:rsidRPr="00D655FE" w:rsidRDefault="00A92182" w:rsidP="00A92182">
      <w:pPr>
        <w:jc w:val="both"/>
      </w:pPr>
      <w:r>
        <w:rPr>
          <w:i/>
        </w:rPr>
        <w:t>i)</w:t>
      </w:r>
      <w:r>
        <w:t xml:space="preserve"> Nennleistung ≤ 400 kW;</w:t>
      </w:r>
    </w:p>
    <w:p w:rsidR="00A92182" w:rsidRPr="00D655FE" w:rsidRDefault="00A92182" w:rsidP="00A92182">
      <w:pPr>
        <w:jc w:val="both"/>
      </w:pPr>
      <w:r>
        <w:rPr>
          <w:i/>
        </w:rPr>
        <w:t>ii)</w:t>
      </w:r>
      <w:r>
        <w:t xml:space="preserve"> PS × V ≤ 10 000 </w:t>
      </w:r>
      <w:proofErr w:type="spellStart"/>
      <w:r>
        <w:t>bar.l</w:t>
      </w:r>
      <w:proofErr w:type="spellEnd"/>
      <w:r>
        <w:t>;</w:t>
      </w:r>
    </w:p>
    <w:p w:rsidR="00A92182" w:rsidRPr="00AA7682" w:rsidRDefault="00A92182" w:rsidP="00A92182">
      <w:pPr>
        <w:jc w:val="both"/>
      </w:pPr>
      <w:r w:rsidRPr="00AA7682">
        <w:rPr>
          <w:i/>
        </w:rPr>
        <w:t>d)</w:t>
      </w:r>
      <w:r w:rsidRPr="00AA7682">
        <w:t xml:space="preserve"> Warmfluidkessel mit:</w:t>
      </w:r>
    </w:p>
    <w:p w:rsidR="00A92182" w:rsidRPr="00AA7682" w:rsidRDefault="00A92182" w:rsidP="00A92182">
      <w:pPr>
        <w:jc w:val="both"/>
        <w:rPr>
          <w:lang w:val="da-DK"/>
        </w:rPr>
      </w:pPr>
      <w:r w:rsidRPr="00AA7682">
        <w:rPr>
          <w:i/>
          <w:lang w:val="da-DK"/>
        </w:rPr>
        <w:t>i</w:t>
      </w:r>
      <w:r w:rsidRPr="00AA7682">
        <w:rPr>
          <w:lang w:val="da-DK"/>
        </w:rPr>
        <w:t>) PS ≤ 2 bar;</w:t>
      </w:r>
    </w:p>
    <w:p w:rsidR="00A92182" w:rsidRPr="00AA7682" w:rsidRDefault="00A92182" w:rsidP="00A92182">
      <w:pPr>
        <w:jc w:val="both"/>
        <w:rPr>
          <w:lang w:val="da-DK"/>
        </w:rPr>
      </w:pPr>
      <w:r w:rsidRPr="00AA7682">
        <w:rPr>
          <w:i/>
          <w:lang w:val="da-DK"/>
        </w:rPr>
        <w:t>ii</w:t>
      </w:r>
      <w:r w:rsidRPr="00AA7682">
        <w:rPr>
          <w:lang w:val="da-DK"/>
        </w:rPr>
        <w:t>) PS × V ≤ 500 </w:t>
      </w:r>
      <w:proofErr w:type="spellStart"/>
      <w:r w:rsidRPr="00AA7682">
        <w:rPr>
          <w:lang w:val="da-DK"/>
        </w:rPr>
        <w:t>bar.l</w:t>
      </w:r>
      <w:proofErr w:type="spellEnd"/>
      <w:r w:rsidRPr="00AA7682">
        <w:rPr>
          <w:lang w:val="da-DK"/>
        </w:rPr>
        <w:t>;</w:t>
      </w:r>
    </w:p>
    <w:p w:rsidR="00A92182" w:rsidRPr="00AA7682" w:rsidRDefault="00A92182" w:rsidP="00A92182">
      <w:pPr>
        <w:jc w:val="both"/>
      </w:pPr>
      <w:r w:rsidRPr="00AA7682">
        <w:rPr>
          <w:i/>
        </w:rPr>
        <w:lastRenderedPageBreak/>
        <w:t>iii</w:t>
      </w:r>
      <w:r w:rsidRPr="00AA7682">
        <w:t xml:space="preserve">) </w:t>
      </w:r>
      <w:proofErr w:type="spellStart"/>
      <w:r w:rsidRPr="00AA7682">
        <w:t>TS</w:t>
      </w:r>
      <w:r w:rsidRPr="00AA7682">
        <w:rPr>
          <w:vertAlign w:val="subscript"/>
        </w:rPr>
        <w:t>máx</w:t>
      </w:r>
      <w:proofErr w:type="spellEnd"/>
      <w:r w:rsidRPr="00AA7682">
        <w:t xml:space="preserve"> ≤ 125 °C;</w:t>
      </w:r>
    </w:p>
    <w:p w:rsidR="00A92182" w:rsidRPr="00D655FE" w:rsidRDefault="00A92182" w:rsidP="00A92182">
      <w:pPr>
        <w:jc w:val="both"/>
      </w:pPr>
      <w:r>
        <w:rPr>
          <w:i/>
        </w:rPr>
        <w:t>e)</w:t>
      </w:r>
      <w:r>
        <w:t xml:space="preserve"> Rohrleitungen, die:</w:t>
      </w:r>
    </w:p>
    <w:p w:rsidR="00A92182" w:rsidRPr="00D655FE" w:rsidRDefault="00A92182" w:rsidP="00A92182">
      <w:pPr>
        <w:jc w:val="both"/>
      </w:pPr>
      <w:r>
        <w:rPr>
          <w:i/>
        </w:rPr>
        <w:t>i</w:t>
      </w:r>
      <w:r>
        <w:t>) Gase, Flüssiggase und Dämpfe der Gruppe 1 enthalten, mit:</w:t>
      </w:r>
    </w:p>
    <w:p w:rsidR="00A92182" w:rsidRPr="00AA7682" w:rsidRDefault="00064D1D" w:rsidP="00A92182">
      <w:pPr>
        <w:jc w:val="both"/>
        <w:rPr>
          <w:lang w:val="da-DK"/>
        </w:rPr>
      </w:pPr>
      <w:r w:rsidRPr="00AA7682">
        <w:rPr>
          <w:lang w:val="da-DK"/>
        </w:rPr>
        <w:t>I) PS ≤ 4 bar;</w:t>
      </w:r>
    </w:p>
    <w:p w:rsidR="00A92182" w:rsidRPr="00AA7682" w:rsidRDefault="00A92182" w:rsidP="00A92182">
      <w:pPr>
        <w:jc w:val="both"/>
        <w:rPr>
          <w:lang w:val="da-DK"/>
        </w:rPr>
      </w:pPr>
      <w:r w:rsidRPr="00AA7682">
        <w:rPr>
          <w:lang w:val="da-DK"/>
        </w:rPr>
        <w:t>II) PS × DN ≤ 2000 bar;</w:t>
      </w:r>
    </w:p>
    <w:p w:rsidR="00A92182" w:rsidRPr="00D655FE" w:rsidRDefault="00A92182" w:rsidP="00A92182">
      <w:pPr>
        <w:jc w:val="both"/>
      </w:pPr>
      <w:r>
        <w:t>III) DN ≤ 32;</w:t>
      </w:r>
    </w:p>
    <w:p w:rsidR="00A92182" w:rsidRPr="00D655FE" w:rsidRDefault="00A92182" w:rsidP="00A92182">
      <w:pPr>
        <w:jc w:val="both"/>
      </w:pPr>
      <w:r>
        <w:rPr>
          <w:i/>
        </w:rPr>
        <w:t>ii</w:t>
      </w:r>
      <w:r>
        <w:t>) Flüssigkeiten der Gruppe 1 enthalten, mit:</w:t>
      </w:r>
    </w:p>
    <w:p w:rsidR="00A92182" w:rsidRPr="00AA7682" w:rsidRDefault="00A92182" w:rsidP="00A92182">
      <w:pPr>
        <w:jc w:val="both"/>
        <w:rPr>
          <w:lang w:val="da-DK"/>
        </w:rPr>
      </w:pPr>
      <w:r w:rsidRPr="00AA7682">
        <w:rPr>
          <w:lang w:val="da-DK"/>
        </w:rPr>
        <w:t>I) PS ≤ 4 bar;</w:t>
      </w:r>
    </w:p>
    <w:p w:rsidR="00A92182" w:rsidRPr="00AA7682" w:rsidRDefault="00A92182" w:rsidP="00A92182">
      <w:pPr>
        <w:jc w:val="both"/>
        <w:rPr>
          <w:lang w:val="da-DK"/>
        </w:rPr>
      </w:pPr>
      <w:r w:rsidRPr="00AA7682">
        <w:rPr>
          <w:lang w:val="da-DK"/>
        </w:rPr>
        <w:t>II) PS × DN ≤ 2000 bar;</w:t>
      </w:r>
    </w:p>
    <w:p w:rsidR="00A92182" w:rsidRPr="00D655FE" w:rsidRDefault="00A92182" w:rsidP="00A92182">
      <w:pPr>
        <w:jc w:val="both"/>
      </w:pPr>
      <w:r>
        <w:t>III) DN ≤ 50;</w:t>
      </w:r>
    </w:p>
    <w:p w:rsidR="00A92182" w:rsidRPr="00D655FE" w:rsidRDefault="00A92182" w:rsidP="00A92182">
      <w:pPr>
        <w:jc w:val="both"/>
      </w:pPr>
      <w:r>
        <w:rPr>
          <w:i/>
        </w:rPr>
        <w:t>iii</w:t>
      </w:r>
      <w:r>
        <w:t>) Gase, Flüssiggase und Dämpfe der Gruppe 2 enthalten, mit:</w:t>
      </w:r>
    </w:p>
    <w:p w:rsidR="00A92182" w:rsidRPr="00AA7682" w:rsidRDefault="00A92182" w:rsidP="00A92182">
      <w:pPr>
        <w:jc w:val="both"/>
        <w:rPr>
          <w:lang w:val="da-DK"/>
        </w:rPr>
      </w:pPr>
      <w:r w:rsidRPr="00AA7682">
        <w:rPr>
          <w:lang w:val="da-DK"/>
        </w:rPr>
        <w:t>I) PS ≤ 4 bar;</w:t>
      </w:r>
    </w:p>
    <w:p w:rsidR="00A92182" w:rsidRPr="00AA7682" w:rsidRDefault="00A92182" w:rsidP="00A92182">
      <w:pPr>
        <w:jc w:val="both"/>
        <w:rPr>
          <w:lang w:val="da-DK"/>
        </w:rPr>
      </w:pPr>
      <w:r w:rsidRPr="00AA7682">
        <w:rPr>
          <w:lang w:val="da-DK"/>
        </w:rPr>
        <w:t>II) PS × DN ≤ 5000 bar;</w:t>
      </w:r>
    </w:p>
    <w:p w:rsidR="00A92182" w:rsidRPr="00D655FE" w:rsidRDefault="00A92182" w:rsidP="00A92182">
      <w:pPr>
        <w:jc w:val="both"/>
      </w:pPr>
      <w:r>
        <w:t>III) DN ≤ 100;</w:t>
      </w:r>
    </w:p>
    <w:p w:rsidR="00A92182" w:rsidRPr="00D655FE" w:rsidRDefault="00A92182" w:rsidP="00A92182">
      <w:pPr>
        <w:jc w:val="both"/>
      </w:pPr>
      <w:r>
        <w:rPr>
          <w:i/>
        </w:rPr>
        <w:t>iv</w:t>
      </w:r>
      <w:r>
        <w:t>) Flüssigkeiten der Gruppe 2 enthalten.</w:t>
      </w:r>
    </w:p>
    <w:p w:rsidR="00A92182" w:rsidRPr="00D655FE" w:rsidRDefault="00051524" w:rsidP="00A92182">
      <w:pPr>
        <w:jc w:val="both"/>
      </w:pPr>
      <w:r>
        <w:t>4. Des Weiteren sind folgende Vorrichtungen vom Anwendungsbereich der vorliegenden Verordnung ausgeschlossen:</w:t>
      </w:r>
    </w:p>
    <w:p w:rsidR="00A92182" w:rsidRPr="00D655FE" w:rsidRDefault="00A92182" w:rsidP="00A92182">
      <w:pPr>
        <w:jc w:val="both"/>
      </w:pPr>
      <w:r>
        <w:rPr>
          <w:i/>
        </w:rPr>
        <w:t>a)</w:t>
      </w:r>
      <w:r>
        <w:t xml:space="preserve"> Rohrleitungen und sonstige Vorrichtungen, für die eine eigene Gesetzgebung gilt;</w:t>
      </w:r>
    </w:p>
    <w:p w:rsidR="00A92182" w:rsidRPr="00D655FE" w:rsidRDefault="00A92182" w:rsidP="00A92182">
      <w:pPr>
        <w:jc w:val="both"/>
      </w:pPr>
      <w:r>
        <w:t>b) Rohrleitungen zur Verbindung mit anderen Anlagen, die als äußerste Isoliervorrichtung in der Anlagenperipherie gelten.</w:t>
      </w:r>
    </w:p>
    <w:p w:rsidR="00547B14" w:rsidRPr="00D655FE" w:rsidRDefault="00547B14" w:rsidP="00481368">
      <w:pPr>
        <w:keepNext/>
        <w:jc w:val="center"/>
      </w:pPr>
      <w:r>
        <w:t>Artikel 3</w:t>
      </w:r>
    </w:p>
    <w:p w:rsidR="00547B14" w:rsidRPr="00D655FE" w:rsidRDefault="00547B14" w:rsidP="00481368">
      <w:pPr>
        <w:keepNext/>
        <w:jc w:val="center"/>
        <w:rPr>
          <w:b/>
        </w:rPr>
      </w:pPr>
      <w:r>
        <w:rPr>
          <w:b/>
        </w:rPr>
        <w:t>Begriffsbestimmungen</w:t>
      </w:r>
    </w:p>
    <w:p w:rsidR="00A92182" w:rsidRPr="00D655FE" w:rsidRDefault="00E51ACC" w:rsidP="00A92182">
      <w:pPr>
        <w:jc w:val="both"/>
      </w:pPr>
      <w:r>
        <w:t>Für diese Verordnung gelten die Begriffsbestimmungen nach Artikel 3 des Gesetzesdekrets Nr. 111-D/2017 vom 31. August und des Gesetzesdekrets Nr. 37/2017 vom 29. März sowie folgende Begriffsbestimmungen:</w:t>
      </w:r>
    </w:p>
    <w:p w:rsidR="00A92182" w:rsidRPr="00D655FE" w:rsidRDefault="00A92182" w:rsidP="00A92182">
      <w:pPr>
        <w:jc w:val="both"/>
      </w:pPr>
      <w:r>
        <w:rPr>
          <w:i/>
        </w:rPr>
        <w:t>a</w:t>
      </w:r>
      <w:r>
        <w:t>) Als „Unfall“ wird jeder Zwischenfall angesehen, bei dem Personen oder Sachen zu Schaden kommen und der durch eine kriminelle Handlung, eine Funktionsstörung, eine Zerstörung der Anlage, eine mangelhafte Installation oder Verpackung bzw. durch eine unsachgemäße Nutzung des Behälters oder Geräts und seiner Vorrichtungen verursacht wird;</w:t>
      </w:r>
    </w:p>
    <w:p w:rsidR="00A92182" w:rsidRPr="00D655FE" w:rsidRDefault="00A92182" w:rsidP="00A92182">
      <w:pPr>
        <w:jc w:val="both"/>
      </w:pPr>
      <w:r>
        <w:rPr>
          <w:i/>
        </w:rPr>
        <w:t>b</w:t>
      </w:r>
      <w:r>
        <w:t>) Als „Änderungen“ an einem Druckgerät gelten Änderungen, die darauf abzielen, die Bedingungen für Betrieb, Einbau oder Leistung zu ändern;</w:t>
      </w:r>
    </w:p>
    <w:p w:rsidR="00A92182" w:rsidRPr="00D655FE" w:rsidRDefault="00A92182" w:rsidP="00A92182">
      <w:pPr>
        <w:jc w:val="both"/>
      </w:pPr>
      <w:r>
        <w:rPr>
          <w:i/>
        </w:rPr>
        <w:lastRenderedPageBreak/>
        <w:t>c</w:t>
      </w:r>
      <w:r>
        <w:t>) Als „Warmfluidkessel“ gelten Wärmeerzeuger, in denen das Übertragungsfluid eine Flüssigkeit, jedoch kein Wasser ist, wobei der Dampfdruck bei maximaler Manteltemperatur unter dem Atmosphärendruck liegt;</w:t>
      </w:r>
    </w:p>
    <w:p w:rsidR="00A92182" w:rsidRPr="00D655FE" w:rsidRDefault="00A92182" w:rsidP="00A92182">
      <w:pPr>
        <w:jc w:val="both"/>
      </w:pPr>
      <w:r>
        <w:rPr>
          <w:i/>
        </w:rPr>
        <w:t>d</w:t>
      </w:r>
      <w:r>
        <w:t>) „Baugruppen“ sind mehrere Druckgeräte, die von einem Hersteller zu einer zusammenhängenden funktionalen Einheit verbunden werden;</w:t>
      </w:r>
    </w:p>
    <w:p w:rsidR="00CC7646" w:rsidRPr="00D655FE" w:rsidRDefault="00CC7646" w:rsidP="00A92182">
      <w:pPr>
        <w:jc w:val="both"/>
      </w:pPr>
      <w:r>
        <w:rPr>
          <w:i/>
        </w:rPr>
        <w:t>e)</w:t>
      </w:r>
      <w:r>
        <w:t xml:space="preserve"> Eine „Prozessbaugruppe“ ist eine Druckgerätebaugruppe mit den zugehörigen isolierbaren oder nicht isolierbaren Verbindungsrohrleitungen, die dasselbe Fluid oder unterschiedliche Fluide enthalten, deren anzuwendende Anforderungen in einer eigenen ITC festgelegt sind;</w:t>
      </w:r>
    </w:p>
    <w:p w:rsidR="00A92182" w:rsidRPr="00D655FE" w:rsidRDefault="00E21449" w:rsidP="00A92182">
      <w:pPr>
        <w:jc w:val="both"/>
      </w:pPr>
      <w:r>
        <w:rPr>
          <w:i/>
        </w:rPr>
        <w:t>f</w:t>
      </w:r>
      <w:r>
        <w:t>) Eine „Gerätefamilie“ sind Druckgeräte, die dasselbe Fluid bzw. Fluide mit ähnlichen Eigenschaften enthalten und ähnlichen technischen Einbaubedingungen entsprechen, bzw. Druckgeräte, die so konzipiert wurden, dass sie dauerhaft miteinander verbunden sind;</w:t>
      </w:r>
    </w:p>
    <w:p w:rsidR="00A92182" w:rsidRPr="00D655FE" w:rsidRDefault="00E21449" w:rsidP="00A92182">
      <w:pPr>
        <w:jc w:val="both"/>
      </w:pPr>
      <w:r>
        <w:rPr>
          <w:i/>
        </w:rPr>
        <w:t>g</w:t>
      </w:r>
      <w:r>
        <w:t>) „Fluide“ sind Gase, Flüssigkeiten oder Dämpfe als reine Phase sowie ihre Gemische, die eine Suspension von Feststoffen enthalten können, die in Übereinstimmung mit den Absätzen g und h unbeschadet einer abweichenden ITC-Klassifizierung entsprechend eingestuft werden;</w:t>
      </w:r>
    </w:p>
    <w:p w:rsidR="00A92182" w:rsidRPr="00D655FE" w:rsidRDefault="00E21449" w:rsidP="00A92182">
      <w:pPr>
        <w:pStyle w:val="CM4"/>
        <w:spacing w:before="60" w:after="60" w:line="276" w:lineRule="auto"/>
        <w:jc w:val="both"/>
        <w:rPr>
          <w:rFonts w:asciiTheme="minorHAnsi" w:hAnsiTheme="minorHAnsi"/>
          <w:sz w:val="22"/>
          <w:szCs w:val="22"/>
        </w:rPr>
      </w:pPr>
      <w:r>
        <w:rPr>
          <w:rFonts w:asciiTheme="minorHAnsi" w:hAnsiTheme="minorHAnsi"/>
          <w:i/>
          <w:sz w:val="22"/>
          <w:szCs w:val="22"/>
        </w:rPr>
        <w:t>h</w:t>
      </w:r>
      <w:r>
        <w:rPr>
          <w:rFonts w:asciiTheme="minorHAnsi" w:hAnsiTheme="minorHAnsi"/>
          <w:sz w:val="22"/>
          <w:szCs w:val="22"/>
        </w:rPr>
        <w:t xml:space="preserve">) „Fluide der Gruppe 1“ sind Stoffe oder Gemische nach Artikel 2 Absätze 7 und 8 der Verordnung (EG) Nr. 1272/2008, die gemäß den folgenden Klassen für physikalische oder gesundheitliche Gefahren nach Anhang I Teile 2 und 3 der genannten Verordnung als gefährlich eingestuft werden: </w:t>
      </w:r>
    </w:p>
    <w:p w:rsidR="00A92182" w:rsidRPr="00D655FE" w:rsidRDefault="00A92182" w:rsidP="00A92182">
      <w:pPr>
        <w:pStyle w:val="CM4"/>
        <w:spacing w:before="60" w:after="60" w:line="276" w:lineRule="auto"/>
        <w:jc w:val="both"/>
        <w:rPr>
          <w:rFonts w:asciiTheme="minorHAnsi" w:hAnsiTheme="minorHAnsi"/>
          <w:sz w:val="22"/>
          <w:szCs w:val="22"/>
        </w:rPr>
      </w:pPr>
      <w:r>
        <w:rPr>
          <w:rFonts w:asciiTheme="minorHAnsi" w:hAnsiTheme="minorHAnsi"/>
          <w:i/>
          <w:sz w:val="22"/>
          <w:szCs w:val="22"/>
        </w:rPr>
        <w:t>i</w:t>
      </w:r>
      <w:r>
        <w:rPr>
          <w:rFonts w:asciiTheme="minorHAnsi" w:hAnsiTheme="minorHAnsi"/>
          <w:sz w:val="22"/>
          <w:szCs w:val="22"/>
        </w:rPr>
        <w:t xml:space="preserve">) instabile explosive Stoffe/Gemische und explosive Stoffe/Gemische der Unterklassen 1.1, 1.2, 1.3, 1.4 und 1.5; </w:t>
      </w:r>
    </w:p>
    <w:p w:rsidR="00A92182" w:rsidRPr="00D655FE" w:rsidRDefault="00A92182" w:rsidP="00A92182">
      <w:pPr>
        <w:pStyle w:val="CM4"/>
        <w:spacing w:before="60" w:after="60" w:line="276" w:lineRule="auto"/>
        <w:jc w:val="both"/>
        <w:rPr>
          <w:rFonts w:asciiTheme="minorHAnsi" w:hAnsiTheme="minorHAnsi"/>
          <w:sz w:val="22"/>
          <w:szCs w:val="22"/>
        </w:rPr>
      </w:pPr>
      <w:r>
        <w:rPr>
          <w:rFonts w:asciiTheme="minorHAnsi" w:hAnsiTheme="minorHAnsi"/>
          <w:i/>
          <w:sz w:val="22"/>
          <w:szCs w:val="22"/>
        </w:rPr>
        <w:t>ii</w:t>
      </w:r>
      <w:r>
        <w:rPr>
          <w:rFonts w:asciiTheme="minorHAnsi" w:hAnsiTheme="minorHAnsi"/>
          <w:sz w:val="22"/>
          <w:szCs w:val="22"/>
        </w:rPr>
        <w:t xml:space="preserve">) entzündbare Gase der Kategorien 1 und 2; </w:t>
      </w:r>
    </w:p>
    <w:p w:rsidR="00A92182" w:rsidRPr="00D655FE" w:rsidRDefault="00A92182" w:rsidP="00A92182">
      <w:pPr>
        <w:pStyle w:val="CM4"/>
        <w:spacing w:before="60" w:after="60" w:line="276" w:lineRule="auto"/>
        <w:jc w:val="both"/>
        <w:rPr>
          <w:rFonts w:asciiTheme="minorHAnsi" w:hAnsiTheme="minorHAnsi"/>
          <w:sz w:val="22"/>
          <w:szCs w:val="22"/>
        </w:rPr>
      </w:pPr>
      <w:r>
        <w:rPr>
          <w:rFonts w:asciiTheme="minorHAnsi" w:hAnsiTheme="minorHAnsi"/>
          <w:i/>
          <w:sz w:val="22"/>
          <w:szCs w:val="22"/>
        </w:rPr>
        <w:t>iii</w:t>
      </w:r>
      <w:r>
        <w:rPr>
          <w:rFonts w:asciiTheme="minorHAnsi" w:hAnsiTheme="minorHAnsi"/>
          <w:sz w:val="22"/>
          <w:szCs w:val="22"/>
        </w:rPr>
        <w:t xml:space="preserve">) oxidierende Gase der Kategorie 1; </w:t>
      </w:r>
    </w:p>
    <w:p w:rsidR="00A92182" w:rsidRPr="00D655FE" w:rsidRDefault="00A92182" w:rsidP="00A92182">
      <w:pPr>
        <w:pStyle w:val="CM4"/>
        <w:spacing w:before="60" w:after="60" w:line="276" w:lineRule="auto"/>
        <w:jc w:val="both"/>
        <w:rPr>
          <w:rFonts w:asciiTheme="minorHAnsi" w:hAnsiTheme="minorHAnsi"/>
          <w:sz w:val="22"/>
          <w:szCs w:val="22"/>
        </w:rPr>
      </w:pPr>
      <w:r>
        <w:rPr>
          <w:rFonts w:asciiTheme="minorHAnsi" w:hAnsiTheme="minorHAnsi"/>
          <w:i/>
          <w:sz w:val="22"/>
          <w:szCs w:val="22"/>
        </w:rPr>
        <w:t>iv</w:t>
      </w:r>
      <w:r>
        <w:rPr>
          <w:rFonts w:asciiTheme="minorHAnsi" w:hAnsiTheme="minorHAnsi"/>
          <w:sz w:val="22"/>
          <w:szCs w:val="22"/>
        </w:rPr>
        <w:t xml:space="preserve">) entzündbare Flüssigkeiten der Kategorien 1 und 2; </w:t>
      </w:r>
    </w:p>
    <w:p w:rsidR="00A92182" w:rsidRPr="00D655FE" w:rsidRDefault="00A92182" w:rsidP="00A92182">
      <w:pPr>
        <w:pStyle w:val="CM4"/>
        <w:spacing w:before="60" w:after="60" w:line="276" w:lineRule="auto"/>
        <w:jc w:val="both"/>
        <w:rPr>
          <w:rFonts w:asciiTheme="minorHAnsi" w:hAnsiTheme="minorHAnsi"/>
          <w:sz w:val="22"/>
          <w:szCs w:val="22"/>
        </w:rPr>
      </w:pPr>
      <w:r>
        <w:rPr>
          <w:rFonts w:asciiTheme="minorHAnsi" w:hAnsiTheme="minorHAnsi"/>
          <w:i/>
          <w:sz w:val="22"/>
          <w:szCs w:val="22"/>
        </w:rPr>
        <w:t>v</w:t>
      </w:r>
      <w:r>
        <w:rPr>
          <w:rFonts w:asciiTheme="minorHAnsi" w:hAnsiTheme="minorHAnsi"/>
          <w:sz w:val="22"/>
          <w:szCs w:val="22"/>
        </w:rPr>
        <w:t xml:space="preserve">) entzündbare Flüssigkeiten der Kategorie 3, sofern die maximal zulässige Temperatur über dem Flammpunkt liegt; </w:t>
      </w:r>
    </w:p>
    <w:p w:rsidR="00A92182" w:rsidRPr="00D655FE" w:rsidRDefault="00A92182" w:rsidP="00A92182">
      <w:pPr>
        <w:pStyle w:val="CM4"/>
        <w:spacing w:before="60" w:after="60" w:line="276" w:lineRule="auto"/>
        <w:jc w:val="both"/>
        <w:rPr>
          <w:rFonts w:asciiTheme="minorHAnsi" w:hAnsiTheme="minorHAnsi"/>
          <w:sz w:val="22"/>
          <w:szCs w:val="22"/>
        </w:rPr>
      </w:pPr>
      <w:r>
        <w:rPr>
          <w:rFonts w:asciiTheme="minorHAnsi" w:hAnsiTheme="minorHAnsi"/>
          <w:i/>
          <w:sz w:val="22"/>
          <w:szCs w:val="22"/>
        </w:rPr>
        <w:t>vi</w:t>
      </w:r>
      <w:r>
        <w:rPr>
          <w:rFonts w:asciiTheme="minorHAnsi" w:hAnsiTheme="minorHAnsi"/>
          <w:sz w:val="22"/>
          <w:szCs w:val="22"/>
        </w:rPr>
        <w:t xml:space="preserve">) entzündbare Feststoffe der Kategorien 1 und 2; </w:t>
      </w:r>
    </w:p>
    <w:p w:rsidR="00A92182" w:rsidRPr="00D655FE" w:rsidRDefault="00A92182" w:rsidP="00A92182">
      <w:pPr>
        <w:pStyle w:val="CM4"/>
        <w:spacing w:before="60" w:after="60" w:line="276" w:lineRule="auto"/>
        <w:jc w:val="both"/>
        <w:rPr>
          <w:rFonts w:asciiTheme="minorHAnsi" w:hAnsiTheme="minorHAnsi"/>
          <w:sz w:val="22"/>
          <w:szCs w:val="22"/>
        </w:rPr>
      </w:pPr>
      <w:r>
        <w:rPr>
          <w:rFonts w:asciiTheme="minorHAnsi" w:hAnsiTheme="minorHAnsi"/>
          <w:i/>
          <w:sz w:val="22"/>
          <w:szCs w:val="22"/>
        </w:rPr>
        <w:t>vii</w:t>
      </w:r>
      <w:r>
        <w:rPr>
          <w:rFonts w:asciiTheme="minorHAnsi" w:hAnsiTheme="minorHAnsi"/>
          <w:sz w:val="22"/>
          <w:szCs w:val="22"/>
        </w:rPr>
        <w:t xml:space="preserve">) </w:t>
      </w:r>
      <w:proofErr w:type="spellStart"/>
      <w:r>
        <w:rPr>
          <w:rFonts w:asciiTheme="minorHAnsi" w:hAnsiTheme="minorHAnsi"/>
          <w:sz w:val="22"/>
          <w:szCs w:val="22"/>
        </w:rPr>
        <w:t>selbstzersetzliche</w:t>
      </w:r>
      <w:proofErr w:type="spellEnd"/>
      <w:r>
        <w:rPr>
          <w:rFonts w:asciiTheme="minorHAnsi" w:hAnsiTheme="minorHAnsi"/>
          <w:sz w:val="22"/>
          <w:szCs w:val="22"/>
        </w:rPr>
        <w:t xml:space="preserve"> Stoffe oder Gemische der Typen A bis F; </w:t>
      </w:r>
    </w:p>
    <w:p w:rsidR="00A92182" w:rsidRPr="00D655FE" w:rsidRDefault="00A92182" w:rsidP="00A92182">
      <w:pPr>
        <w:pStyle w:val="CM4"/>
        <w:spacing w:before="60" w:after="60" w:line="276" w:lineRule="auto"/>
        <w:jc w:val="both"/>
        <w:rPr>
          <w:rFonts w:asciiTheme="minorHAnsi" w:hAnsiTheme="minorHAnsi"/>
          <w:sz w:val="22"/>
          <w:szCs w:val="22"/>
        </w:rPr>
      </w:pPr>
      <w:r>
        <w:rPr>
          <w:rFonts w:asciiTheme="minorHAnsi" w:hAnsiTheme="minorHAnsi"/>
          <w:i/>
          <w:sz w:val="22"/>
          <w:szCs w:val="22"/>
        </w:rPr>
        <w:t>viii</w:t>
      </w:r>
      <w:r>
        <w:rPr>
          <w:rFonts w:asciiTheme="minorHAnsi" w:hAnsiTheme="minorHAnsi"/>
          <w:sz w:val="22"/>
          <w:szCs w:val="22"/>
        </w:rPr>
        <w:t xml:space="preserve">) pyrophore Flüssigkeiten der Kategorie 1; </w:t>
      </w:r>
    </w:p>
    <w:p w:rsidR="00A92182" w:rsidRPr="00D655FE" w:rsidRDefault="00A92182" w:rsidP="00A92182">
      <w:pPr>
        <w:pStyle w:val="CM4"/>
        <w:spacing w:before="60" w:after="60" w:line="276" w:lineRule="auto"/>
        <w:jc w:val="both"/>
        <w:rPr>
          <w:rFonts w:asciiTheme="minorHAnsi" w:hAnsiTheme="minorHAnsi"/>
          <w:sz w:val="22"/>
          <w:szCs w:val="22"/>
        </w:rPr>
      </w:pPr>
      <w:r>
        <w:rPr>
          <w:rFonts w:asciiTheme="minorHAnsi" w:hAnsiTheme="minorHAnsi"/>
          <w:i/>
          <w:sz w:val="22"/>
          <w:szCs w:val="22"/>
        </w:rPr>
        <w:t>ix</w:t>
      </w:r>
      <w:r>
        <w:rPr>
          <w:rFonts w:asciiTheme="minorHAnsi" w:hAnsiTheme="minorHAnsi"/>
          <w:sz w:val="22"/>
          <w:szCs w:val="22"/>
        </w:rPr>
        <w:t xml:space="preserve">) pyrophore Feststoffe der Kategorie 1; </w:t>
      </w:r>
    </w:p>
    <w:p w:rsidR="00A92182" w:rsidRPr="00D655FE" w:rsidRDefault="00A92182" w:rsidP="00A92182">
      <w:pPr>
        <w:pStyle w:val="CM4"/>
        <w:spacing w:before="60" w:after="60" w:line="276" w:lineRule="auto"/>
        <w:jc w:val="both"/>
        <w:rPr>
          <w:rFonts w:asciiTheme="minorHAnsi" w:hAnsiTheme="minorHAnsi"/>
          <w:sz w:val="22"/>
          <w:szCs w:val="22"/>
        </w:rPr>
      </w:pPr>
      <w:r>
        <w:rPr>
          <w:rFonts w:asciiTheme="minorHAnsi" w:hAnsiTheme="minorHAnsi"/>
          <w:i/>
          <w:sz w:val="22"/>
          <w:szCs w:val="22"/>
        </w:rPr>
        <w:t>x</w:t>
      </w:r>
      <w:r>
        <w:rPr>
          <w:rFonts w:asciiTheme="minorHAnsi" w:hAnsiTheme="minorHAnsi"/>
          <w:sz w:val="22"/>
          <w:szCs w:val="22"/>
        </w:rPr>
        <w:t xml:space="preserve">) Stoffe und Gemische, die bei Berührung mit Wasser entzündbare Gase der Kategorien 1, 2 und 3 entwickeln; </w:t>
      </w:r>
    </w:p>
    <w:p w:rsidR="00A92182" w:rsidRPr="00D655FE" w:rsidRDefault="00A92182" w:rsidP="00A92182">
      <w:pPr>
        <w:pStyle w:val="CM4"/>
        <w:spacing w:before="60" w:after="60" w:line="276" w:lineRule="auto"/>
        <w:jc w:val="both"/>
        <w:rPr>
          <w:rFonts w:asciiTheme="minorHAnsi" w:hAnsiTheme="minorHAnsi"/>
          <w:sz w:val="22"/>
          <w:szCs w:val="22"/>
        </w:rPr>
      </w:pPr>
      <w:r>
        <w:rPr>
          <w:rFonts w:asciiTheme="minorHAnsi" w:hAnsiTheme="minorHAnsi"/>
          <w:i/>
          <w:sz w:val="22"/>
          <w:szCs w:val="22"/>
        </w:rPr>
        <w:t>xi</w:t>
      </w:r>
      <w:r>
        <w:rPr>
          <w:rFonts w:asciiTheme="minorHAnsi" w:hAnsiTheme="minorHAnsi"/>
          <w:sz w:val="22"/>
          <w:szCs w:val="22"/>
        </w:rPr>
        <w:t xml:space="preserve">) oxidierende Flüssigkeiten der Kategorien 1, 2 und 3; </w:t>
      </w:r>
    </w:p>
    <w:p w:rsidR="00A92182" w:rsidRPr="00D655FE" w:rsidRDefault="00A92182" w:rsidP="00A92182">
      <w:pPr>
        <w:pStyle w:val="CM4"/>
        <w:spacing w:before="60" w:after="60" w:line="276" w:lineRule="auto"/>
        <w:jc w:val="both"/>
        <w:rPr>
          <w:rFonts w:asciiTheme="minorHAnsi" w:hAnsiTheme="minorHAnsi"/>
          <w:sz w:val="22"/>
          <w:szCs w:val="22"/>
        </w:rPr>
      </w:pPr>
      <w:r>
        <w:rPr>
          <w:rFonts w:asciiTheme="minorHAnsi" w:hAnsiTheme="minorHAnsi"/>
          <w:i/>
          <w:sz w:val="22"/>
          <w:szCs w:val="22"/>
        </w:rPr>
        <w:t>xii</w:t>
      </w:r>
      <w:r>
        <w:rPr>
          <w:rFonts w:asciiTheme="minorHAnsi" w:hAnsiTheme="minorHAnsi"/>
          <w:sz w:val="22"/>
          <w:szCs w:val="22"/>
        </w:rPr>
        <w:t xml:space="preserve">) oxidierende Feststoffe der Kategorien 1, 2 und 3; </w:t>
      </w:r>
    </w:p>
    <w:p w:rsidR="00A92182" w:rsidRPr="00D655FE" w:rsidRDefault="00A92182" w:rsidP="00A92182">
      <w:pPr>
        <w:pStyle w:val="CM4"/>
        <w:spacing w:before="60" w:after="60" w:line="276" w:lineRule="auto"/>
        <w:jc w:val="both"/>
        <w:rPr>
          <w:rFonts w:asciiTheme="minorHAnsi" w:hAnsiTheme="minorHAnsi"/>
          <w:sz w:val="22"/>
          <w:szCs w:val="22"/>
        </w:rPr>
      </w:pPr>
      <w:r>
        <w:rPr>
          <w:rFonts w:asciiTheme="minorHAnsi" w:hAnsiTheme="minorHAnsi"/>
          <w:i/>
          <w:sz w:val="22"/>
          <w:szCs w:val="22"/>
        </w:rPr>
        <w:t>xiii</w:t>
      </w:r>
      <w:r>
        <w:rPr>
          <w:rFonts w:asciiTheme="minorHAnsi" w:hAnsiTheme="minorHAnsi"/>
          <w:sz w:val="22"/>
          <w:szCs w:val="22"/>
        </w:rPr>
        <w:t xml:space="preserve">) organische Peroxide der Typen A bis F; </w:t>
      </w:r>
    </w:p>
    <w:p w:rsidR="00A92182" w:rsidRPr="00D655FE" w:rsidRDefault="00A92182" w:rsidP="00A92182">
      <w:pPr>
        <w:pStyle w:val="CM4"/>
        <w:spacing w:before="60" w:after="60" w:line="276" w:lineRule="auto"/>
        <w:jc w:val="both"/>
        <w:rPr>
          <w:rFonts w:asciiTheme="minorHAnsi" w:hAnsiTheme="minorHAnsi"/>
          <w:sz w:val="22"/>
          <w:szCs w:val="22"/>
        </w:rPr>
      </w:pPr>
      <w:r>
        <w:rPr>
          <w:rFonts w:asciiTheme="minorHAnsi" w:hAnsiTheme="minorHAnsi"/>
          <w:i/>
          <w:sz w:val="22"/>
          <w:szCs w:val="22"/>
        </w:rPr>
        <w:t>xiv</w:t>
      </w:r>
      <w:r>
        <w:rPr>
          <w:rFonts w:asciiTheme="minorHAnsi" w:hAnsiTheme="minorHAnsi"/>
          <w:sz w:val="22"/>
          <w:szCs w:val="22"/>
        </w:rPr>
        <w:t xml:space="preserve">) akute orale Toxizität der Kategorien 1 und 2; </w:t>
      </w:r>
    </w:p>
    <w:p w:rsidR="00A92182" w:rsidRPr="00D655FE" w:rsidRDefault="00A92182" w:rsidP="00A92182">
      <w:pPr>
        <w:pStyle w:val="CM4"/>
        <w:spacing w:before="60" w:after="60" w:line="276" w:lineRule="auto"/>
        <w:jc w:val="both"/>
        <w:rPr>
          <w:rFonts w:asciiTheme="minorHAnsi" w:hAnsiTheme="minorHAnsi"/>
          <w:sz w:val="22"/>
          <w:szCs w:val="22"/>
        </w:rPr>
      </w:pPr>
      <w:r>
        <w:rPr>
          <w:rFonts w:asciiTheme="minorHAnsi" w:hAnsiTheme="minorHAnsi"/>
          <w:i/>
          <w:sz w:val="22"/>
          <w:szCs w:val="22"/>
        </w:rPr>
        <w:t>xv</w:t>
      </w:r>
      <w:r>
        <w:rPr>
          <w:rFonts w:asciiTheme="minorHAnsi" w:hAnsiTheme="minorHAnsi"/>
          <w:sz w:val="22"/>
          <w:szCs w:val="22"/>
        </w:rPr>
        <w:t xml:space="preserve">) akute dermale Toxizität der Kategorien 1 und 2; </w:t>
      </w:r>
    </w:p>
    <w:p w:rsidR="00A92182" w:rsidRPr="00D655FE" w:rsidRDefault="00AA7682" w:rsidP="00A92182">
      <w:pPr>
        <w:pStyle w:val="CM4"/>
        <w:spacing w:before="60" w:after="60" w:line="276" w:lineRule="auto"/>
        <w:jc w:val="both"/>
        <w:rPr>
          <w:rFonts w:asciiTheme="minorHAnsi" w:hAnsiTheme="minorHAnsi"/>
          <w:sz w:val="22"/>
          <w:szCs w:val="22"/>
        </w:rPr>
      </w:pPr>
      <w:r>
        <w:rPr>
          <w:rFonts w:asciiTheme="minorHAnsi" w:hAnsiTheme="minorHAnsi"/>
          <w:i/>
          <w:sz w:val="22"/>
          <w:szCs w:val="22"/>
        </w:rPr>
        <w:t>x</w:t>
      </w:r>
      <w:r w:rsidR="00A92182">
        <w:rPr>
          <w:rFonts w:asciiTheme="minorHAnsi" w:hAnsiTheme="minorHAnsi"/>
          <w:i/>
          <w:sz w:val="22"/>
          <w:szCs w:val="22"/>
        </w:rPr>
        <w:t>v</w:t>
      </w:r>
      <w:r>
        <w:rPr>
          <w:rFonts w:asciiTheme="minorHAnsi" w:hAnsiTheme="minorHAnsi"/>
          <w:i/>
          <w:sz w:val="22"/>
          <w:szCs w:val="22"/>
        </w:rPr>
        <w:t>i</w:t>
      </w:r>
      <w:r w:rsidR="00A92182">
        <w:rPr>
          <w:rFonts w:asciiTheme="minorHAnsi" w:hAnsiTheme="minorHAnsi"/>
          <w:sz w:val="22"/>
          <w:szCs w:val="22"/>
        </w:rPr>
        <w:t xml:space="preserve">) akute </w:t>
      </w:r>
      <w:proofErr w:type="spellStart"/>
      <w:r w:rsidR="00A92182">
        <w:rPr>
          <w:rFonts w:asciiTheme="minorHAnsi" w:hAnsiTheme="minorHAnsi"/>
          <w:sz w:val="22"/>
          <w:szCs w:val="22"/>
        </w:rPr>
        <w:t>inhalative</w:t>
      </w:r>
      <w:proofErr w:type="spellEnd"/>
      <w:r w:rsidR="00A92182">
        <w:rPr>
          <w:rFonts w:asciiTheme="minorHAnsi" w:hAnsiTheme="minorHAnsi"/>
          <w:sz w:val="22"/>
          <w:szCs w:val="22"/>
        </w:rPr>
        <w:t xml:space="preserve"> Toxizität der Kategorien 1, 2 und 3; </w:t>
      </w:r>
    </w:p>
    <w:p w:rsidR="00A92182" w:rsidRPr="00D655FE" w:rsidRDefault="00A92182" w:rsidP="00A92182">
      <w:pPr>
        <w:pStyle w:val="CM4"/>
        <w:spacing w:before="60" w:after="60" w:line="276" w:lineRule="auto"/>
        <w:jc w:val="both"/>
        <w:rPr>
          <w:rFonts w:asciiTheme="minorHAnsi" w:hAnsiTheme="minorHAnsi"/>
          <w:sz w:val="22"/>
          <w:szCs w:val="22"/>
        </w:rPr>
      </w:pPr>
      <w:r>
        <w:rPr>
          <w:rFonts w:asciiTheme="minorHAnsi" w:hAnsiTheme="minorHAnsi"/>
          <w:i/>
          <w:sz w:val="22"/>
          <w:szCs w:val="22"/>
        </w:rPr>
        <w:t>xvii</w:t>
      </w:r>
      <w:r>
        <w:rPr>
          <w:rFonts w:asciiTheme="minorHAnsi" w:hAnsiTheme="minorHAnsi"/>
          <w:sz w:val="22"/>
          <w:szCs w:val="22"/>
        </w:rPr>
        <w:t>) spezifische Zielorgan-Toxizität – einmalige Exposition – der Kategorie 1;</w:t>
      </w:r>
    </w:p>
    <w:p w:rsidR="00A92182" w:rsidRPr="00D655FE" w:rsidRDefault="00A92182" w:rsidP="00A92182">
      <w:pPr>
        <w:pStyle w:val="CM4"/>
        <w:spacing w:after="200" w:line="276" w:lineRule="auto"/>
        <w:jc w:val="both"/>
        <w:rPr>
          <w:rFonts w:asciiTheme="minorHAnsi" w:hAnsiTheme="minorHAnsi"/>
          <w:sz w:val="22"/>
          <w:szCs w:val="22"/>
        </w:rPr>
      </w:pPr>
      <w:r>
        <w:rPr>
          <w:rFonts w:asciiTheme="minorHAnsi" w:hAnsiTheme="minorHAnsi"/>
          <w:sz w:val="22"/>
          <w:szCs w:val="22"/>
        </w:rPr>
        <w:t xml:space="preserve">Gruppe 1 umfasst zudem Stoffe und Gemische in Druckgeräten mit einer maximal zulässigen Temperatur (TS), die über dem Flammpunkt des </w:t>
      </w:r>
      <w:proofErr w:type="spellStart"/>
      <w:r>
        <w:rPr>
          <w:rFonts w:asciiTheme="minorHAnsi" w:hAnsiTheme="minorHAnsi"/>
          <w:sz w:val="22"/>
          <w:szCs w:val="22"/>
        </w:rPr>
        <w:t>Fluids</w:t>
      </w:r>
      <w:proofErr w:type="spellEnd"/>
      <w:r>
        <w:rPr>
          <w:rFonts w:asciiTheme="minorHAnsi" w:hAnsiTheme="minorHAnsi"/>
          <w:sz w:val="22"/>
          <w:szCs w:val="22"/>
        </w:rPr>
        <w:t xml:space="preserve"> liegt;</w:t>
      </w:r>
    </w:p>
    <w:p w:rsidR="00C15A0D" w:rsidRPr="00D655FE" w:rsidRDefault="00E21449" w:rsidP="00C15A0D">
      <w:pPr>
        <w:pStyle w:val="CommentText"/>
        <w:jc w:val="both"/>
        <w:rPr>
          <w:sz w:val="22"/>
          <w:szCs w:val="22"/>
        </w:rPr>
      </w:pPr>
      <w:r>
        <w:rPr>
          <w:i/>
          <w:sz w:val="22"/>
          <w:szCs w:val="22"/>
        </w:rPr>
        <w:lastRenderedPageBreak/>
        <w:t>i</w:t>
      </w:r>
      <w:r>
        <w:rPr>
          <w:sz w:val="22"/>
          <w:szCs w:val="22"/>
        </w:rPr>
        <w:t>) „Fluide der Gruppe 2“ sind alle Stoffe und Gemische, die nicht unter Buchstabe g aufgeführt sind;</w:t>
      </w:r>
    </w:p>
    <w:p w:rsidR="00C15A0D" w:rsidRPr="00D655FE" w:rsidRDefault="00E21449" w:rsidP="00C15A0D">
      <w:pPr>
        <w:jc w:val="both"/>
      </w:pPr>
      <w:r>
        <w:rPr>
          <w:i/>
        </w:rPr>
        <w:t>j</w:t>
      </w:r>
      <w:r>
        <w:t>) „Warmwassererzeuger“ sind befeuerte oder anderweitig beheizte, überhitzungsgefährdete Druckgeräte mit einer Wassertemperatur bis 110 °C;</w:t>
      </w:r>
    </w:p>
    <w:p w:rsidR="00C15A0D" w:rsidRPr="00D655FE" w:rsidRDefault="00E21449" w:rsidP="00C15A0D">
      <w:pPr>
        <w:jc w:val="both"/>
      </w:pPr>
      <w:r>
        <w:rPr>
          <w:i/>
        </w:rPr>
        <w:t>k</w:t>
      </w:r>
      <w:r>
        <w:t>) „Heißwassererzeuger“ sind befeuerte oder anderweitig beheizte überhitzungsgefährdete Druckgeräte mit einer Temperatur von mehr als 110 °C, ein Fall, der bei Dampferzeugervorwärmern eintreten kann;</w:t>
      </w:r>
    </w:p>
    <w:p w:rsidR="00C15A0D" w:rsidRPr="00D655FE" w:rsidRDefault="00E21449" w:rsidP="00C15A0D">
      <w:pPr>
        <w:jc w:val="both"/>
      </w:pPr>
      <w:r>
        <w:rPr>
          <w:i/>
        </w:rPr>
        <w:t>l</w:t>
      </w:r>
      <w:r>
        <w:t>) „Dampferzeuger“ sind befeuerte oder anderweitig beheizte überhitzungsgefährdete Druckgeräte zur Erzeugung von Wasserdampf;</w:t>
      </w:r>
    </w:p>
    <w:p w:rsidR="00C15A0D" w:rsidRPr="00D655FE" w:rsidRDefault="00E21449" w:rsidP="00C15A0D">
      <w:pPr>
        <w:jc w:val="both"/>
      </w:pPr>
      <w:r>
        <w:rPr>
          <w:i/>
        </w:rPr>
        <w:t>m</w:t>
      </w:r>
      <w:r>
        <w:t>) Eine „risikobasierte Inspektion“ erfolgt an Prozessbaugruppen, deren Prüfverfahren (Häufigkeit, Detailgrad und ergänzende Prüfungen) auf Risikobewertungs- und -</w:t>
      </w:r>
      <w:proofErr w:type="spellStart"/>
      <w:r>
        <w:t>steuerungsprozessen</w:t>
      </w:r>
      <w:proofErr w:type="spellEnd"/>
      <w:r>
        <w:t xml:space="preserve"> basieren, wobei die anerkannten branchenspezifischen Normendokumente zu berücksichtigen sind (z. B. API RP 580), insbesondere für die chemische und petrochemische Industrie;</w:t>
      </w:r>
    </w:p>
    <w:p w:rsidR="00AD7032" w:rsidRPr="00D655FE" w:rsidRDefault="00E21449" w:rsidP="00C15A0D">
      <w:pPr>
        <w:jc w:val="both"/>
      </w:pPr>
      <w:r>
        <w:rPr>
          <w:i/>
        </w:rPr>
        <w:t>n</w:t>
      </w:r>
      <w:r>
        <w:t>) „Inspektionsstellen“ sind nach Artikel 20 Stellen, die für die Inspektionsarbeiten nach Artikel 21 dieser Verordnung zugelassen sind;</w:t>
      </w:r>
    </w:p>
    <w:p w:rsidR="00C15A0D" w:rsidRPr="00D655FE" w:rsidRDefault="00E21449" w:rsidP="00C15A0D">
      <w:pPr>
        <w:jc w:val="both"/>
      </w:pPr>
      <w:r>
        <w:rPr>
          <w:i/>
        </w:rPr>
        <w:t>o</w:t>
      </w:r>
      <w:r>
        <w:t>) Die „Nennleistung“ ist die maximale Nutzleistungszahl, die der an das Transportmedium übertragenen Wärme entspricht und in kW angegeben wird;</w:t>
      </w:r>
    </w:p>
    <w:p w:rsidR="00C15A0D" w:rsidRPr="00D655FE" w:rsidRDefault="00E21449" w:rsidP="00C15A0D">
      <w:pPr>
        <w:jc w:val="both"/>
      </w:pPr>
      <w:r>
        <w:rPr>
          <w:i/>
        </w:rPr>
        <w:t>p</w:t>
      </w:r>
      <w:r>
        <w:t>) „Reparaturen“ sind alle Arbeiten einschließlich Schweißarbeiten und Anwendung sonstiger Konstruktionsverfahren an Komponenten, die unter Druck stehen, bzw. an Komponenten, die die Sicherheit des Druckbehälters oder Druckgeräts beeinflussen und zu keiner Änderung der Bedingungen für Betrieb, Einbau oder Leistung führen;</w:t>
      </w:r>
    </w:p>
    <w:p w:rsidR="00C15A0D" w:rsidRPr="00D655FE" w:rsidRDefault="00E21449" w:rsidP="00C15A0D">
      <w:pPr>
        <w:jc w:val="both"/>
      </w:pPr>
      <w:r>
        <w:rPr>
          <w:i/>
        </w:rPr>
        <w:t>q</w:t>
      </w:r>
      <w:r>
        <w:t xml:space="preserve">) „Importierte Behälter oder Geräte“ sind Behälter oder Geräte, die aus Drittländern stammen und deren Herstellung nach den Bestimmungen des Gesetzesdekrets Nr. 37/2017 vom 29. März bzw. des Gesetzesdekrets Nr. 111-D/2017 vom 31. August durch die </w:t>
      </w:r>
      <w:proofErr w:type="spellStart"/>
      <w:r>
        <w:t>notifizierte</w:t>
      </w:r>
      <w:proofErr w:type="spellEnd"/>
      <w:r>
        <w:t xml:space="preserve"> Stelle anerkannt ist;</w:t>
      </w:r>
    </w:p>
    <w:p w:rsidR="00C15A0D" w:rsidRPr="00D655FE" w:rsidRDefault="00274062" w:rsidP="00C15A0D">
      <w:pPr>
        <w:jc w:val="both"/>
      </w:pPr>
      <w:r>
        <w:rPr>
          <w:i/>
        </w:rPr>
        <w:t>r</w:t>
      </w:r>
      <w:r>
        <w:t>) „Bewegliche Behälter oder Geräte“ sind Behälter oder Geräte, die aufgrund der Art ihres Einsatzes nicht fest eingebaut sind und innerhalb der Anlage oder zwischen Anlagen bewegt werden können;</w:t>
      </w:r>
    </w:p>
    <w:p w:rsidR="00C15A0D" w:rsidRPr="00D655FE" w:rsidRDefault="00274062" w:rsidP="00C15A0D">
      <w:pPr>
        <w:jc w:val="both"/>
      </w:pPr>
      <w:r>
        <w:rPr>
          <w:i/>
        </w:rPr>
        <w:t>s</w:t>
      </w:r>
      <w:r>
        <w:t>) „Gebrauchte Behälter oder Geräte“ sind Behälter oder Geräte, die bereits in Betrieb genommen wurden oder, wenn sie nicht betrieben werden, vor mehr als sechs Jahren gefertigt wurden;</w:t>
      </w:r>
    </w:p>
    <w:p w:rsidR="00D25C02" w:rsidRPr="00D655FE" w:rsidRDefault="00274062" w:rsidP="00C15A0D">
      <w:pPr>
        <w:jc w:val="both"/>
      </w:pPr>
      <w:r>
        <w:rPr>
          <w:i/>
        </w:rPr>
        <w:t>t</w:t>
      </w:r>
      <w:r>
        <w:t>) „Gesetzlich bevollmächtigte Nutzer“ sind natürliche oder juristische Personen, die nicht Eigentümer des Behälters oder Geräts sind, diesen bzw. dieses mit der schriftlichen Genehmigung des Eigentümers nutzen und zu Zulassungszwecken die entsprechenden gesetzlichen Pflichten übernehmen können;</w:t>
      </w:r>
    </w:p>
    <w:p w:rsidR="00C15A0D" w:rsidRPr="00D655FE" w:rsidRDefault="00274062" w:rsidP="00C15A0D">
      <w:pPr>
        <w:jc w:val="both"/>
      </w:pPr>
      <w:r>
        <w:rPr>
          <w:i/>
        </w:rPr>
        <w:t>u</w:t>
      </w:r>
      <w:r>
        <w:t>) Eine „Besichtigung“ ist die Überprüfung eines Behälters oder Geräts oder einer Anlage durch das IPQ, I.P. auf Konformität mit den Bestimmungen dieser Verordnung und den entsprechenden ITC.</w:t>
      </w:r>
    </w:p>
    <w:p w:rsidR="00F7096E" w:rsidRPr="00D655FE" w:rsidRDefault="00F7096E" w:rsidP="005745C0">
      <w:pPr>
        <w:keepNext/>
        <w:jc w:val="center"/>
      </w:pPr>
      <w:r>
        <w:lastRenderedPageBreak/>
        <w:t>KAPITEL II</w:t>
      </w:r>
    </w:p>
    <w:p w:rsidR="00DD10A1" w:rsidRPr="00D655FE" w:rsidRDefault="00DD10A1" w:rsidP="005745C0">
      <w:pPr>
        <w:keepNext/>
        <w:jc w:val="center"/>
        <w:rPr>
          <w:b/>
        </w:rPr>
      </w:pPr>
      <w:r>
        <w:rPr>
          <w:b/>
        </w:rPr>
        <w:t>Neubewertung der Konformität</w:t>
      </w:r>
    </w:p>
    <w:p w:rsidR="00F7096E" w:rsidRPr="00D655FE" w:rsidRDefault="00DD10A1" w:rsidP="005745C0">
      <w:pPr>
        <w:keepNext/>
        <w:jc w:val="center"/>
      </w:pPr>
      <w:r>
        <w:t xml:space="preserve">Artikel 4 </w:t>
      </w:r>
    </w:p>
    <w:p w:rsidR="00F7096E" w:rsidRPr="00D655FE" w:rsidRDefault="00F7096E" w:rsidP="005745C0">
      <w:pPr>
        <w:keepNext/>
        <w:jc w:val="center"/>
        <w:rPr>
          <w:b/>
        </w:rPr>
      </w:pPr>
      <w:r>
        <w:rPr>
          <w:b/>
        </w:rPr>
        <w:t>Neubewertung der Konformität</w:t>
      </w:r>
    </w:p>
    <w:p w:rsidR="00AF3316" w:rsidRPr="00D655FE" w:rsidRDefault="00F7096E" w:rsidP="00F7096E">
      <w:pPr>
        <w:jc w:val="both"/>
      </w:pPr>
      <w:r>
        <w:t>1. Die Neubewertung der Konformität dient dazu, die Tauglichkeit importierter gebrauchter Behälter oder Geräte oder gebrauchter Behälter oder Geräte unbekannter Herkunft unter Berücksichtigung bestimmter Werte für PS, Volumen und Betriebsbedingungen zu überprüfen.</w:t>
      </w:r>
    </w:p>
    <w:p w:rsidR="00FA474C" w:rsidRPr="00D655FE" w:rsidRDefault="00FA474C" w:rsidP="00F7096E">
      <w:pPr>
        <w:jc w:val="both"/>
      </w:pPr>
      <w:r>
        <w:t>2. Für die Neubewertung der Konformität ist eine Inspektion nach Artikel 21 dieser Verordnung durch eine Inspektionsstelle unter Berücksichtigung der Konformitätserklärung oder Herstellungsbescheinigung des Behälters oder Geräts, seines Hintergrunds und des Sicherheitsniveaus nach Gesetzesdekret Nr. 37/2017 vom 29. März bzw. Gesetzesdekret Nr. 111-D/2017 vom 31. August erforderlich.</w:t>
      </w:r>
    </w:p>
    <w:p w:rsidR="00F7096E" w:rsidRPr="00D655FE" w:rsidRDefault="00FA474C" w:rsidP="00F7096E">
      <w:pPr>
        <w:jc w:val="both"/>
      </w:pPr>
      <w:r>
        <w:t>3. Nach einer Inspektion mit positivem Ergebnis beantragt der Eigentümer beim IPQ, I.P. die Neubewertung der Konformität des Behälters oder Geräts mit den Informationen und Dokumenten nach Anhang I.</w:t>
      </w:r>
    </w:p>
    <w:p w:rsidR="00F7096E" w:rsidRPr="00D655FE" w:rsidRDefault="00FA474C" w:rsidP="00F7096E">
      <w:pPr>
        <w:jc w:val="both"/>
      </w:pPr>
      <w:r>
        <w:t xml:space="preserve">4. Fehlen glaubwürdige Nachweise zu Bemessung, Konfiguration und Leistung des Behälters oder Geräts, muss ein für die Neuberechnung und zukünftige Risikoanalysen geeigneter technischer Entwurf vorgelegt werden. </w:t>
      </w:r>
    </w:p>
    <w:p w:rsidR="00F7096E" w:rsidRPr="00D655FE" w:rsidRDefault="00FA474C" w:rsidP="00F7096E">
      <w:pPr>
        <w:jc w:val="both"/>
      </w:pPr>
      <w:r>
        <w:t>5. Die Entscheidung über die Neubewertung der Konformität des Behälters oder Geräts wird dem Eigentümer innerhalb einer Frist von 15 Tagen mitgeteilt. Bei positiver Entscheidung wird eine Konformitätsbescheinigung ausgestellt, die die Informationen nach Anhang II enthält.</w:t>
      </w:r>
    </w:p>
    <w:p w:rsidR="002726B2" w:rsidRPr="00D655FE" w:rsidRDefault="00424D56" w:rsidP="002726B2">
      <w:pPr>
        <w:jc w:val="both"/>
      </w:pPr>
      <w:r>
        <w:t>6. Nach Abschluss des Verfahrens zur Neubewertung der Konformität und der Ausstellung der entsprechenden Konformitätsbescheinigung für den Behälter oder das Gerät kann das Zulassungsverfahren nach den Bestimmungen des folgenden Kapitels eingeleitet werden.</w:t>
      </w:r>
    </w:p>
    <w:p w:rsidR="00042583" w:rsidRPr="00D655FE" w:rsidRDefault="004F466B" w:rsidP="005745C0">
      <w:pPr>
        <w:keepNext/>
        <w:jc w:val="center"/>
      </w:pPr>
      <w:r>
        <w:t>KAPITEL III</w:t>
      </w:r>
    </w:p>
    <w:p w:rsidR="00042583" w:rsidRPr="00D655FE" w:rsidRDefault="000B4458" w:rsidP="005745C0">
      <w:pPr>
        <w:keepNext/>
        <w:jc w:val="center"/>
        <w:rPr>
          <w:b/>
        </w:rPr>
      </w:pPr>
      <w:r>
        <w:rPr>
          <w:b/>
        </w:rPr>
        <w:t xml:space="preserve">Zulassung </w:t>
      </w:r>
    </w:p>
    <w:p w:rsidR="00447BEC" w:rsidRPr="00D655FE" w:rsidRDefault="00447BEC" w:rsidP="005745C0">
      <w:pPr>
        <w:keepNext/>
        <w:jc w:val="center"/>
      </w:pPr>
      <w:r>
        <w:t>ABSCHNITT I</w:t>
      </w:r>
    </w:p>
    <w:p w:rsidR="00447BEC" w:rsidRPr="00D655FE" w:rsidRDefault="002726B2" w:rsidP="005745C0">
      <w:pPr>
        <w:keepNext/>
        <w:jc w:val="center"/>
        <w:rPr>
          <w:b/>
        </w:rPr>
      </w:pPr>
      <w:r>
        <w:rPr>
          <w:b/>
        </w:rPr>
        <w:t>Gemeinsame Bestimmungen</w:t>
      </w:r>
    </w:p>
    <w:p w:rsidR="00042583" w:rsidRPr="00D655FE" w:rsidRDefault="00225C93" w:rsidP="005745C0">
      <w:pPr>
        <w:keepNext/>
        <w:jc w:val="center"/>
      </w:pPr>
      <w:r>
        <w:t>Artikel 5</w:t>
      </w:r>
    </w:p>
    <w:p w:rsidR="00042583" w:rsidRPr="00D655FE" w:rsidRDefault="00CC5B40" w:rsidP="005745C0">
      <w:pPr>
        <w:keepNext/>
        <w:jc w:val="center"/>
        <w:rPr>
          <w:b/>
        </w:rPr>
      </w:pPr>
      <w:r>
        <w:rPr>
          <w:b/>
        </w:rPr>
        <w:t xml:space="preserve">Allgemeine anwendbare Regeln </w:t>
      </w:r>
    </w:p>
    <w:p w:rsidR="00D8056F" w:rsidRPr="00D655FE" w:rsidRDefault="004F466B" w:rsidP="00042583">
      <w:pPr>
        <w:jc w:val="both"/>
      </w:pPr>
      <w:r>
        <w:t>1. Der Zulassungsantrag wird durch den Eigentümer des Behälters oder Geräts oder seinen gesetzlich bevollmächtigten Vertreter gestellt.</w:t>
      </w:r>
    </w:p>
    <w:p w:rsidR="00042583" w:rsidRPr="00D655FE" w:rsidRDefault="004F466B" w:rsidP="00042583">
      <w:pPr>
        <w:jc w:val="both"/>
      </w:pPr>
      <w:r>
        <w:t>2. Für die Zulassung müssen unbeschadet der Maßnahmen, die nach den Festlegungen dieser Verordnung in die ausschließliche Zuständigkeit des IPQ, I.P. fallen, durch die Inspektionsstelle Inspektionen nach den Bestimmungen in Artikel 21 dieser Verordnung durchgeführt werden.</w:t>
      </w:r>
    </w:p>
    <w:p w:rsidR="00042583" w:rsidRPr="00D655FE" w:rsidRDefault="00157A19" w:rsidP="00042583">
      <w:pPr>
        <w:jc w:val="both"/>
      </w:pPr>
      <w:r>
        <w:lastRenderedPageBreak/>
        <w:t>3. Bei Verkauf oder Abtretung des Behälters oder Geräts muss der Eigentümer dem neuen Eigentümer sämtliche Unterlagen zu dem Behälter oder Gerät übergeben.</w:t>
      </w:r>
    </w:p>
    <w:p w:rsidR="004A1076" w:rsidRPr="00D655FE" w:rsidRDefault="00157A19" w:rsidP="008B0CC5">
      <w:pPr>
        <w:jc w:val="both"/>
      </w:pPr>
      <w:r>
        <w:t xml:space="preserve">4. Das IPQ, I.P. kann zur Erleichterung der Entscheidung während des Zulassungsverfahrens Besichtigungen der Anlage durchführen, wobei diese innerhalb der festgelegten Entscheidungsfristen erfolgen müssen. </w:t>
      </w:r>
    </w:p>
    <w:p w:rsidR="008B0CC5" w:rsidRPr="00D655FE" w:rsidRDefault="004A1076" w:rsidP="008B0CC5">
      <w:pPr>
        <w:jc w:val="both"/>
      </w:pPr>
      <w:r>
        <w:t>5. Das IPQ, I.P. kann bei berechtigten Zweifeln, Beschwerden oder Anzeigen zu den Betriebsbedingungen des Behälters oder Geräts Besichtigungen durchführen.</w:t>
      </w:r>
    </w:p>
    <w:p w:rsidR="0028536A" w:rsidRPr="00D655FE" w:rsidRDefault="00FB16FE" w:rsidP="0028536A">
      <w:pPr>
        <w:jc w:val="both"/>
      </w:pPr>
      <w:r>
        <w:t xml:space="preserve">6. Werden objektive Gründe festgestellt, die Mängel der Anlage oder die Verringerung der dauerhaften Leistung des Behälters oder Geräts belegen, kann das IPQ, I.P. die Betriebs- und Anlagenparameter anpassen und z. B. den PS verringern. </w:t>
      </w:r>
    </w:p>
    <w:p w:rsidR="0088739C" w:rsidRPr="00D655FE" w:rsidRDefault="00FB16FE" w:rsidP="0088739C">
      <w:pPr>
        <w:jc w:val="both"/>
      </w:pPr>
      <w:r>
        <w:t>7. Das IPQ, I.P. kann die Betriebsvalidierungen oder -genehmigungen für ungültig erklären, wenn festgestellt wird, dass die Bedingungen des Behälters oder Geräts oder der entsprechenden Anlage nicht den Voraussetzungen entsprechen, unter denen die Validierung oder Genehmigung erfolgt ist.</w:t>
      </w:r>
    </w:p>
    <w:p w:rsidR="00DA01E4" w:rsidRPr="00D655FE" w:rsidRDefault="00225C93" w:rsidP="00481368">
      <w:pPr>
        <w:keepNext/>
        <w:jc w:val="center"/>
      </w:pPr>
      <w:r>
        <w:t>Artikel 6</w:t>
      </w:r>
    </w:p>
    <w:p w:rsidR="0025551C" w:rsidRPr="00D655FE" w:rsidRDefault="0025551C" w:rsidP="00481368">
      <w:pPr>
        <w:keepNext/>
        <w:jc w:val="center"/>
        <w:rPr>
          <w:b/>
        </w:rPr>
      </w:pPr>
      <w:r>
        <w:rPr>
          <w:b/>
        </w:rPr>
        <w:t>Anforderungen an den Einbau</w:t>
      </w:r>
    </w:p>
    <w:p w:rsidR="0025551C" w:rsidRPr="00D655FE" w:rsidRDefault="0025551C" w:rsidP="0025551C">
      <w:pPr>
        <w:jc w:val="both"/>
      </w:pPr>
      <w:r>
        <w:t>1. Der Einbau des Behälters oder Geräts hat so zu erfolgen, dass die Sicherheit von Personen und Sachen und hierbei insbesondere angrenzende Wohnsiedlungen und öffentliche Standorte sowie die Betriebsanlagen des Eigentümers oder Dritter nicht gefährdet werden.</w:t>
      </w:r>
    </w:p>
    <w:p w:rsidR="0025551C" w:rsidRPr="00D655FE" w:rsidRDefault="0025551C" w:rsidP="0025551C">
      <w:pPr>
        <w:jc w:val="both"/>
      </w:pPr>
      <w:r>
        <w:t xml:space="preserve">2. Der Behälter oder das Gerät ist so einzubauen, dass der Beschaffenheit des enthaltenen </w:t>
      </w:r>
      <w:proofErr w:type="spellStart"/>
      <w:r>
        <w:t>Fluids</w:t>
      </w:r>
      <w:proofErr w:type="spellEnd"/>
      <w:r>
        <w:t xml:space="preserve"> sowie den Betriebsbedingungen entsprechend Rechnung getragen wird. Hierfür ist vorzugsweise ein gut belüfteter, ausreichend großer und entsprechend beleuchteter, geschützter Ort zu wählen, der leicht zugänglich ist. Gegebenenfalls vorhandene Türen müssen nach außen öffnen. </w:t>
      </w:r>
    </w:p>
    <w:p w:rsidR="00F50955" w:rsidRPr="00D655FE" w:rsidRDefault="0025551C" w:rsidP="0025551C">
      <w:pPr>
        <w:jc w:val="both"/>
      </w:pPr>
      <w:r>
        <w:t>3. Im Umkreis des Behälters oder Geräts ist ausreichend Platz zur Durchführung der Inspektions- und Wartungsarbeiten vorzuhalten. Als Bezugswert gilt ein Abstand von 1 Meter zu jedem Hindernis, der verringert werden kann, wenn Inspektion und Wartung unter angemessenen Bedingungen erfolgen können.</w:t>
      </w:r>
    </w:p>
    <w:p w:rsidR="0025551C" w:rsidRPr="00D655FE" w:rsidRDefault="0025551C" w:rsidP="0025551C">
      <w:pPr>
        <w:jc w:val="both"/>
      </w:pPr>
      <w:r>
        <w:t>4. Es ist sicherzustellen, dass der Zugang zu dem Behälter oder Gerät nicht durch Rohrleitungen, elektrische Leitungen oder sonstige Anlagenkomponenten behindert wird.</w:t>
      </w:r>
    </w:p>
    <w:p w:rsidR="00DE045C" w:rsidRPr="00D655FE" w:rsidRDefault="00DE045C" w:rsidP="0025551C">
      <w:pPr>
        <w:jc w:val="both"/>
      </w:pPr>
      <w:r>
        <w:t>5. Der Bezugsabstand an der Grundstücksgrenze, zu bewohnten Orten und zu Dritten beträgt unbeschadet der Festlegungen in den ITC 5 Meter. Dieser Abstand kann unter Berücksichtigung des Risikograds und insbesondere des Fluidtyps vergrößert oder aber auf 3 Meter verringert werden, sofern geeignete Zwischenbarrieren nach Absatz 6 dieses Artikels vorhanden sind.</w:t>
      </w:r>
    </w:p>
    <w:p w:rsidR="0025551C" w:rsidRPr="00D655FE" w:rsidRDefault="004D2686" w:rsidP="00AF0CEE">
      <w:pPr>
        <w:jc w:val="both"/>
      </w:pPr>
      <w:r>
        <w:t>6. Zwischenbarrieren müssen unbeschadet der Festlegungen in den ITC von einem in der Ingenieurkammer (</w:t>
      </w:r>
      <w:proofErr w:type="spellStart"/>
      <w:r>
        <w:t>Ordem</w:t>
      </w:r>
      <w:proofErr w:type="spellEnd"/>
      <w:r>
        <w:t xml:space="preserve"> dos </w:t>
      </w:r>
      <w:proofErr w:type="spellStart"/>
      <w:r>
        <w:t>Engenheiros</w:t>
      </w:r>
      <w:proofErr w:type="spellEnd"/>
      <w:r>
        <w:t>) oder Fachingenieurkammer (</w:t>
      </w:r>
      <w:proofErr w:type="spellStart"/>
      <w:r>
        <w:t>Ordem</w:t>
      </w:r>
      <w:proofErr w:type="spellEnd"/>
      <w:r>
        <w:t xml:space="preserve"> dos </w:t>
      </w:r>
      <w:proofErr w:type="spellStart"/>
      <w:r>
        <w:t>Engenheiros</w:t>
      </w:r>
      <w:proofErr w:type="spellEnd"/>
      <w:r>
        <w:t xml:space="preserve"> </w:t>
      </w:r>
      <w:proofErr w:type="spellStart"/>
      <w:r>
        <w:t>Técnicos</w:t>
      </w:r>
      <w:proofErr w:type="spellEnd"/>
      <w:r>
        <w:t xml:space="preserve">) eingetragenen Techniker, der eine Haftungserklärung ausstellt, entworfen und durch die Inspektionsstelle geprüft werden. </w:t>
      </w:r>
    </w:p>
    <w:p w:rsidR="00F50955" w:rsidRPr="00D655FE" w:rsidRDefault="00F50955" w:rsidP="00765BE5">
      <w:pPr>
        <w:jc w:val="both"/>
      </w:pPr>
      <w:r>
        <w:lastRenderedPageBreak/>
        <w:t>7. Bewegliche Behälter oder Geräte müssen in Form einer Halterung für Betrieb und Transport vor eventuellen Stößen geschützt werden.</w:t>
      </w:r>
    </w:p>
    <w:p w:rsidR="008E4BFD" w:rsidRPr="00D655FE" w:rsidRDefault="00E46A83" w:rsidP="00765BE5">
      <w:pPr>
        <w:jc w:val="both"/>
      </w:pPr>
      <w:r>
        <w:t>8. Beim Einbau von Druckgeräten, die durch das verwendete Fluid Explosionen auslösen können, müssen die Gefahrenbereiche nach den Bestimmungen des Gesetzesdekrets Nr. 236/2003 vom 30. September bemessen und gekennzeichnet sein.</w:t>
      </w:r>
    </w:p>
    <w:p w:rsidR="0025551C" w:rsidRPr="00D655FE" w:rsidRDefault="00225C93" w:rsidP="00481368">
      <w:pPr>
        <w:keepNext/>
        <w:jc w:val="center"/>
      </w:pPr>
      <w:r>
        <w:t>Artikel 7</w:t>
      </w:r>
    </w:p>
    <w:p w:rsidR="0025551C" w:rsidRPr="00D655FE" w:rsidRDefault="005A6068" w:rsidP="00481368">
      <w:pPr>
        <w:keepNext/>
        <w:jc w:val="center"/>
        <w:rPr>
          <w:b/>
        </w:rPr>
      </w:pPr>
      <w:r>
        <w:rPr>
          <w:b/>
        </w:rPr>
        <w:t>Sicherheits- und Kontrolleinrichtungen</w:t>
      </w:r>
    </w:p>
    <w:p w:rsidR="0025551C" w:rsidRPr="00D655FE" w:rsidRDefault="0025551C" w:rsidP="0025551C">
      <w:pPr>
        <w:jc w:val="both"/>
      </w:pPr>
      <w:r>
        <w:t>1. Alle Behälter und Geräte sind mit Sicherheits- und Kontrolleinrichtungen auszustatten, mithilfe derer sichergestellt wird, dass die im Rahmen des Entwurfs festgelegten Betriebsparameter eingehalten werden.</w:t>
      </w:r>
    </w:p>
    <w:p w:rsidR="0025551C" w:rsidRPr="00D655FE" w:rsidRDefault="0025551C" w:rsidP="0025551C">
      <w:pPr>
        <w:jc w:val="both"/>
      </w:pPr>
      <w:r>
        <w:t>2. Als unverzichtbare Sicherheitseinrichtungen gelten Sicherheitsventile oder entsprechende Einrichtungen, als unverzichtbare Kontrolleinrichtungen Manometer oder gleichwertige sonstige Druckmessgeräte.</w:t>
      </w:r>
    </w:p>
    <w:p w:rsidR="0025551C" w:rsidRPr="00D655FE" w:rsidRDefault="00F368D1" w:rsidP="00D4047E">
      <w:pPr>
        <w:jc w:val="both"/>
      </w:pPr>
      <w:r>
        <w:t>3. Das Sicherheitsventil muss die Spezifikationen nach dem Gesetzesdekret Nr. 111-D/2017 vom 31. August erfüllen, darunter:</w:t>
      </w:r>
    </w:p>
    <w:p w:rsidR="0025551C" w:rsidRPr="00D655FE" w:rsidRDefault="0025551C" w:rsidP="00D4047E">
      <w:pPr>
        <w:spacing w:after="0"/>
        <w:jc w:val="both"/>
      </w:pPr>
      <w:r>
        <w:t>a) anfänglicher Öffnungsdruck, der nicht über dem PS liegt;</w:t>
      </w:r>
    </w:p>
    <w:p w:rsidR="0025551C" w:rsidRPr="00D655FE" w:rsidRDefault="0025551C" w:rsidP="00D4047E">
      <w:pPr>
        <w:spacing w:after="0"/>
        <w:jc w:val="both"/>
      </w:pPr>
      <w:r>
        <w:t>b) Eignung für das Fluid des Behälters oder Geräts;</w:t>
      </w:r>
    </w:p>
    <w:p w:rsidR="0025551C" w:rsidRPr="00D655FE" w:rsidRDefault="0025551C" w:rsidP="00D4047E">
      <w:pPr>
        <w:spacing w:after="0"/>
        <w:jc w:val="both"/>
      </w:pPr>
      <w:r>
        <w:t>c) Verplombung;</w:t>
      </w:r>
    </w:p>
    <w:p w:rsidR="0025551C" w:rsidRPr="00D655FE" w:rsidRDefault="0025551C" w:rsidP="00D4047E">
      <w:pPr>
        <w:spacing w:after="0"/>
        <w:jc w:val="both"/>
      </w:pPr>
      <w:r>
        <w:t>d) für die den Druck erzeugende Quelle geeigneter Durchfluss;</w:t>
      </w:r>
    </w:p>
    <w:p w:rsidR="0025551C" w:rsidRPr="00D655FE" w:rsidRDefault="0025551C" w:rsidP="00D4047E">
      <w:pPr>
        <w:spacing w:after="0"/>
        <w:jc w:val="both"/>
      </w:pPr>
      <w:r>
        <w:t>e) ordnungsgemäßer Einbau mit Rohraustritt an einem sicheren Ort.</w:t>
      </w:r>
    </w:p>
    <w:p w:rsidR="009A12FF" w:rsidRPr="00D655FE" w:rsidRDefault="009A12FF" w:rsidP="00D4047E">
      <w:pPr>
        <w:spacing w:after="0"/>
        <w:jc w:val="both"/>
      </w:pPr>
    </w:p>
    <w:p w:rsidR="0025551C" w:rsidRPr="00D655FE" w:rsidRDefault="00C72A06" w:rsidP="00D4047E">
      <w:pPr>
        <w:jc w:val="both"/>
      </w:pPr>
      <w:r>
        <w:t xml:space="preserve">4. Die Druckmessgeräte müssen in Form der in den anwendbaren Vorschriften gesetzlich vorgeschriebenen messtechnischen Kontrolle überprüft werden oder, sofern sie nicht unter diese Regelung fallen, durch ein entsprechend zugelassenes Labor geeicht werden. </w:t>
      </w:r>
    </w:p>
    <w:p w:rsidR="0025551C" w:rsidRPr="00D655FE" w:rsidRDefault="0025551C" w:rsidP="00D4047E">
      <w:pPr>
        <w:jc w:val="both"/>
      </w:pPr>
      <w:r>
        <w:t xml:space="preserve">5. Der Bereich des Druckmessgeräts muss das 1,5- bis 2-Fache des PS umfassen und der entsprechende Wert nach Möglichkeit mit einem roten Strich an der Anzeige gekennzeichnet sein, wobei nach der Norm EN 837 eine Bezugsgenauigkeitsklasse von 1,6 gilt. </w:t>
      </w:r>
    </w:p>
    <w:p w:rsidR="00125A30" w:rsidRPr="00D655FE" w:rsidRDefault="00125A30" w:rsidP="00D4047E">
      <w:pPr>
        <w:jc w:val="both"/>
      </w:pPr>
      <w:r>
        <w:t xml:space="preserve">6. Für die Sicherheits- und Kontrolleinrichtungen können weitere nationale, europäische und internationale Vorschriften gelten. </w:t>
      </w:r>
    </w:p>
    <w:p w:rsidR="0025551C" w:rsidRPr="00D655FE" w:rsidRDefault="00125A30" w:rsidP="0025551C">
      <w:pPr>
        <w:jc w:val="both"/>
      </w:pPr>
      <w:r>
        <w:t>7. Sollte dies aufgrund besonderer Bedingungen gerechtfertigt sein, kann das IPQ, I.P. unter Berücksichtigung der Bewertung durch die Inspektionsstelle im Inspektionsbericht auf bestimmte Sicherheits- und Kontrolleinrichtungen verzichten bzw. deren Austausch durch andere Einrichtungen genehmigen.</w:t>
      </w:r>
    </w:p>
    <w:p w:rsidR="0025551C" w:rsidRPr="00D655FE" w:rsidRDefault="0025551C" w:rsidP="005745C0">
      <w:pPr>
        <w:keepNext/>
        <w:jc w:val="center"/>
      </w:pPr>
      <w:r>
        <w:t>Artikel 8</w:t>
      </w:r>
    </w:p>
    <w:p w:rsidR="00DA01E4" w:rsidRPr="00D655FE" w:rsidRDefault="00DA01E4" w:rsidP="005745C0">
      <w:pPr>
        <w:keepNext/>
        <w:jc w:val="center"/>
        <w:rPr>
          <w:b/>
        </w:rPr>
      </w:pPr>
      <w:r>
        <w:rPr>
          <w:b/>
        </w:rPr>
        <w:t>Geräteschild</w:t>
      </w:r>
    </w:p>
    <w:p w:rsidR="00DA01E4" w:rsidRPr="00D655FE" w:rsidRDefault="00DA01E4" w:rsidP="00DA01E4">
      <w:pPr>
        <w:jc w:val="both"/>
      </w:pPr>
      <w:r>
        <w:t xml:space="preserve">1. Zugelassenen Behältern und Geräten wird eine Kennnummer zugeordnet, die über die Nutzungsdauer beibehalten werden muss und auf einem durch das IPQ, I.P. ausgegebenen und </w:t>
      </w:r>
      <w:r>
        <w:lastRenderedPageBreak/>
        <w:t>dauerhaft am Behälter oder Gerät oder einer mit diesem verbundenen Konstruktion befestigten Geräteschild angegeben ist.</w:t>
      </w:r>
    </w:p>
    <w:p w:rsidR="00DA01E4" w:rsidRPr="00D655FE" w:rsidRDefault="00DA01E4" w:rsidP="00DA01E4">
      <w:pPr>
        <w:jc w:val="both"/>
      </w:pPr>
      <w:r>
        <w:t>2. Das IPQ, I.P. vermerkt auf dem Geräteschild das Datum des bei der ersten Betriebsvalidierung oder -genehmigung als gültig erklärten Druckversuchs nach Artikel 23 Absätze 6 und 7 dieser Verordnung.</w:t>
      </w:r>
    </w:p>
    <w:p w:rsidR="001372DB" w:rsidRPr="00D655FE" w:rsidRDefault="00DA01E4" w:rsidP="00DA01E4">
      <w:pPr>
        <w:jc w:val="both"/>
      </w:pPr>
      <w:r>
        <w:t>3. Es ist untersagt, am Behälter oder Gerät andere Schilder anzubringen, es sei denn, es handelt sich hierbei um Angaben zu Geräteeigenschaften oder sonstige gesetzlich geforderte Angaben.</w:t>
      </w:r>
    </w:p>
    <w:p w:rsidR="00B371C9" w:rsidRPr="00D655FE" w:rsidRDefault="00B371C9" w:rsidP="005745C0">
      <w:pPr>
        <w:keepNext/>
        <w:jc w:val="center"/>
      </w:pPr>
      <w:r>
        <w:t>ABSCHNITT II</w:t>
      </w:r>
    </w:p>
    <w:p w:rsidR="00B371C9" w:rsidRPr="00D655FE" w:rsidRDefault="00B371C9" w:rsidP="005745C0">
      <w:pPr>
        <w:keepNext/>
        <w:jc w:val="center"/>
        <w:rPr>
          <w:b/>
        </w:rPr>
      </w:pPr>
      <w:r>
        <w:rPr>
          <w:b/>
        </w:rPr>
        <w:t>Zulassung einfacher Druckbehälter</w:t>
      </w:r>
    </w:p>
    <w:p w:rsidR="009F40BD" w:rsidRPr="00D655FE" w:rsidRDefault="00373B5C" w:rsidP="005745C0">
      <w:pPr>
        <w:keepNext/>
        <w:jc w:val="center"/>
      </w:pPr>
      <w:r>
        <w:t>Artikel 9</w:t>
      </w:r>
    </w:p>
    <w:p w:rsidR="009F40BD" w:rsidRPr="00D655FE" w:rsidRDefault="00E141EF" w:rsidP="005745C0">
      <w:pPr>
        <w:keepNext/>
        <w:jc w:val="center"/>
        <w:rPr>
          <w:b/>
        </w:rPr>
      </w:pPr>
      <w:r>
        <w:rPr>
          <w:b/>
        </w:rPr>
        <w:t>Betriebsanmeldung</w:t>
      </w:r>
    </w:p>
    <w:p w:rsidR="00AA640D" w:rsidRPr="00D655FE" w:rsidRDefault="009F40BD" w:rsidP="00AA640D">
      <w:pPr>
        <w:jc w:val="both"/>
      </w:pPr>
      <w:r>
        <w:t>1. Einfache Druckbehälter müssen für den Betrieb angemeldet werden, um in Betrieb genommen werden zu können, sofern die Inspektionsstelle am Behälter eine Inspektion nach Artikel 21 dieser Verordnung mit positivem Ergebnis durchgeführt hat. Der Antragsteller muss die Betriebsvalidierung innerhalb von 60 Tagen beim IPQ, I.P. beantragen und die in Anhang III aufgeführten Informationen und Dokumente beifügen.</w:t>
      </w:r>
    </w:p>
    <w:p w:rsidR="006E5828" w:rsidRPr="00D655FE" w:rsidRDefault="009B3517" w:rsidP="006E5828">
      <w:pPr>
        <w:jc w:val="both"/>
      </w:pPr>
      <w:r>
        <w:t>2. Bei positiver Entscheidung des IPQ, I.P. wird innerhalb von 15 Tagen die Betriebsvalidierungserklärung gemäß Anhang IV ausgestellt und das Geräteschild für den einfachen Druckbehälter ausgegeben, sofern dieses nicht bereits bereitgestellt wurde.</w:t>
      </w:r>
    </w:p>
    <w:p w:rsidR="00DF6A27" w:rsidRPr="00D655FE" w:rsidRDefault="00EF3F96" w:rsidP="00DF6A27">
      <w:pPr>
        <w:jc w:val="both"/>
      </w:pPr>
      <w:r>
        <w:t>3. Die Betriebsvalidierungserklärung hat eine Gültigkeit von sechs Jahren ab dem Datum der Durchführung des Druckversuchs. Dieser Zeitraum kann aufgrund der Inspektion und/oder aus Sicherheitsgründen verkürzt werden.</w:t>
      </w:r>
    </w:p>
    <w:p w:rsidR="005811C0" w:rsidRPr="00D655FE" w:rsidRDefault="00BD1105" w:rsidP="005811C0">
      <w:pPr>
        <w:jc w:val="both"/>
      </w:pPr>
      <w:r>
        <w:t>4. Für die Verlängerung der Betriebsvalidierung und bei jeder Veränderung des Einbauorts des einfachen Druckbehälters muss eine Inspektion durch die Inspektionsstelle mit positivem Ergebnis erfolgen, und es müssen die in Anhang III aufgeführten Informationen und Dokumente eingereicht werden.</w:t>
      </w:r>
    </w:p>
    <w:p w:rsidR="00BC4DAC" w:rsidRPr="00D655FE" w:rsidRDefault="00C6676D" w:rsidP="00BC4DAC">
      <w:pPr>
        <w:jc w:val="both"/>
      </w:pPr>
      <w:r>
        <w:t>5. Die Einbaubedingungen für einfache Druckbehälter sind in der anwendbaren ITC für Behälter für Luft oder Inertgase unter Druck (Druckluftbehälter) festgelegt.</w:t>
      </w:r>
    </w:p>
    <w:p w:rsidR="00D625B1" w:rsidRPr="00D655FE" w:rsidRDefault="00D625B1" w:rsidP="005745C0">
      <w:pPr>
        <w:keepNext/>
        <w:jc w:val="center"/>
      </w:pPr>
      <w:r>
        <w:t>ABSCHNITT III</w:t>
      </w:r>
    </w:p>
    <w:p w:rsidR="00D625B1" w:rsidRPr="00D655FE" w:rsidRDefault="00D625B1" w:rsidP="005745C0">
      <w:pPr>
        <w:keepNext/>
        <w:jc w:val="center"/>
        <w:rPr>
          <w:b/>
        </w:rPr>
      </w:pPr>
      <w:r>
        <w:rPr>
          <w:b/>
        </w:rPr>
        <w:t>Zulassung von Druckgeräten</w:t>
      </w:r>
    </w:p>
    <w:p w:rsidR="00042583" w:rsidRPr="00D655FE" w:rsidRDefault="009F40BD" w:rsidP="005745C0">
      <w:pPr>
        <w:keepNext/>
        <w:jc w:val="center"/>
      </w:pPr>
      <w:r>
        <w:t>Artikel 10</w:t>
      </w:r>
    </w:p>
    <w:p w:rsidR="00F41DC0" w:rsidRPr="00D655FE" w:rsidRDefault="00CC5B40" w:rsidP="005745C0">
      <w:pPr>
        <w:keepNext/>
        <w:jc w:val="center"/>
        <w:rPr>
          <w:b/>
        </w:rPr>
      </w:pPr>
      <w:bookmarkStart w:id="0" w:name="_GoBack"/>
      <w:bookmarkEnd w:id="0"/>
      <w:r>
        <w:rPr>
          <w:b/>
        </w:rPr>
        <w:t xml:space="preserve">Klassifizierung und Hauptmaßnahmen für die Zulassung </w:t>
      </w:r>
    </w:p>
    <w:p w:rsidR="00F41DC0" w:rsidRPr="00D655FE" w:rsidRDefault="00F41DC0" w:rsidP="00F41DC0">
      <w:pPr>
        <w:jc w:val="both"/>
      </w:pPr>
      <w:r>
        <w:t xml:space="preserve">1. Für die Klassifizierung von Druckgeräten, die sich aus mehreren Kammern zusammensetzen, finden der jeweils höchste PS, die Summe der Volumina der Kammern und die Fluide Berücksichtigung, wobei das Druckgerät entsprechend der einzelnen Kammern in die höchste </w:t>
      </w:r>
      <w:r>
        <w:lastRenderedPageBreak/>
        <w:t>Risikoklasse einzustufen ist. Befinden sich unterschiedliche Fluide in einer Kammer, so erfolgt die Einstufung nach dem Fluid, das die höchste Gefahrenklasse erfordert. In Zweifelsfällen kann das IPQ, I.P. jede Kammer als unabhängiges Druckgerät behandeln.</w:t>
      </w:r>
    </w:p>
    <w:p w:rsidR="00CD48C1" w:rsidRPr="00D655FE" w:rsidRDefault="00F41DC0" w:rsidP="00F41DC0">
      <w:pPr>
        <w:rPr>
          <w:b/>
        </w:rPr>
      </w:pPr>
      <w:r>
        <w:t>2. Die Zulassung der durch diese Verordnung abgedeckten Druckgeräte umfasst die folgenden Maßnahmen:</w:t>
      </w:r>
    </w:p>
    <w:p w:rsidR="00042583" w:rsidRPr="00D655FE" w:rsidRDefault="004F466B" w:rsidP="005440DF">
      <w:pPr>
        <w:spacing w:after="0"/>
        <w:jc w:val="both"/>
      </w:pPr>
      <w:r>
        <w:t>a) Einbaugenehmigung, sofern zutreffend;</w:t>
      </w:r>
    </w:p>
    <w:p w:rsidR="00042583" w:rsidRPr="00D655FE" w:rsidRDefault="005A3A19" w:rsidP="005440DF">
      <w:pPr>
        <w:spacing w:after="0"/>
        <w:jc w:val="both"/>
      </w:pPr>
      <w:r>
        <w:t>b) Betriebsgenehmigung;</w:t>
      </w:r>
    </w:p>
    <w:p w:rsidR="00CF578D" w:rsidRPr="00D655FE" w:rsidRDefault="004F466B" w:rsidP="005440DF">
      <w:pPr>
        <w:spacing w:after="0"/>
        <w:jc w:val="both"/>
      </w:pPr>
      <w:r>
        <w:t>c) Verlängerung der Betriebsgenehmigung.</w:t>
      </w:r>
    </w:p>
    <w:p w:rsidR="005440DF" w:rsidRPr="00D655FE" w:rsidRDefault="005440DF" w:rsidP="005440DF">
      <w:pPr>
        <w:spacing w:after="0"/>
        <w:jc w:val="both"/>
      </w:pPr>
    </w:p>
    <w:p w:rsidR="000A35AD" w:rsidRPr="00D655FE" w:rsidRDefault="00232282" w:rsidP="000A35AD">
      <w:pPr>
        <w:jc w:val="both"/>
      </w:pPr>
      <w:r>
        <w:t xml:space="preserve">3. Der Antragsteller muss die Betriebsgenehmigung oder ihre Verlängerung innerhalb von 60 Tagen nach der Inspektion beim IPQ, I.P. beantragen. </w:t>
      </w:r>
    </w:p>
    <w:p w:rsidR="00042583" w:rsidRPr="00D655FE" w:rsidRDefault="00DB6173" w:rsidP="00481368">
      <w:pPr>
        <w:keepNext/>
        <w:jc w:val="center"/>
      </w:pPr>
      <w:r>
        <w:t>Artikel 11</w:t>
      </w:r>
    </w:p>
    <w:p w:rsidR="00042583" w:rsidRPr="00D655FE" w:rsidRDefault="00944D0F" w:rsidP="00481368">
      <w:pPr>
        <w:keepNext/>
        <w:ind w:left="708" w:hanging="708"/>
        <w:jc w:val="center"/>
        <w:rPr>
          <w:b/>
        </w:rPr>
      </w:pPr>
      <w:r>
        <w:rPr>
          <w:b/>
        </w:rPr>
        <w:t>Einbaugenehmigung</w:t>
      </w:r>
    </w:p>
    <w:p w:rsidR="009A12FF" w:rsidRPr="00D655FE" w:rsidRDefault="004F466B" w:rsidP="00042583">
      <w:pPr>
        <w:jc w:val="both"/>
      </w:pPr>
      <w:r>
        <w:t>1. Der Einbaugenehmigungsantrag ist an das IPQ, I.P. zu richten und muss die Informationen und Dokumente nach Anhang V enthalten. Daraufhin wird bei positiver Entscheidung des IPQ, I.P. innerhalb von 30 Tagen eine Genehmigungserklärung ausgestellt.</w:t>
      </w:r>
    </w:p>
    <w:p w:rsidR="00042583" w:rsidRPr="00D655FE" w:rsidRDefault="009A12FF" w:rsidP="00042583">
      <w:pPr>
        <w:jc w:val="both"/>
      </w:pPr>
      <w:r>
        <w:t>2. Der Anlagenentwurf für das Druckgerät muss durch einen in der Ingenieurkammer (</w:t>
      </w:r>
      <w:proofErr w:type="spellStart"/>
      <w:r>
        <w:t>Ordem</w:t>
      </w:r>
      <w:proofErr w:type="spellEnd"/>
      <w:r>
        <w:t xml:space="preserve"> dos </w:t>
      </w:r>
      <w:proofErr w:type="spellStart"/>
      <w:r>
        <w:t>Engenheiros</w:t>
      </w:r>
      <w:proofErr w:type="spellEnd"/>
      <w:r>
        <w:t>) oder Fachingenieurkammer (</w:t>
      </w:r>
      <w:proofErr w:type="spellStart"/>
      <w:r>
        <w:t>Ordem</w:t>
      </w:r>
      <w:proofErr w:type="spellEnd"/>
      <w:r>
        <w:t xml:space="preserve"> dos </w:t>
      </w:r>
      <w:proofErr w:type="spellStart"/>
      <w:r>
        <w:t>Engenheiros</w:t>
      </w:r>
      <w:proofErr w:type="spellEnd"/>
      <w:r>
        <w:t xml:space="preserve"> </w:t>
      </w:r>
      <w:proofErr w:type="spellStart"/>
      <w:r>
        <w:t>Técnicos</w:t>
      </w:r>
      <w:proofErr w:type="spellEnd"/>
      <w:r>
        <w:t>) eingetragenen Techniker erstellt und seine Konformität durch eine Inspektionsstelle bewertet werden.</w:t>
      </w:r>
    </w:p>
    <w:p w:rsidR="00042583" w:rsidRPr="00D655FE" w:rsidRDefault="0088277D" w:rsidP="00042583">
      <w:pPr>
        <w:jc w:val="both"/>
      </w:pPr>
      <w:r>
        <w:t xml:space="preserve">3. Eine erneute Genehmigung nach diesem Artikel ist in allen Fällen erforderlich, in denen sich der Einbauort des Druckgeräts oder seine Lage in der bestehenden Anlage verändert wird. </w:t>
      </w:r>
    </w:p>
    <w:p w:rsidR="000A3085" w:rsidRPr="00D655FE" w:rsidRDefault="003F57A8" w:rsidP="00042583">
      <w:pPr>
        <w:jc w:val="both"/>
      </w:pPr>
      <w:r>
        <w:t>4. Die Druckgeräte nach Anhang VI sind von der Einbaugenehmigung betroffen bzw. befreit.</w:t>
      </w:r>
    </w:p>
    <w:p w:rsidR="00042583" w:rsidRPr="00D655FE" w:rsidRDefault="00441665" w:rsidP="00481368">
      <w:pPr>
        <w:keepNext/>
        <w:jc w:val="center"/>
      </w:pPr>
      <w:r>
        <w:t>Artikel 12</w:t>
      </w:r>
    </w:p>
    <w:p w:rsidR="00042583" w:rsidRPr="00D655FE" w:rsidRDefault="00335DA4" w:rsidP="00481368">
      <w:pPr>
        <w:keepNext/>
        <w:jc w:val="center"/>
        <w:rPr>
          <w:b/>
        </w:rPr>
      </w:pPr>
      <w:r>
        <w:rPr>
          <w:b/>
        </w:rPr>
        <w:t>Betriebsgenehmigung</w:t>
      </w:r>
    </w:p>
    <w:p w:rsidR="009A12FF" w:rsidRPr="00D655FE" w:rsidRDefault="004F466B" w:rsidP="00042583">
      <w:pPr>
        <w:jc w:val="both"/>
      </w:pPr>
      <w:r>
        <w:t>1. Der Betriebsgenehmigungsantrag für das Druckgerät ist an das IPQ, I.P. zu richten und muss die Informationen und Dokumente nach Anhang VII enthalten.</w:t>
      </w:r>
    </w:p>
    <w:p w:rsidR="00343E88" w:rsidRPr="00D655FE" w:rsidRDefault="009A12FF" w:rsidP="00042583">
      <w:pPr>
        <w:jc w:val="both"/>
      </w:pPr>
      <w:r>
        <w:t>2. Für die Betriebsgenehmigung des Druckgeräts ist eine Inspektion zur Tauglichkeit der Anlage und des Druckgeräts nach Artikel 21 dieser Verordnung mit positivem Ergebnis durch die Inspektionsstelle erforderlich.</w:t>
      </w:r>
    </w:p>
    <w:p w:rsidR="00A83AF7" w:rsidRPr="00D655FE" w:rsidRDefault="00343E88" w:rsidP="00042583">
      <w:pPr>
        <w:jc w:val="both"/>
      </w:pPr>
      <w:r>
        <w:t>3. Bei positiver Entscheidung des IPQ, I.P. wird innerhalb von 30 Tagen die Betriebsgenehmigungsbescheinigung nach Anhang VIII ausgestellt und das Geräteschild für das Druckgerät ausgegeben, sofern dieses nicht bereits bereitgestellt wurde.</w:t>
      </w:r>
    </w:p>
    <w:p w:rsidR="00042583" w:rsidRPr="00D655FE" w:rsidRDefault="00343E88" w:rsidP="00042583">
      <w:pPr>
        <w:jc w:val="both"/>
      </w:pPr>
      <w:r>
        <w:t>4. Wird das Druckgerät an einem neuen Ort eingebaut, ist unbeschadet der Bestimmungen in Artikel 4 dieser Verordnung eine neue Betriebsgenehmigung nach den Bestimmungen dieses Artikels erforderlich.</w:t>
      </w:r>
    </w:p>
    <w:p w:rsidR="00343E88" w:rsidRPr="00D655FE" w:rsidRDefault="00343E88" w:rsidP="007349DC">
      <w:pPr>
        <w:jc w:val="both"/>
      </w:pPr>
      <w:r>
        <w:lastRenderedPageBreak/>
        <w:t>5. Die Gültigkeit der Betriebsgenehmigungen erstreckt sich auf die in Anhang IX festgelegten Zeiträume ab dem Datum der Durchführung des Druckversuchs oder gleichwertigen Versuchs. Diese Zeiträume können aufgrund der Inspektion und/oder aus Sicherheitsgründen verkürzt werden.</w:t>
      </w:r>
    </w:p>
    <w:p w:rsidR="00042583" w:rsidRPr="00D655FE" w:rsidRDefault="00116BF3" w:rsidP="00481368">
      <w:pPr>
        <w:keepNext/>
        <w:jc w:val="center"/>
      </w:pPr>
      <w:r>
        <w:t>Artikel 13</w:t>
      </w:r>
    </w:p>
    <w:p w:rsidR="00042583" w:rsidRPr="00D655FE" w:rsidRDefault="00BD0B9C" w:rsidP="00481368">
      <w:pPr>
        <w:keepNext/>
        <w:jc w:val="center"/>
        <w:rPr>
          <w:b/>
        </w:rPr>
      </w:pPr>
      <w:r>
        <w:rPr>
          <w:b/>
        </w:rPr>
        <w:t>Verlängerung der Betriebsgenehmigung</w:t>
      </w:r>
    </w:p>
    <w:p w:rsidR="009A12FF" w:rsidRPr="00D655FE" w:rsidRDefault="00343E88" w:rsidP="00343E88">
      <w:pPr>
        <w:jc w:val="both"/>
      </w:pPr>
      <w:r>
        <w:t>1. Die Verlängerung der Betriebsgenehmigung für Druckgeräte muss 60 Tage vor Ablauf des in der vorhergehenden Genehmigung angegebenen Zeitraums beantragt werden. Dabei sind die Bestimmungen in Artikel 12 dieser Verordnung mit den nötigen Anpassungen anwendbar.</w:t>
      </w:r>
    </w:p>
    <w:p w:rsidR="00343E88" w:rsidRPr="00D655FE" w:rsidRDefault="009A12FF" w:rsidP="00343E88">
      <w:pPr>
        <w:jc w:val="both"/>
      </w:pPr>
      <w:r>
        <w:t>2. Für die Verlängerung der Betriebsgenehmigung des Druckgeräts ist eine Inspektion zur Tauglichkeit der Anlage und des Druckgeräts nach Artikel 21 dieser Verordnung mit positivem Ergebnis durch die Inspektionsstelle erforderlich.</w:t>
      </w:r>
    </w:p>
    <w:p w:rsidR="00042583" w:rsidRPr="00D655FE" w:rsidRDefault="00343E88" w:rsidP="00042583">
      <w:pPr>
        <w:jc w:val="both"/>
      </w:pPr>
      <w:r>
        <w:t>3. Bei positiver Entscheidung des IPQ, I.P. wird innerhalb von 30 Tagen eine Bescheinigung über die Verlängerung der Betriebsgenehmigung nach Anhang VIII ausgestellt.</w:t>
      </w:r>
    </w:p>
    <w:p w:rsidR="00343E88" w:rsidRPr="00D655FE" w:rsidRDefault="00343E88" w:rsidP="005745C0">
      <w:pPr>
        <w:keepNext/>
        <w:jc w:val="center"/>
      </w:pPr>
      <w:r>
        <w:t>ABSCHNITT IV</w:t>
      </w:r>
    </w:p>
    <w:p w:rsidR="00343E88" w:rsidRPr="00D655FE" w:rsidRDefault="00343E88" w:rsidP="005745C0">
      <w:pPr>
        <w:keepNext/>
        <w:jc w:val="center"/>
        <w:rPr>
          <w:b/>
        </w:rPr>
      </w:pPr>
      <w:r>
        <w:rPr>
          <w:b/>
        </w:rPr>
        <w:t>Ergänzende Zulassungsmaßnahmen</w:t>
      </w:r>
    </w:p>
    <w:p w:rsidR="00343E88" w:rsidRPr="00D655FE" w:rsidRDefault="0009020D" w:rsidP="005745C0">
      <w:pPr>
        <w:keepNext/>
        <w:jc w:val="center"/>
      </w:pPr>
      <w:r>
        <w:t>Artikel 14</w:t>
      </w:r>
    </w:p>
    <w:p w:rsidR="00343E88" w:rsidRPr="00D655FE" w:rsidRDefault="009B3974" w:rsidP="005745C0">
      <w:pPr>
        <w:keepNext/>
        <w:jc w:val="center"/>
        <w:rPr>
          <w:b/>
        </w:rPr>
      </w:pPr>
      <w:r>
        <w:rPr>
          <w:b/>
        </w:rPr>
        <w:t>Ergänzende Maßnahmen</w:t>
      </w:r>
    </w:p>
    <w:p w:rsidR="00343E88" w:rsidRPr="00D655FE" w:rsidRDefault="00343E88" w:rsidP="00343E88">
      <w:pPr>
        <w:jc w:val="both"/>
      </w:pPr>
      <w:r>
        <w:t>Es gibt folgende ergänzende Zulassungsmaßnahmen:</w:t>
      </w:r>
    </w:p>
    <w:p w:rsidR="00343E88" w:rsidRPr="00D655FE" w:rsidRDefault="00343E88" w:rsidP="00343E88">
      <w:pPr>
        <w:spacing w:after="0"/>
        <w:jc w:val="both"/>
      </w:pPr>
      <w:r>
        <w:t>a) Randvermerke;</w:t>
      </w:r>
    </w:p>
    <w:p w:rsidR="00343E88" w:rsidRPr="00D655FE" w:rsidRDefault="00343E88" w:rsidP="00343E88">
      <w:pPr>
        <w:spacing w:after="0"/>
        <w:jc w:val="both"/>
      </w:pPr>
      <w:r>
        <w:t>b) Reparaturen und Änderungen;</w:t>
      </w:r>
    </w:p>
    <w:p w:rsidR="00AB3485" w:rsidRPr="00D655FE" w:rsidRDefault="00AB3485" w:rsidP="00343E88">
      <w:pPr>
        <w:spacing w:after="0"/>
        <w:jc w:val="both"/>
      </w:pPr>
      <w:r>
        <w:t>c) Einbau und Betrieb unter vorläufigen Bedingungen;</w:t>
      </w:r>
    </w:p>
    <w:p w:rsidR="00343E88" w:rsidRPr="00D655FE" w:rsidRDefault="00AB3485" w:rsidP="00343E88">
      <w:pPr>
        <w:spacing w:after="0"/>
        <w:jc w:val="both"/>
      </w:pPr>
      <w:r>
        <w:t>d) Änderung der Energiequelle.</w:t>
      </w:r>
    </w:p>
    <w:p w:rsidR="00CE2412" w:rsidRPr="00D655FE" w:rsidRDefault="00CE2412" w:rsidP="00343E88">
      <w:pPr>
        <w:spacing w:after="0"/>
        <w:jc w:val="both"/>
      </w:pPr>
    </w:p>
    <w:p w:rsidR="00343E88" w:rsidRPr="00D655FE" w:rsidRDefault="0009020D" w:rsidP="005745C0">
      <w:pPr>
        <w:keepNext/>
        <w:jc w:val="center"/>
      </w:pPr>
      <w:r>
        <w:t>Artikel 15</w:t>
      </w:r>
    </w:p>
    <w:p w:rsidR="00343E88" w:rsidRPr="00D655FE" w:rsidRDefault="00343E88" w:rsidP="005745C0">
      <w:pPr>
        <w:keepNext/>
        <w:jc w:val="center"/>
        <w:rPr>
          <w:b/>
        </w:rPr>
      </w:pPr>
      <w:r>
        <w:rPr>
          <w:b/>
        </w:rPr>
        <w:t>Randvermerke</w:t>
      </w:r>
    </w:p>
    <w:p w:rsidR="00343E88" w:rsidRPr="00D655FE" w:rsidRDefault="00343E88" w:rsidP="00343E88">
      <w:pPr>
        <w:jc w:val="both"/>
      </w:pPr>
      <w:r>
        <w:t>1. Randvermerke werden in folgenden Fällen gemacht:</w:t>
      </w:r>
    </w:p>
    <w:p w:rsidR="00343E88" w:rsidRPr="00D655FE" w:rsidRDefault="00343E88" w:rsidP="00343E88">
      <w:pPr>
        <w:spacing w:after="0"/>
        <w:jc w:val="both"/>
      </w:pPr>
      <w:r>
        <w:t>a) Änderung der Firmenbezeichnung oder der Inhaberschaft von Behältern oder Geräten unter Beifügung des entsprechenden Nachweises;</w:t>
      </w:r>
    </w:p>
    <w:p w:rsidR="00343E88" w:rsidRPr="00D655FE" w:rsidRDefault="00343E88" w:rsidP="00343E88">
      <w:pPr>
        <w:spacing w:after="0"/>
        <w:jc w:val="both"/>
      </w:pPr>
      <w:r>
        <w:t>b) Änderung des Nutzers des Behälters oder Geräts;</w:t>
      </w:r>
    </w:p>
    <w:p w:rsidR="00343E88" w:rsidRPr="00D655FE" w:rsidRDefault="00343E88" w:rsidP="00343E88">
      <w:pPr>
        <w:spacing w:after="0"/>
        <w:jc w:val="both"/>
      </w:pPr>
      <w:r>
        <w:t xml:space="preserve">c) vorübergehende Aussetzung der Nutzung von Behältern oder Geräten, für die festgestellt wird, dass sie vom Verteilungsnetz für das Fluid getrennt und drucklos ist </w:t>
      </w:r>
    </w:p>
    <w:p w:rsidR="00343E88" w:rsidRPr="00D655FE" w:rsidRDefault="00343E88" w:rsidP="00271A9B">
      <w:pPr>
        <w:spacing w:after="0"/>
        <w:jc w:val="both"/>
      </w:pPr>
      <w:r>
        <w:t xml:space="preserve">d) endgültige </w:t>
      </w:r>
      <w:proofErr w:type="spellStart"/>
      <w:r>
        <w:t>Außerbetriebsetzung</w:t>
      </w:r>
      <w:proofErr w:type="spellEnd"/>
      <w:r>
        <w:t xml:space="preserve"> von Behältern oder Geräten.</w:t>
      </w:r>
    </w:p>
    <w:p w:rsidR="00271A9B" w:rsidRPr="00D655FE" w:rsidRDefault="00271A9B" w:rsidP="00271A9B">
      <w:pPr>
        <w:spacing w:after="0"/>
        <w:jc w:val="both"/>
      </w:pPr>
    </w:p>
    <w:p w:rsidR="001C3641" w:rsidRPr="00D655FE" w:rsidRDefault="001C3641" w:rsidP="00271A9B">
      <w:pPr>
        <w:jc w:val="both"/>
      </w:pPr>
      <w:r>
        <w:t>2. Situationen, in denen nach Bestimmungen des vorhergehenden Absatzes ein Randvermerk erforderlich ist, müssen dem IPQ, I.P. innerhalb von 60 Tagen ab ihrem Eintreten mitgeteilt werden.</w:t>
      </w:r>
    </w:p>
    <w:p w:rsidR="00343E88" w:rsidRPr="00D655FE" w:rsidRDefault="001C3641" w:rsidP="00343E88">
      <w:pPr>
        <w:jc w:val="both"/>
      </w:pPr>
      <w:r>
        <w:lastRenderedPageBreak/>
        <w:t>3. Ist in dem Fall nach Absatz 1 Buchstabe c nach der Aussetzung der Nutzung mehr als ein Jahr verstrichen, muss die Inbetriebnahme des Behälters oder Geräts dem IPQ, I.P. innerhalb von 30 Tagen mitgeteilt werden, wobei die Verlängerung der Betriebsvalidierung oder Betriebsgenehmigung den Bestimmungen nach den Artikeln 9 bzw. 13 dieser Verordnung unterliegt.</w:t>
      </w:r>
    </w:p>
    <w:p w:rsidR="00343E88" w:rsidRPr="00D655FE" w:rsidRDefault="001C3641" w:rsidP="00765BE5">
      <w:pPr>
        <w:jc w:val="both"/>
      </w:pPr>
      <w:r>
        <w:t xml:space="preserve">4. Die endgültige </w:t>
      </w:r>
      <w:proofErr w:type="spellStart"/>
      <w:r>
        <w:t>Außerbetriebsetzung</w:t>
      </w:r>
      <w:proofErr w:type="spellEnd"/>
      <w:r>
        <w:t xml:space="preserve"> hat die Beendigung des Verfahrens zur Folge, mit der das Geräteschild (Registrierplakette) an das IPQ, I.P. zurückzugeben und für die erneute Nutzung des Behälters oder Geräts ein neues Zulassungsverfahren erforderlich ist, dem eine Neubewertung der Konformität mit positivem Ergebnis vorangehen muss.</w:t>
      </w:r>
    </w:p>
    <w:p w:rsidR="00701DF4" w:rsidRPr="00D655FE" w:rsidRDefault="00701DF4" w:rsidP="00481368">
      <w:pPr>
        <w:keepNext/>
        <w:jc w:val="center"/>
      </w:pPr>
      <w:r>
        <w:t>Artikel 16</w:t>
      </w:r>
    </w:p>
    <w:p w:rsidR="009B3974" w:rsidRPr="00D655FE" w:rsidRDefault="009B3974" w:rsidP="00481368">
      <w:pPr>
        <w:keepNext/>
        <w:jc w:val="center"/>
        <w:rPr>
          <w:b/>
        </w:rPr>
      </w:pPr>
      <w:r>
        <w:rPr>
          <w:b/>
        </w:rPr>
        <w:t>Reparaturen und Änderungen</w:t>
      </w:r>
    </w:p>
    <w:p w:rsidR="00701DF4" w:rsidRPr="00D655FE" w:rsidRDefault="00701DF4" w:rsidP="00701DF4">
      <w:pPr>
        <w:jc w:val="both"/>
      </w:pPr>
      <w:r>
        <w:t>1. Einrichtungen, die Reparaturen und Änderungen an Behältern oder Geräten vornehmen, müssen über die nötigen technischen Mittel und qualifiziertes Personal für die Durchführung der in dieser Verordnung vorgesehenen Eingriffe verfügen.</w:t>
      </w:r>
    </w:p>
    <w:p w:rsidR="00701DF4" w:rsidRPr="00D655FE" w:rsidRDefault="00701DF4" w:rsidP="00701DF4">
      <w:pPr>
        <w:jc w:val="both"/>
      </w:pPr>
      <w:r>
        <w:t>2. Änderungen, die vor der Zulassung eines Behälters oder Geräts durchgeführt werden, haben die Neubewertung seiner Konformität nach Artikel 4 dieser Verordnung zur Folge.</w:t>
      </w:r>
    </w:p>
    <w:p w:rsidR="005A30F2" w:rsidRPr="00D655FE" w:rsidRDefault="00B62CBB" w:rsidP="005A30F2">
      <w:pPr>
        <w:jc w:val="both"/>
      </w:pPr>
      <w:r>
        <w:t>3. Für Reparaturen und Änderungen muss ein Entwurf vorliegen, der gemäß den von der Inspektionsstelle validierten Normen oder Vorschriften ausgearbeitet sein muss.</w:t>
      </w:r>
    </w:p>
    <w:p w:rsidR="005A30F2" w:rsidRPr="00D655FE" w:rsidRDefault="00B62CBB" w:rsidP="005A30F2">
      <w:pPr>
        <w:jc w:val="both"/>
      </w:pPr>
      <w:r>
        <w:t>4. Der Entwurf muss gemäß den Bestimmungen in Anhang X durch eine Fachkraft für Maschinenbau ausgearbeitet werden, die ordnungsgemäß in der Ingenieurkammer (</w:t>
      </w:r>
      <w:proofErr w:type="spellStart"/>
      <w:r>
        <w:t>Ordem</w:t>
      </w:r>
      <w:proofErr w:type="spellEnd"/>
      <w:r>
        <w:t xml:space="preserve"> dos </w:t>
      </w:r>
      <w:proofErr w:type="spellStart"/>
      <w:r>
        <w:t>Engenheiros</w:t>
      </w:r>
      <w:proofErr w:type="spellEnd"/>
      <w:r>
        <w:t>) oder Fachingenieurkammer (</w:t>
      </w:r>
      <w:proofErr w:type="spellStart"/>
      <w:r>
        <w:t>Ordem</w:t>
      </w:r>
      <w:proofErr w:type="spellEnd"/>
      <w:r>
        <w:t xml:space="preserve"> dos </w:t>
      </w:r>
      <w:proofErr w:type="spellStart"/>
      <w:r>
        <w:t>Engenheiros</w:t>
      </w:r>
      <w:proofErr w:type="spellEnd"/>
      <w:r>
        <w:t xml:space="preserve"> </w:t>
      </w:r>
      <w:proofErr w:type="spellStart"/>
      <w:r>
        <w:t>Técnicos</w:t>
      </w:r>
      <w:proofErr w:type="spellEnd"/>
      <w:r>
        <w:t>) eingetragen ist.</w:t>
      </w:r>
    </w:p>
    <w:p w:rsidR="005A30F2" w:rsidRPr="00D655FE" w:rsidRDefault="00B62CBB" w:rsidP="005A30F2">
      <w:pPr>
        <w:jc w:val="both"/>
      </w:pPr>
      <w:r>
        <w:t>5. Bei Konformität des Entwurfs teilt die Inspektionsstelle dem Eigentümer oder gesetzlich bevollmächtigten Nutzer die Genehmigung unter Beifügung der in Anhang X aufgeführten Dokumente mit Kopie an das IPQ, I.P. innerhalb von 30 Tagen mit.</w:t>
      </w:r>
    </w:p>
    <w:p w:rsidR="005A30F2" w:rsidRPr="00D655FE" w:rsidRDefault="00B62CBB" w:rsidP="005A30F2">
      <w:pPr>
        <w:jc w:val="both"/>
      </w:pPr>
      <w:r>
        <w:t>6. Reparaturen und Änderungen unterliegen der Genehmigung durch die Inspektionsstelle, die die Maßnahmen und die Umsetzung des entsprechenden Entwurfs überwacht und überprüft, die zerstörungsfreien Prüfungen (</w:t>
      </w:r>
      <w:proofErr w:type="spellStart"/>
      <w:r>
        <w:t>ZfP</w:t>
      </w:r>
      <w:proofErr w:type="spellEnd"/>
      <w:r>
        <w:t>) durchführt oder die durchgeführten Prüfungen validiert und nach Abschluss der Reparatur oder Änderung einen Druckversuch durchführt.</w:t>
      </w:r>
    </w:p>
    <w:p w:rsidR="005A30F2" w:rsidRPr="00D655FE" w:rsidRDefault="00B62CBB" w:rsidP="005A30F2">
      <w:pPr>
        <w:jc w:val="both"/>
      </w:pPr>
      <w:r>
        <w:t>7. Fällt das Ergebnis der für die im vorhergehenden Absatz aufgeführten Punkte durchgeführten Analyse positiv aus, stellt die Inspektionsstelle eine Genehmigungsbescheinigung für die Reparatur oder Änderung aus, der sie den der Entscheidung zugrunde liegenden und nach den Bestimmungen in Anhang X ausgestellten Inspektionsbericht beifügt. Diese Unterlagen werden dem Eigentümer oder gesetzlich bevollmächtigten Nutzer innerhalb von 15 Tagen unter Übermittlung einer Kopie an das IPQ, I.P. übergeben.</w:t>
      </w:r>
    </w:p>
    <w:p w:rsidR="00701DF4" w:rsidRPr="00D655FE" w:rsidRDefault="00701DF4" w:rsidP="00887DA7">
      <w:pPr>
        <w:keepNext/>
        <w:jc w:val="center"/>
      </w:pPr>
      <w:r>
        <w:lastRenderedPageBreak/>
        <w:t>Artikel 17</w:t>
      </w:r>
    </w:p>
    <w:p w:rsidR="00701DF4" w:rsidRPr="00D655FE" w:rsidRDefault="00701DF4" w:rsidP="00887DA7">
      <w:pPr>
        <w:keepNext/>
        <w:jc w:val="center"/>
        <w:rPr>
          <w:b/>
        </w:rPr>
      </w:pPr>
      <w:r>
        <w:rPr>
          <w:b/>
        </w:rPr>
        <w:t>Kleine Reparatur</w:t>
      </w:r>
    </w:p>
    <w:p w:rsidR="00701DF4" w:rsidRPr="00D655FE" w:rsidRDefault="00701DF4" w:rsidP="00701DF4">
      <w:pPr>
        <w:spacing w:after="0"/>
        <w:jc w:val="both"/>
      </w:pPr>
      <w:r>
        <w:t>1. Folgende Reparaturen gelten als kleine Reparaturen:</w:t>
      </w:r>
    </w:p>
    <w:p w:rsidR="00701DF4" w:rsidRPr="00D655FE" w:rsidRDefault="00701DF4" w:rsidP="00701DF4">
      <w:pPr>
        <w:spacing w:after="0"/>
        <w:jc w:val="both"/>
      </w:pPr>
      <w:r>
        <w:t>a) Beseitigung kleiner Risse ohne Komponentenaustausch;</w:t>
      </w:r>
    </w:p>
    <w:p w:rsidR="00701DF4" w:rsidRPr="00D655FE" w:rsidRDefault="00701DF4" w:rsidP="00701DF4">
      <w:pPr>
        <w:spacing w:after="0"/>
        <w:jc w:val="both"/>
      </w:pPr>
      <w:r>
        <w:t>b) einzelner Austausch von Rohren in Dampferzeugern oder Wärmetauschern.</w:t>
      </w:r>
    </w:p>
    <w:p w:rsidR="00701DF4" w:rsidRPr="00D655FE" w:rsidRDefault="00701DF4" w:rsidP="00701DF4">
      <w:pPr>
        <w:spacing w:after="0"/>
        <w:jc w:val="both"/>
      </w:pPr>
    </w:p>
    <w:p w:rsidR="00701DF4" w:rsidRPr="00D655FE" w:rsidRDefault="00701DF4" w:rsidP="00701DF4">
      <w:pPr>
        <w:spacing w:after="0"/>
        <w:jc w:val="both"/>
      </w:pPr>
      <w:r>
        <w:t>2. Kleine Reparaturen sind vom Reparaturentwurf befreit.</w:t>
      </w:r>
    </w:p>
    <w:p w:rsidR="00701DF4" w:rsidRPr="00D655FE" w:rsidRDefault="00701DF4" w:rsidP="00701DF4">
      <w:pPr>
        <w:spacing w:after="0"/>
        <w:jc w:val="both"/>
      </w:pPr>
    </w:p>
    <w:p w:rsidR="00701DF4" w:rsidRPr="00D655FE" w:rsidRDefault="00701DF4" w:rsidP="00701DF4">
      <w:pPr>
        <w:spacing w:after="0"/>
        <w:jc w:val="both"/>
      </w:pPr>
      <w:r>
        <w:t xml:space="preserve">3. Das Konzept der kleinen Reparatur gilt nicht für Druckgeräte, die LPG, Flüssigerdgas (LNG) oder </w:t>
      </w:r>
      <w:proofErr w:type="spellStart"/>
      <w:r>
        <w:t>kryogene</w:t>
      </w:r>
      <w:proofErr w:type="spellEnd"/>
      <w:r>
        <w:t xml:space="preserve"> Flüssiggase enthalten.</w:t>
      </w:r>
    </w:p>
    <w:p w:rsidR="00701DF4" w:rsidRPr="00D655FE" w:rsidRDefault="00701DF4" w:rsidP="00701DF4">
      <w:pPr>
        <w:spacing w:after="0"/>
        <w:jc w:val="both"/>
      </w:pPr>
    </w:p>
    <w:p w:rsidR="00701DF4" w:rsidRPr="00D655FE" w:rsidRDefault="00701DF4" w:rsidP="00701DF4">
      <w:pPr>
        <w:jc w:val="both"/>
      </w:pPr>
      <w:r>
        <w:t>4. Kleine Reparaturen müssen nach den Bestimmungen in Anhang XI durch die Inspektionsstelle genehmigt werden, die bei positiver Entscheidung einen entsprechenden Inspektionsbericht ausstellt, der dem Eigentümer oder gesetzlich bevollmächtigten Nutzer innerhalb von 15 Tagen unter Übermittlung einer Kopie an das IPQ, I.P. übergeben wird.</w:t>
      </w:r>
    </w:p>
    <w:p w:rsidR="00701DF4" w:rsidRPr="00D655FE" w:rsidRDefault="005A30F2" w:rsidP="00701DF4">
      <w:pPr>
        <w:jc w:val="both"/>
      </w:pPr>
      <w:r>
        <w:t>5. Das Konzept der kleinen Reparatur ist auf die Bestimmungen in Absatz 1 des vorhergehenden Artikels anwendbar.</w:t>
      </w:r>
    </w:p>
    <w:p w:rsidR="00AB3485" w:rsidRPr="00D655FE" w:rsidRDefault="005A30F2" w:rsidP="00887DA7">
      <w:pPr>
        <w:keepNext/>
        <w:jc w:val="center"/>
      </w:pPr>
      <w:r>
        <w:t>Artikel 18</w:t>
      </w:r>
    </w:p>
    <w:p w:rsidR="00AB3485" w:rsidRPr="00D655FE" w:rsidRDefault="001B2B09" w:rsidP="00887DA7">
      <w:pPr>
        <w:keepNext/>
        <w:jc w:val="center"/>
        <w:rPr>
          <w:b/>
        </w:rPr>
      </w:pPr>
      <w:r>
        <w:rPr>
          <w:b/>
        </w:rPr>
        <w:t>Einbau und Betrieb unter vorläufigen Bedingungen</w:t>
      </w:r>
    </w:p>
    <w:p w:rsidR="00AB3485" w:rsidRPr="00D655FE" w:rsidRDefault="00AB3485" w:rsidP="00AB3485">
      <w:pPr>
        <w:jc w:val="both"/>
      </w:pPr>
      <w:r>
        <w:t>Der Eigentümer kann zu Wartungs- und Reparaturzwecken oder zur Verstärkung bei einer Bedarfszunahme beim IPQ, I.P. nach den Bestimmungen in Anhang XII nach einer positiv ausfallenden Sonderinspektion durch die Inspektionsstelle Einbau und Betrieb eines Druckgeräts unter vorläufigen Bedingungen für eine Dauer von höchstens 60 Tagen beantragen.</w:t>
      </w:r>
    </w:p>
    <w:p w:rsidR="00701DF4" w:rsidRPr="00D655FE" w:rsidRDefault="00701DF4" w:rsidP="00887DA7">
      <w:pPr>
        <w:keepNext/>
        <w:jc w:val="center"/>
      </w:pPr>
      <w:r>
        <w:t>Artikel 19</w:t>
      </w:r>
    </w:p>
    <w:p w:rsidR="00701DF4" w:rsidRPr="00D655FE" w:rsidRDefault="004C0347" w:rsidP="00887DA7">
      <w:pPr>
        <w:keepNext/>
        <w:jc w:val="center"/>
        <w:rPr>
          <w:b/>
        </w:rPr>
      </w:pPr>
      <w:r>
        <w:rPr>
          <w:b/>
        </w:rPr>
        <w:t>Änderung der Energiequelle</w:t>
      </w:r>
    </w:p>
    <w:p w:rsidR="00701DF4" w:rsidRPr="00D655FE" w:rsidRDefault="00701DF4" w:rsidP="00701DF4">
      <w:pPr>
        <w:jc w:val="both"/>
      </w:pPr>
      <w:r>
        <w:t>1. Soll die Energiequelle für einen Dampferzeuger geändert werden, insbesondere, wenn dies eine Zustandsänderung des Brennstoffs beinhaltet, umfasst der entsprechende Änderungsprozess auch den Dampferzeuger und gleichzusetzende Geräte sowie die Anlage.</w:t>
      </w:r>
    </w:p>
    <w:p w:rsidR="00A25F4F" w:rsidRPr="00D655FE" w:rsidRDefault="00701DF4" w:rsidP="00042583">
      <w:pPr>
        <w:jc w:val="both"/>
      </w:pPr>
      <w:r>
        <w:t>2. Der Antrag auf Genehmigung der Änderung der Energiequelle eines Dampferzeugers und gleichzusetzender Geräte ist nach den Bestimmungen der entsprechenden ITC an das IPQ, I.P. zu richten, das bei positiver Entscheidung innerhalb von 15 Tagen die entsprechende Genehmigung ausstellt.</w:t>
      </w:r>
    </w:p>
    <w:p w:rsidR="006278CC" w:rsidRPr="00D655FE" w:rsidRDefault="0009020D" w:rsidP="005745C0">
      <w:pPr>
        <w:keepNext/>
        <w:jc w:val="center"/>
      </w:pPr>
      <w:r>
        <w:lastRenderedPageBreak/>
        <w:t>KAPITEL IV</w:t>
      </w:r>
    </w:p>
    <w:p w:rsidR="005F7841" w:rsidRPr="00D655FE" w:rsidRDefault="00321EBA" w:rsidP="005745C0">
      <w:pPr>
        <w:keepNext/>
        <w:jc w:val="center"/>
        <w:rPr>
          <w:b/>
        </w:rPr>
      </w:pPr>
      <w:r>
        <w:rPr>
          <w:b/>
        </w:rPr>
        <w:t>Inspektion</w:t>
      </w:r>
    </w:p>
    <w:p w:rsidR="005A30F2" w:rsidRPr="00D655FE" w:rsidRDefault="005A30F2" w:rsidP="005745C0">
      <w:pPr>
        <w:keepNext/>
        <w:jc w:val="center"/>
      </w:pPr>
      <w:r>
        <w:t>ABSCHNITT I</w:t>
      </w:r>
    </w:p>
    <w:p w:rsidR="005A30F2" w:rsidRPr="00D655FE" w:rsidRDefault="005A30F2" w:rsidP="005745C0">
      <w:pPr>
        <w:keepNext/>
        <w:jc w:val="center"/>
        <w:rPr>
          <w:b/>
        </w:rPr>
      </w:pPr>
      <w:r>
        <w:rPr>
          <w:b/>
        </w:rPr>
        <w:t>Inspektionstätigkeiten</w:t>
      </w:r>
    </w:p>
    <w:p w:rsidR="00B81246" w:rsidRPr="00D655FE" w:rsidRDefault="00701DF4" w:rsidP="005745C0">
      <w:pPr>
        <w:keepNext/>
        <w:jc w:val="center"/>
      </w:pPr>
      <w:r>
        <w:t>Artikel 20</w:t>
      </w:r>
    </w:p>
    <w:p w:rsidR="00321EBA" w:rsidRPr="00D655FE" w:rsidRDefault="00321EBA" w:rsidP="005745C0">
      <w:pPr>
        <w:keepNext/>
        <w:jc w:val="center"/>
        <w:rPr>
          <w:b/>
        </w:rPr>
      </w:pPr>
      <w:r>
        <w:rPr>
          <w:b/>
        </w:rPr>
        <w:t>Anforderungen</w:t>
      </w:r>
    </w:p>
    <w:p w:rsidR="0009020D" w:rsidRPr="00D655FE" w:rsidRDefault="00903EA3" w:rsidP="00515C4B">
      <w:pPr>
        <w:jc w:val="both"/>
      </w:pPr>
      <w:r>
        <w:t>1. Die Stellen, die die Inspektionstätigkeiten im Rahmen dieser Verordnung durchführen, müssen nach der Norm NP EN ISO/IEC 17020 durch das portugiesische Zulassungsinstitut (</w:t>
      </w:r>
      <w:proofErr w:type="spellStart"/>
      <w:r>
        <w:t>Instituto</w:t>
      </w:r>
      <w:proofErr w:type="spellEnd"/>
      <w:r>
        <w:t xml:space="preserve"> </w:t>
      </w:r>
      <w:proofErr w:type="spellStart"/>
      <w:r>
        <w:t>Português</w:t>
      </w:r>
      <w:proofErr w:type="spellEnd"/>
      <w:r>
        <w:t xml:space="preserve"> de </w:t>
      </w:r>
      <w:proofErr w:type="spellStart"/>
      <w:r>
        <w:t>Acreditação</w:t>
      </w:r>
      <w:proofErr w:type="spellEnd"/>
      <w:r>
        <w:t>, I.P. (IPAC, I.P.)) oder eine durch dieses anerkannte Stelle zugelassen sein.</w:t>
      </w:r>
    </w:p>
    <w:p w:rsidR="006C664C" w:rsidRPr="00D655FE" w:rsidRDefault="0009020D" w:rsidP="00515C4B">
      <w:pPr>
        <w:jc w:val="both"/>
      </w:pPr>
      <w:r>
        <w:t>2. Das IPAC, I.P. informiert das IPQ, I.P. über Gewährung, Aussetzung und Aufhebung der Zulassung von Inspektionsstellen.</w:t>
      </w:r>
    </w:p>
    <w:p w:rsidR="00A91FAB" w:rsidRPr="00D655FE" w:rsidRDefault="0009020D" w:rsidP="00515C4B">
      <w:pPr>
        <w:jc w:val="both"/>
      </w:pPr>
      <w:r>
        <w:t>3. Das Fachpersonal der Inspektionsstelle muss für die Neubewertung der Konformität unbeschadet der Bestimmungen in Absatz 1 dieses Artikels ergänzend über Kenntnisse und Erfahrungen zu den Konformitätsbewertungsmodulen verfügen, die die Bewertung von Entwurf und Herstellung des Behälters oder Geräts im Rahmen des Gesetzesdekrets Nr. 37/2017 vom 29. März bzw. des Gesetzesdekrets Nr. 111-D/2017 vom 31. August erlauben.</w:t>
      </w:r>
    </w:p>
    <w:p w:rsidR="00515C4B" w:rsidRPr="00D655FE" w:rsidRDefault="0009020D" w:rsidP="00515C4B">
      <w:pPr>
        <w:jc w:val="both"/>
      </w:pPr>
      <w:r>
        <w:t xml:space="preserve">4. Die Inspektionsstelle sowie ihr Fachpersonal dürfen weder direkt noch über einen Vermittler Entwurfs- oder Einbautätigkeiten nachgehen oder an Reparatur- oder Änderungsarbeiten an Behältern oder Geräten oder sonstigen Tätigkeiten beteiligt sein, die mit den Inspektionstätigkeiten nicht vereinbar sind. </w:t>
      </w:r>
    </w:p>
    <w:p w:rsidR="00515C4B" w:rsidRPr="00D655FE" w:rsidRDefault="0009020D" w:rsidP="00903EA3">
      <w:pPr>
        <w:jc w:val="both"/>
      </w:pPr>
      <w:r>
        <w:t>5. Fachpersonal der Inspektionsstelle, das im vorhergehenden Absatz genannte Tätigkeiten ausgeführt hat, darf keine Inspektionen für selbst ausgeführte Tätigkeiten durchführen.</w:t>
      </w:r>
    </w:p>
    <w:p w:rsidR="00A41651" w:rsidRPr="00D655FE" w:rsidRDefault="0009020D" w:rsidP="00A41651">
      <w:pPr>
        <w:jc w:val="both"/>
      </w:pPr>
      <w:r>
        <w:t>6. Die Inspektionsstelle stellt Inspektionsberichte nach den Bestimmungen in Anhang XIII aus und händigt diese dem Antragsteller innerhalb von 15 Tagen aus. Sonderinspektionen sind davon ausgenommen und entsprechende Berichte müssen innerhalb von 5 Tagen ausgestellt werden.</w:t>
      </w:r>
    </w:p>
    <w:p w:rsidR="00A41651" w:rsidRPr="00D655FE" w:rsidRDefault="0009020D" w:rsidP="00A41651">
      <w:pPr>
        <w:jc w:val="both"/>
      </w:pPr>
      <w:r>
        <w:t>7. Die Inspektionsstelle muss die Ergebnisse von Zwischeninspektionen innerhalb von 15 Tagen an das IPQ, I.P. übermitteln.</w:t>
      </w:r>
    </w:p>
    <w:p w:rsidR="00A41651" w:rsidRPr="00D655FE" w:rsidRDefault="0009020D" w:rsidP="00A41651">
      <w:pPr>
        <w:jc w:val="both"/>
      </w:pPr>
      <w:r>
        <w:t>8. Enthält ein Inspektionsbericht ein eindeutig negatives Ergebnis, muss die Inspektionsstelle dies dem IPQ, I.P. innerhalb von 3 Tagen ab dem Tag der Inspektion schriftlich mitteilen.</w:t>
      </w:r>
    </w:p>
    <w:p w:rsidR="00924233" w:rsidRPr="00D655FE" w:rsidRDefault="0009020D" w:rsidP="00903EA3">
      <w:pPr>
        <w:jc w:val="both"/>
      </w:pPr>
      <w:r>
        <w:t>9. Die Inspektionsstelle muss die ausgestellten Inspektionsberichte und die zugehörigen Anhänge mindestens für die Dauer aufbewahren, die für die Durchführung der regelmäßigen Inspektionen der Anlage und des entsprechenden Behälters oder Geräts festgelegt ist.</w:t>
      </w:r>
    </w:p>
    <w:p w:rsidR="008A6268" w:rsidRPr="00D655FE" w:rsidRDefault="00701DF4" w:rsidP="005745C0">
      <w:pPr>
        <w:keepNext/>
        <w:jc w:val="center"/>
      </w:pPr>
      <w:r>
        <w:lastRenderedPageBreak/>
        <w:t>Artikel 21</w:t>
      </w:r>
    </w:p>
    <w:p w:rsidR="00B81246" w:rsidRPr="00D655FE" w:rsidRDefault="00AD7751" w:rsidP="005745C0">
      <w:pPr>
        <w:keepNext/>
        <w:jc w:val="center"/>
        <w:rPr>
          <w:b/>
        </w:rPr>
      </w:pPr>
      <w:r>
        <w:rPr>
          <w:b/>
        </w:rPr>
        <w:t>Inspektionsmaßnahmen</w:t>
      </w:r>
    </w:p>
    <w:p w:rsidR="00B81246" w:rsidRPr="00D655FE" w:rsidRDefault="00415073" w:rsidP="00B81246">
      <w:pPr>
        <w:jc w:val="both"/>
      </w:pPr>
      <w:r>
        <w:t>Die Inspektionsstellen führen im Rahmen dieser Verordnung folgende Inspektionsmaßnahmen aus:</w:t>
      </w:r>
    </w:p>
    <w:p w:rsidR="00415073" w:rsidRPr="00D655FE" w:rsidRDefault="00D0270D" w:rsidP="00B81246">
      <w:pPr>
        <w:jc w:val="both"/>
      </w:pPr>
      <w:r>
        <w:t xml:space="preserve">a) Inspektion zur Neubewertung der Konformität. Diese umfasst einen Druckversuch, eine </w:t>
      </w:r>
      <w:proofErr w:type="spellStart"/>
      <w:r>
        <w:t>ZfP</w:t>
      </w:r>
      <w:proofErr w:type="spellEnd"/>
      <w:r>
        <w:t xml:space="preserve"> und gegebenenfalls eine Neuberechnung, um die Betriebstauglichkeit des Behälters oder Geräts und der zugehörigen Einrichtungen nach den Bestimmungen in Artikel 4 dieser Verordnung zu bewerten;</w:t>
      </w:r>
    </w:p>
    <w:p w:rsidR="00B81246" w:rsidRPr="00D655FE" w:rsidRDefault="00415073" w:rsidP="00B81246">
      <w:pPr>
        <w:jc w:val="both"/>
      </w:pPr>
      <w:r>
        <w:t>b) Erstinspektion zur Überprüfung der Tauglichkeit des Behälters oder Geräts und der Einbaubedingungen zum Zweck der Validierung oder Genehmigung für den Betrieb oder die Änderung der Anlage nach den Bestimmungen in den Artikeln 9 und 12 dieser Verordnung;</w:t>
      </w:r>
    </w:p>
    <w:p w:rsidR="00B81246" w:rsidRPr="00D655FE" w:rsidRDefault="00415073" w:rsidP="00B81246">
      <w:pPr>
        <w:jc w:val="both"/>
      </w:pPr>
      <w:r>
        <w:t>c) Zwischeninspektion zur Überprüfung der Einbau- und Betriebsbedingungen des Behälters oder Geräts sowie der Sicherheits- und Kontrolleinrichtungen in den in Anhang IX festgelegten Zeitabständen;</w:t>
      </w:r>
    </w:p>
    <w:p w:rsidR="00642787" w:rsidRPr="00D655FE" w:rsidRDefault="00415073" w:rsidP="00642787">
      <w:pPr>
        <w:jc w:val="both"/>
      </w:pPr>
      <w:r>
        <w:t>d) Regelmäßige Inspektion zur Überprüfung der Tauglichkeit des Behälters oder Geräts und des Fortbestehens der Einbaubedingungen nach den Bestimmungen in den Artikeln 9 und 13 dieser Verordnung in den in Anhang IX festgelegten Zeitabständen;</w:t>
      </w:r>
    </w:p>
    <w:p w:rsidR="00B81246" w:rsidRPr="00D655FE" w:rsidRDefault="00415073" w:rsidP="00B81246">
      <w:pPr>
        <w:jc w:val="both"/>
      </w:pPr>
      <w:r>
        <w:t>e) Sonderinspektion zur Überprüfung der Tauglichkeit des Behälters oder Geräts und der Sicherheits- und Kontrollanforderungen außerhalb der regulären Inspektionen (Erstinspektion, Zwischeninspektion und regelmäßige Inspektion) auf Antrag des Eigentümers oder gesetzlich bevollmächtigten Nutzers oder des IPQ, I.P.;</w:t>
      </w:r>
    </w:p>
    <w:p w:rsidR="00B81246" w:rsidRPr="00D655FE" w:rsidRDefault="00B81246" w:rsidP="00B81246">
      <w:pPr>
        <w:jc w:val="both"/>
      </w:pPr>
      <w:r>
        <w:t>f) Inspektion von Reparaturen oder Änderungen zur Überprüfung auf Einhaltung von Artikel 16 dieser Verordnung;</w:t>
      </w:r>
    </w:p>
    <w:p w:rsidR="00B81246" w:rsidRPr="00D655FE" w:rsidRDefault="00B81246" w:rsidP="00B81246">
      <w:pPr>
        <w:jc w:val="both"/>
      </w:pPr>
      <w:r>
        <w:t xml:space="preserve">g) Inspektion kleiner Reparaturen zur Überprüfung auf Einhaltung von Artikel 17 dieser Verordnung. </w:t>
      </w:r>
    </w:p>
    <w:p w:rsidR="00B81246" w:rsidRPr="00D655FE" w:rsidRDefault="00B81246" w:rsidP="00B81246">
      <w:pPr>
        <w:jc w:val="both"/>
      </w:pPr>
      <w:r>
        <w:t>h) Risikobasierte Inspektion zur regelmäßigen Überprüfung der Sicherheits- und Betriebsanforderungen von in Prozessbaugruppen integrierten Druckgeräten gemäß dem allgemeinen Inspektionsplan durch dieselbe Inspektionsstelle;</w:t>
      </w:r>
    </w:p>
    <w:p w:rsidR="00CE2412" w:rsidRPr="00D655FE" w:rsidRDefault="00A1795E" w:rsidP="00B81246">
      <w:pPr>
        <w:jc w:val="both"/>
      </w:pPr>
      <w:r>
        <w:t>i) Überprüfung der Konformität des Anlagenentwurfs und Reparatur- oder Änderungsentwurfs nach den Artikeln 11 bzw. 16 dieser Verordnung.</w:t>
      </w:r>
    </w:p>
    <w:p w:rsidR="00F15DC6" w:rsidRPr="00D655FE" w:rsidRDefault="002C10AD" w:rsidP="005745C0">
      <w:pPr>
        <w:keepNext/>
        <w:jc w:val="center"/>
      </w:pPr>
      <w:r>
        <w:lastRenderedPageBreak/>
        <w:t>ABSCHNITT II</w:t>
      </w:r>
    </w:p>
    <w:p w:rsidR="00FE3F50" w:rsidRPr="00D655FE" w:rsidRDefault="00FE3F50" w:rsidP="005745C0">
      <w:pPr>
        <w:keepNext/>
        <w:jc w:val="center"/>
        <w:rPr>
          <w:b/>
        </w:rPr>
      </w:pPr>
      <w:r>
        <w:rPr>
          <w:b/>
        </w:rPr>
        <w:t>Versuche und Prüfungen</w:t>
      </w:r>
    </w:p>
    <w:p w:rsidR="00FE3F50" w:rsidRPr="00D655FE" w:rsidRDefault="00701DF4" w:rsidP="005745C0">
      <w:pPr>
        <w:keepNext/>
        <w:jc w:val="center"/>
      </w:pPr>
      <w:r>
        <w:t>Artikel 22</w:t>
      </w:r>
    </w:p>
    <w:p w:rsidR="00FE3F50" w:rsidRPr="00D655FE" w:rsidRDefault="004577F5" w:rsidP="005745C0">
      <w:pPr>
        <w:keepNext/>
        <w:jc w:val="center"/>
        <w:rPr>
          <w:b/>
        </w:rPr>
      </w:pPr>
      <w:r>
        <w:rPr>
          <w:b/>
        </w:rPr>
        <w:t>Tauglichkeit des Behälters oder Geräts</w:t>
      </w:r>
    </w:p>
    <w:p w:rsidR="00436274" w:rsidRPr="00D655FE" w:rsidRDefault="00436274" w:rsidP="00436274">
      <w:pPr>
        <w:jc w:val="both"/>
      </w:pPr>
      <w:r>
        <w:t>1. Die Bewertung der Tauglichkeit umfasst alle Tätigkeiten, die dazu dienen, zu überprüfen, ob der Behälter oder das Gerät und die zugehörigen Einrichtungen die notwendigen Anforderungen für die Inbetriebnahme oder den fortgesetzten Betrieb erfüllen.</w:t>
      </w:r>
    </w:p>
    <w:p w:rsidR="00436274" w:rsidRPr="00D655FE" w:rsidRDefault="00436274" w:rsidP="00436274">
      <w:pPr>
        <w:jc w:val="both"/>
      </w:pPr>
      <w:r>
        <w:t xml:space="preserve">2. Zur Bewertung der Tauglichkeit des Behälters oder Geräts wird ein Druckversuch durchgeführt, der durch eine </w:t>
      </w:r>
      <w:proofErr w:type="spellStart"/>
      <w:r>
        <w:t>ZfP</w:t>
      </w:r>
      <w:proofErr w:type="spellEnd"/>
      <w:r>
        <w:t xml:space="preserve"> oder sonstige Versuche oder Prüfungen ersetzt oder ergänzt werden kann.</w:t>
      </w:r>
    </w:p>
    <w:p w:rsidR="00FE3F50" w:rsidRPr="00D655FE" w:rsidRDefault="00436274" w:rsidP="00FE3F50">
      <w:pPr>
        <w:jc w:val="both"/>
      </w:pPr>
      <w:r>
        <w:t xml:space="preserve">3. Die in dieser Verordnung genannten Versuche und Prüfungen müssen nach den für die entsprechende Maßnahme anwendbaren Vorschriften oder europäischen und internationalen Normen durchgeführt werden. Die Überprüfung des Druckmessgeräts nach Artikel 7 Absatz 4 dieser Verordnung sowie die </w:t>
      </w:r>
      <w:proofErr w:type="spellStart"/>
      <w:r>
        <w:t>ZfP</w:t>
      </w:r>
      <w:proofErr w:type="spellEnd"/>
      <w:r>
        <w:t xml:space="preserve"> sind davon ausgenommen, die unter der Verantwortung der Inspektionsstelle durchgeführt werden müssen, sofern diese sie nicht selbst durchführt.</w:t>
      </w:r>
    </w:p>
    <w:p w:rsidR="00FE3F50" w:rsidRPr="00D655FE" w:rsidRDefault="00F435C1" w:rsidP="00FE3F50">
      <w:pPr>
        <w:jc w:val="both"/>
      </w:pPr>
      <w:r>
        <w:t>4. Im Sinne dieser Verordnung gelten als Versuche und Prüfungen:</w:t>
      </w:r>
    </w:p>
    <w:p w:rsidR="00FE3F50" w:rsidRPr="00D655FE" w:rsidRDefault="00FE3F50" w:rsidP="00382846">
      <w:pPr>
        <w:spacing w:after="0"/>
        <w:jc w:val="both"/>
      </w:pPr>
      <w:r>
        <w:t>a) der Druckversuch;</w:t>
      </w:r>
    </w:p>
    <w:p w:rsidR="00FE3F50" w:rsidRPr="00D655FE" w:rsidRDefault="00FE3F50" w:rsidP="00382846">
      <w:pPr>
        <w:spacing w:after="0"/>
        <w:jc w:val="both"/>
      </w:pPr>
      <w:r>
        <w:t>b) die Dichtigkeitsprüfung;</w:t>
      </w:r>
    </w:p>
    <w:p w:rsidR="00FE3F50" w:rsidRPr="00D655FE" w:rsidRDefault="00FE3F50" w:rsidP="00382846">
      <w:pPr>
        <w:spacing w:after="0"/>
        <w:jc w:val="both"/>
      </w:pPr>
      <w:r>
        <w:t>c) die Prüfung der Sicherheits- und Kontrolleinrichtungen;</w:t>
      </w:r>
    </w:p>
    <w:p w:rsidR="00FE3F50" w:rsidRPr="00D655FE" w:rsidRDefault="00FE3F50" w:rsidP="0021026E">
      <w:pPr>
        <w:jc w:val="both"/>
      </w:pPr>
      <w:r>
        <w:t xml:space="preserve">d) die </w:t>
      </w:r>
      <w:proofErr w:type="spellStart"/>
      <w:r>
        <w:t>ZfP</w:t>
      </w:r>
      <w:proofErr w:type="spellEnd"/>
      <w:r>
        <w:t xml:space="preserve">. </w:t>
      </w:r>
    </w:p>
    <w:p w:rsidR="00FE3F50" w:rsidRPr="00D655FE" w:rsidRDefault="00F435C1" w:rsidP="009A3A14">
      <w:pPr>
        <w:spacing w:after="0"/>
        <w:jc w:val="both"/>
      </w:pPr>
      <w:r>
        <w:t xml:space="preserve">5. Je nach Behälter- oder Geräteeigenschaften und Einbaubedingungen können ergänzende Versuche oder Prüfungen zu Stabilität und Erdbeben- und Blitzschlagrisiken erforderlich sein. </w:t>
      </w:r>
    </w:p>
    <w:p w:rsidR="00A17725" w:rsidRPr="00D655FE" w:rsidRDefault="00A17725" w:rsidP="0021026E">
      <w:pPr>
        <w:spacing w:after="0"/>
        <w:jc w:val="both"/>
      </w:pPr>
    </w:p>
    <w:p w:rsidR="003E7E59" w:rsidRPr="00D655FE" w:rsidRDefault="00F435C1" w:rsidP="00FE3F50">
      <w:pPr>
        <w:jc w:val="both"/>
      </w:pPr>
      <w:r>
        <w:t>6. Sofern dies aufgrund des Erhaltungszustands oder Alters des Behälters oder Geräts nötig ist, kann die Inspektionsstelle im Rahmen der Inspektionsmaßnahme bei der Bewertung der Tauglichkeit des Behälters oder Geräts eine integrierte Neuberechnung vornehmen.</w:t>
      </w:r>
    </w:p>
    <w:p w:rsidR="00FE3F50" w:rsidRPr="00D655FE" w:rsidRDefault="00701DF4" w:rsidP="005A23E3">
      <w:pPr>
        <w:keepNext/>
        <w:jc w:val="center"/>
      </w:pPr>
      <w:r>
        <w:t>Artikel 23</w:t>
      </w:r>
    </w:p>
    <w:p w:rsidR="00FE3F50" w:rsidRPr="00D655FE" w:rsidRDefault="00FE3F50" w:rsidP="005A23E3">
      <w:pPr>
        <w:keepNext/>
        <w:jc w:val="center"/>
        <w:rPr>
          <w:b/>
        </w:rPr>
      </w:pPr>
      <w:r>
        <w:rPr>
          <w:b/>
        </w:rPr>
        <w:t>Druckversuch</w:t>
      </w:r>
    </w:p>
    <w:p w:rsidR="00135A67" w:rsidRPr="00D655FE" w:rsidRDefault="00135A67" w:rsidP="00135A67">
      <w:pPr>
        <w:jc w:val="both"/>
      </w:pPr>
      <w:r>
        <w:t>1. Sofern in der anwendbaren ITC nichts anderes angegeben ist oder die Herstellungsvorschrift oder -norm keinen anderen Wert für den Druckversuch der Anlage festlegt, muss der Druckversuch hydraulisch und mit einem Druck vom 1,25-Fachen des PS erfolgen.</w:t>
      </w:r>
    </w:p>
    <w:p w:rsidR="00135A67" w:rsidRPr="00D655FE" w:rsidRDefault="00135A67" w:rsidP="00135A67">
      <w:pPr>
        <w:jc w:val="both"/>
      </w:pPr>
      <w:r>
        <w:t>2. Der Druckversuch kann pneumatisch erfolgen, wenn das Druckgerät aufgrund seines Entwurfs oder der Betriebsbedingungen keinerlei Kontakt mit Flüssigkeiten erlaubt, wobei es sich jedoch nicht um ein Gas der Gruppe 1 handeln darf.</w:t>
      </w:r>
    </w:p>
    <w:p w:rsidR="00135A67" w:rsidRPr="00D655FE" w:rsidRDefault="00135A67" w:rsidP="00135A67">
      <w:pPr>
        <w:jc w:val="both"/>
      </w:pPr>
      <w:r>
        <w:t>3. Trifft der im vorhergehenden Absatz genannte Fall zu, muss der Prüfdruck unbeschadet eventueller ergänzender Versuche nach den anwendbaren Vorschriften oder Normen das 1,1-Fache des PS betragen.</w:t>
      </w:r>
    </w:p>
    <w:p w:rsidR="00135A67" w:rsidRPr="00D655FE" w:rsidRDefault="00135A67" w:rsidP="00135A67">
      <w:pPr>
        <w:jc w:val="both"/>
      </w:pPr>
      <w:r>
        <w:lastRenderedPageBreak/>
        <w:t xml:space="preserve">4. Sofern nichts anderes festgelegt ist, muss die Temperatur des </w:t>
      </w:r>
      <w:proofErr w:type="spellStart"/>
      <w:r>
        <w:t>Fluids</w:t>
      </w:r>
      <w:proofErr w:type="spellEnd"/>
      <w:r>
        <w:t xml:space="preserve"> im Behälter oder Gerät während des Druckversuchs zwischen 10 °C und 40 °C liegen. </w:t>
      </w:r>
    </w:p>
    <w:p w:rsidR="002710F2" w:rsidRPr="00D655FE" w:rsidRDefault="00135A67" w:rsidP="002710F2">
      <w:pPr>
        <w:jc w:val="both"/>
      </w:pPr>
      <w:r>
        <w:t xml:space="preserve">5. Unter Berücksichtigung von Einschränkungen des Entwurfs oder der Betriebsbedingungen des Behälters oder Geräts kann beim IPQ, I.P. der Ersatz des Druckversuchs durch einen Inspektions- und Prüfplan beantragt werden, der geeignete </w:t>
      </w:r>
      <w:proofErr w:type="spellStart"/>
      <w:r>
        <w:t>ZfP</w:t>
      </w:r>
      <w:proofErr w:type="spellEnd"/>
      <w:r>
        <w:t xml:space="preserve"> und eine Dichtigkeitsprüfung umfasst und von der Inspektionsstelle auf seine Eignung überprüft werden muss.</w:t>
      </w:r>
    </w:p>
    <w:p w:rsidR="008E5223" w:rsidRPr="00D655FE" w:rsidRDefault="00135A67" w:rsidP="008E5223">
      <w:pPr>
        <w:jc w:val="both"/>
      </w:pPr>
      <w:r>
        <w:t>6. Der zur Neubewertung der Konformität des Behälters oder Geräts durchgeführte Druckversuch für die Anlage wird berücksichtigt, wenn dieser vor weniger als einem Jahr durchgeführt wurde, und unterliegt unter Einbeziehung des Ergebnisses der Erstinspektion der Bewertung durch die Inspektionsstelle.</w:t>
      </w:r>
    </w:p>
    <w:p w:rsidR="00FE3F50" w:rsidRPr="00D655FE" w:rsidRDefault="00135A67" w:rsidP="00FE3F50">
      <w:pPr>
        <w:jc w:val="both"/>
      </w:pPr>
      <w:r>
        <w:t>7. Der bei der Herstellung des Behälters oder Geräts im Rahmen des Gesetzesdekrets Nr. 37/2017 vom 29. März bzw. des Gesetzesdekrets Nr. 111-D/2017 vom 31. August durchgeführte Druckversuch wird für die Anlage berücksichtigt, wenn dieser vor weniger als zwei Jahren durchgeführt wurde, und unterliegt unter Einbeziehung des Ergebnisses der Erstinspektion der Bewertung durch die Inspektionsstelle.</w:t>
      </w:r>
    </w:p>
    <w:p w:rsidR="00A14944" w:rsidRPr="00D655FE" w:rsidRDefault="00135A67" w:rsidP="00A14944">
      <w:pPr>
        <w:jc w:val="both"/>
      </w:pPr>
      <w:r>
        <w:t>8. Der im Fall einer Reparatur oder Änderung des Behälters oder Geräts durchgeführte Druckversuch wird für die Anlage berücksichtigt, wenn dieser vor weniger als einem Jahr durchgeführt wurde, und unterliegt unter Einbeziehung des Ergebnisses der Inspektion nach Artikel 16 dieser Verordnung der Bewertung durch die Inspektionsstelle.</w:t>
      </w:r>
    </w:p>
    <w:p w:rsidR="00B62CBB" w:rsidRPr="00D655FE" w:rsidRDefault="00B62CBB" w:rsidP="00A14944">
      <w:pPr>
        <w:jc w:val="both"/>
      </w:pPr>
      <w:r>
        <w:t>9. Mit Ausnahme der Bestimmungen in Artikel 8 Absatz 2 dieser Verordnung müssen Druckversuche oder vergleichbare Tests von der Inspektionsstelle auf dem Geräteschild (Registrierplakette) vermerkt werden, es sei denn, sie erfolgen für eine Reparatur oder Änderung.</w:t>
      </w:r>
    </w:p>
    <w:p w:rsidR="00FE3F50" w:rsidRPr="00D655FE" w:rsidRDefault="00DB3412" w:rsidP="005A23E3">
      <w:pPr>
        <w:keepNext/>
        <w:jc w:val="center"/>
      </w:pPr>
      <w:r>
        <w:t>Artikel 24</w:t>
      </w:r>
    </w:p>
    <w:p w:rsidR="00FE3F50" w:rsidRPr="00D655FE" w:rsidRDefault="00FE3F50" w:rsidP="005A23E3">
      <w:pPr>
        <w:keepNext/>
        <w:jc w:val="center"/>
        <w:rPr>
          <w:b/>
        </w:rPr>
      </w:pPr>
      <w:r>
        <w:rPr>
          <w:b/>
        </w:rPr>
        <w:t>Dichtigkeitsprüfung</w:t>
      </w:r>
    </w:p>
    <w:p w:rsidR="00FE3F50" w:rsidRPr="00D655FE" w:rsidRDefault="00FE3F50" w:rsidP="00FE3F50">
      <w:pPr>
        <w:jc w:val="both"/>
      </w:pPr>
      <w:r>
        <w:t>1. Die Dichtigkeitsprüfung dient dazu, Leckagen an Anschlüssen, an Zugangsvorrichtungen im Innern des Behälters oder Geräts und an Ventilen aufzudecken.</w:t>
      </w:r>
    </w:p>
    <w:p w:rsidR="00FE3F50" w:rsidRPr="00D655FE" w:rsidRDefault="00FE3F50" w:rsidP="00FE3F50">
      <w:pPr>
        <w:jc w:val="both"/>
      </w:pPr>
      <w:r>
        <w:t>2. Der Bezugsdruck für die Dichtigkeitsprüfung ist der ungünstigste Betriebsdruck plus 10 %, wobei der PS-Wert jedoch nicht überschritten werden darf.</w:t>
      </w:r>
    </w:p>
    <w:p w:rsidR="00FE3F50" w:rsidRPr="00D655FE" w:rsidRDefault="000332B3" w:rsidP="005A23E3">
      <w:pPr>
        <w:keepNext/>
        <w:jc w:val="center"/>
      </w:pPr>
      <w:r>
        <w:t>Artikel 25</w:t>
      </w:r>
    </w:p>
    <w:p w:rsidR="00FE3F50" w:rsidRPr="00D655FE" w:rsidRDefault="00C2790E" w:rsidP="005A23E3">
      <w:pPr>
        <w:keepNext/>
        <w:jc w:val="center"/>
        <w:rPr>
          <w:b/>
        </w:rPr>
      </w:pPr>
      <w:r>
        <w:rPr>
          <w:b/>
        </w:rPr>
        <w:t>Prüfung der Sicherheits- und Kontrolleinrichtungen</w:t>
      </w:r>
    </w:p>
    <w:p w:rsidR="00FE3F50" w:rsidRPr="00D655FE" w:rsidRDefault="00FE3F50" w:rsidP="00FE3F50">
      <w:pPr>
        <w:jc w:val="both"/>
      </w:pPr>
      <w:r>
        <w:t>1. Die Prüfung der Sicherheits- und Kontrolleinrichtungen erfolgt unter Berücksichtigung ihrer Bedeutung und Zuverlässigkeit und nicht nur für den Behälter oder das Gerät, sondern auch für den Prozess, zu dem der Behälter oder das Gerät gehört.</w:t>
      </w:r>
    </w:p>
    <w:p w:rsidR="00FE3F50" w:rsidRPr="00D655FE" w:rsidRDefault="00FE3F50" w:rsidP="00FE3F50">
      <w:pPr>
        <w:jc w:val="both"/>
      </w:pPr>
      <w:r>
        <w:t>2. Die Prüfung der Sicherheits- und Kontrolleinrichtungen dient dazu, zu verhindern, dass die Grenzzustände für den Betrieb überschritten werden, für die der Behälter oder das Gerät ausgelegt ist, wobei der Druck einer dieser Grenzwerte ist.</w:t>
      </w:r>
    </w:p>
    <w:p w:rsidR="00FE3F50" w:rsidRPr="00D655FE" w:rsidRDefault="000332B3" w:rsidP="005A23E3">
      <w:pPr>
        <w:keepNext/>
        <w:jc w:val="center"/>
      </w:pPr>
      <w:r>
        <w:lastRenderedPageBreak/>
        <w:t>Artikel 26</w:t>
      </w:r>
    </w:p>
    <w:p w:rsidR="00FE3F50" w:rsidRPr="00D655FE" w:rsidRDefault="00FE3F50" w:rsidP="005A23E3">
      <w:pPr>
        <w:keepNext/>
        <w:jc w:val="center"/>
        <w:rPr>
          <w:b/>
        </w:rPr>
      </w:pPr>
      <w:r>
        <w:rPr>
          <w:b/>
        </w:rPr>
        <w:t>Zerstörungsfreie Prüfungen</w:t>
      </w:r>
    </w:p>
    <w:p w:rsidR="00FE3F50" w:rsidRPr="00D655FE" w:rsidRDefault="00FE3F50" w:rsidP="00FE3F50">
      <w:pPr>
        <w:jc w:val="both"/>
      </w:pPr>
      <w:r>
        <w:t xml:space="preserve">1. Die </w:t>
      </w:r>
      <w:proofErr w:type="spellStart"/>
      <w:r>
        <w:t>ZfP</w:t>
      </w:r>
      <w:proofErr w:type="spellEnd"/>
      <w:r>
        <w:t xml:space="preserve"> werden zur Erkennung von Mängeln und zur Prüfung der Werkstoffe und insbesondere mithilfe der nachfolgend aufgeführten Verfahren durchgeführt:</w:t>
      </w:r>
    </w:p>
    <w:p w:rsidR="00FE3F50" w:rsidRPr="00D655FE" w:rsidRDefault="00FE3F50" w:rsidP="006C75D8">
      <w:pPr>
        <w:spacing w:after="0"/>
        <w:jc w:val="both"/>
      </w:pPr>
      <w:r>
        <w:t>a) Ultraschall;</w:t>
      </w:r>
    </w:p>
    <w:p w:rsidR="00FE3F50" w:rsidRPr="00D655FE" w:rsidRDefault="00FE3F50" w:rsidP="006C75D8">
      <w:pPr>
        <w:spacing w:after="0"/>
        <w:jc w:val="both"/>
      </w:pPr>
      <w:r>
        <w:t>b) Magnetpulver;</w:t>
      </w:r>
    </w:p>
    <w:p w:rsidR="00FE3F50" w:rsidRPr="00D655FE" w:rsidRDefault="00FE3F50" w:rsidP="006C75D8">
      <w:pPr>
        <w:spacing w:after="0"/>
        <w:jc w:val="both"/>
      </w:pPr>
      <w:r>
        <w:t>c) Eindringverfahren;</w:t>
      </w:r>
    </w:p>
    <w:p w:rsidR="00FE3F50" w:rsidRPr="00D655FE" w:rsidRDefault="00FE3F50" w:rsidP="006C75D8">
      <w:pPr>
        <w:spacing w:after="0"/>
        <w:jc w:val="both"/>
      </w:pPr>
      <w:r>
        <w:t>d) Elektrofelder;</w:t>
      </w:r>
    </w:p>
    <w:p w:rsidR="00FE3F50" w:rsidRPr="00D655FE" w:rsidRDefault="00FE3F50" w:rsidP="006C75D8">
      <w:pPr>
        <w:spacing w:after="0"/>
        <w:jc w:val="both"/>
      </w:pPr>
      <w:r>
        <w:t>e) Röntgenaufnahmen;</w:t>
      </w:r>
    </w:p>
    <w:p w:rsidR="00FE3F50" w:rsidRPr="00D655FE" w:rsidRDefault="00AD4385" w:rsidP="006C75D8">
      <w:pPr>
        <w:spacing w:after="0"/>
        <w:jc w:val="both"/>
      </w:pPr>
      <w:r>
        <w:t>f) Härteprüfung;</w:t>
      </w:r>
    </w:p>
    <w:p w:rsidR="00FE3F50" w:rsidRPr="00D655FE" w:rsidRDefault="00FE3F50" w:rsidP="006C75D8">
      <w:pPr>
        <w:jc w:val="both"/>
      </w:pPr>
      <w:r>
        <w:t>g) Schallabstrahlung.</w:t>
      </w:r>
    </w:p>
    <w:p w:rsidR="00FE3F50" w:rsidRPr="00D655FE" w:rsidRDefault="00FE3F50" w:rsidP="006C75D8">
      <w:pPr>
        <w:spacing w:after="0"/>
        <w:jc w:val="both"/>
      </w:pPr>
      <w:r>
        <w:t xml:space="preserve">2. Für die Zulassung sind unbeschadet sonstiger Verfahren, die aus technologischen Innovationen hervorgehen, nur </w:t>
      </w:r>
      <w:proofErr w:type="spellStart"/>
      <w:r>
        <w:t>ZfP</w:t>
      </w:r>
      <w:proofErr w:type="spellEnd"/>
      <w:r>
        <w:t xml:space="preserve"> gültig, die durch vom IPAC, I.P. zugelassene Stellen oder Stellen durchgeführt werden, die für die im vorhergehenden Absatz aufgeführten Verfahren anerkannt sind.</w:t>
      </w:r>
    </w:p>
    <w:p w:rsidR="00842DC3" w:rsidRPr="00D655FE" w:rsidRDefault="00842DC3" w:rsidP="00FE3F50">
      <w:pPr>
        <w:spacing w:after="0"/>
        <w:jc w:val="both"/>
      </w:pPr>
    </w:p>
    <w:p w:rsidR="00042583" w:rsidRPr="00D655FE" w:rsidRDefault="00385657" w:rsidP="005745C0">
      <w:pPr>
        <w:keepNext/>
        <w:jc w:val="center"/>
      </w:pPr>
      <w:r>
        <w:t>KAPITEL V</w:t>
      </w:r>
    </w:p>
    <w:p w:rsidR="00042583" w:rsidRPr="00D655FE" w:rsidRDefault="00385657" w:rsidP="005745C0">
      <w:pPr>
        <w:keepNext/>
        <w:jc w:val="center"/>
        <w:rPr>
          <w:b/>
        </w:rPr>
      </w:pPr>
      <w:r>
        <w:rPr>
          <w:b/>
        </w:rPr>
        <w:t>Schadensfälle und Sicherheit</w:t>
      </w:r>
    </w:p>
    <w:p w:rsidR="00042583" w:rsidRPr="00D655FE" w:rsidRDefault="00E83AA0" w:rsidP="005745C0">
      <w:pPr>
        <w:keepNext/>
        <w:jc w:val="center"/>
      </w:pPr>
      <w:r>
        <w:t>Artikel 27</w:t>
      </w:r>
    </w:p>
    <w:p w:rsidR="00042583" w:rsidRPr="00D655FE" w:rsidRDefault="008F3612" w:rsidP="005745C0">
      <w:pPr>
        <w:keepNext/>
        <w:jc w:val="center"/>
        <w:rPr>
          <w:b/>
        </w:rPr>
      </w:pPr>
      <w:r>
        <w:rPr>
          <w:b/>
        </w:rPr>
        <w:t>Schadensfälle und sonstige Vorfälle</w:t>
      </w:r>
    </w:p>
    <w:p w:rsidR="00042583" w:rsidRPr="00D655FE" w:rsidRDefault="004F466B" w:rsidP="00042583">
      <w:pPr>
        <w:jc w:val="both"/>
      </w:pPr>
      <w:r>
        <w:t xml:space="preserve">1. Der Eigentümer oder Nutzer darf den Zustand der Anlage und des Behälters oder Geräts nach einem Schadensfall nicht verändern und muss das IPQ, I.P. unbeschadet der </w:t>
      </w:r>
      <w:proofErr w:type="spellStart"/>
      <w:r>
        <w:t>Inkenntnissetzung</w:t>
      </w:r>
      <w:proofErr w:type="spellEnd"/>
      <w:r>
        <w:t xml:space="preserve"> sonstiger zuständiger Stellen und insbesondere der Arbeitsschutzbehörde (</w:t>
      </w:r>
      <w:proofErr w:type="spellStart"/>
      <w:r>
        <w:t>Autoridade</w:t>
      </w:r>
      <w:proofErr w:type="spellEnd"/>
      <w:r>
        <w:t xml:space="preserve"> </w:t>
      </w:r>
      <w:proofErr w:type="spellStart"/>
      <w:r>
        <w:t>para</w:t>
      </w:r>
      <w:proofErr w:type="spellEnd"/>
      <w:r>
        <w:t xml:space="preserve"> </w:t>
      </w:r>
      <w:proofErr w:type="spellStart"/>
      <w:r>
        <w:t>as</w:t>
      </w:r>
      <w:proofErr w:type="spellEnd"/>
      <w:r>
        <w:t xml:space="preserve"> </w:t>
      </w:r>
      <w:proofErr w:type="spellStart"/>
      <w:r>
        <w:t>Condições</w:t>
      </w:r>
      <w:proofErr w:type="spellEnd"/>
      <w:r>
        <w:t xml:space="preserve"> de </w:t>
      </w:r>
      <w:proofErr w:type="spellStart"/>
      <w:r>
        <w:t>Trabalho</w:t>
      </w:r>
      <w:proofErr w:type="spellEnd"/>
      <w:r>
        <w:t xml:space="preserve">, ACT) bei schweren oder tödlichen Unfällen innerhalb von 48 Stunden über die Lage informieren. </w:t>
      </w:r>
    </w:p>
    <w:p w:rsidR="00042583" w:rsidRPr="00D655FE" w:rsidRDefault="004F466B" w:rsidP="00042583">
      <w:pPr>
        <w:jc w:val="both"/>
      </w:pPr>
      <w:r>
        <w:t>2. Das IPQ, I.P. leitet bei Schadensfällen ein Untersuchungsverfahren unter Anhörung der beteiligten Parteien ein und kann eine Sonderbesichtigung durchführen und die für geeignet erachteten Unterlagen verlangen.</w:t>
      </w:r>
    </w:p>
    <w:p w:rsidR="00042583" w:rsidRPr="00D655FE" w:rsidRDefault="004F466B" w:rsidP="00042583">
      <w:pPr>
        <w:jc w:val="both"/>
      </w:pPr>
      <w:r>
        <w:t>3. Gibt es Hinweise darauf, dass der Schaden auf kriminelle Weise herbeigeführt wurde, so ist unbeschadet bestehender Zuständigkeiten sonstiger Stellen die Staatsanwaltschaft davon in Kenntnis zu setzen.</w:t>
      </w:r>
    </w:p>
    <w:p w:rsidR="00216211" w:rsidRPr="00D655FE" w:rsidRDefault="00CC29C6" w:rsidP="00042583">
      <w:pPr>
        <w:jc w:val="both"/>
      </w:pPr>
      <w:r>
        <w:t>4. Der Eigentümer oder gesetzlich bevollmächtigte Nutzer des Behälters oder Geräts muss die Unterlagen zu allen überprüften Vorfällen zur Einsichtnahme durch das IPQ, I.P. oder sonstige zuständige Stellen aufbewahren.</w:t>
      </w:r>
    </w:p>
    <w:p w:rsidR="00042583" w:rsidRPr="00D655FE" w:rsidRDefault="00524054" w:rsidP="005A23E3">
      <w:pPr>
        <w:keepNext/>
        <w:jc w:val="center"/>
      </w:pPr>
      <w:r>
        <w:lastRenderedPageBreak/>
        <w:t>Artikel 28</w:t>
      </w:r>
    </w:p>
    <w:p w:rsidR="00042583" w:rsidRPr="00D655FE" w:rsidRDefault="004F466B" w:rsidP="005A23E3">
      <w:pPr>
        <w:keepNext/>
        <w:jc w:val="center"/>
        <w:rPr>
          <w:b/>
        </w:rPr>
      </w:pPr>
      <w:r>
        <w:rPr>
          <w:b/>
        </w:rPr>
        <w:t>Sicherheit</w:t>
      </w:r>
    </w:p>
    <w:p w:rsidR="00042583" w:rsidRPr="00D655FE" w:rsidRDefault="004F466B" w:rsidP="00042583">
      <w:pPr>
        <w:jc w:val="both"/>
      </w:pPr>
      <w:r>
        <w:t>1. Der Eigentümer oder Nutzer des Behälters oder Geräts muss sicherstellen, dass gegebenenfalls zusätzlich zu dieser Verordnung bestehende gesetzliche Bestimmungen für Einbau und Betrieb berücksichtigt werden.</w:t>
      </w:r>
    </w:p>
    <w:p w:rsidR="00042583" w:rsidRPr="00D655FE" w:rsidRDefault="004F466B" w:rsidP="00042583">
      <w:pPr>
        <w:jc w:val="both"/>
      </w:pPr>
      <w:r>
        <w:t>2. Stellt das IPQ, I.P. eine Situation fest, die eine große Gefahr für die öffentliche Gesundheit, die Sicherheit von Personen und Sachen, die Sicherheit der Anlagen oder der Umwelt darstellt, muss es die zuständigen Überwachungsstellen informieren, damit alle nötigen Vorkehrungen getroffen werden.</w:t>
      </w:r>
    </w:p>
    <w:p w:rsidR="00721ECE" w:rsidRPr="00D655FE" w:rsidRDefault="00721ECE" w:rsidP="00042583">
      <w:pPr>
        <w:jc w:val="both"/>
      </w:pPr>
      <w:r>
        <w:t>3. Die im vorhergehenden Absatz genannten Stellen müssen das IPQ, I.P. über die durchgeführten Maßnahmen in Kenntnis setzen.</w:t>
      </w:r>
    </w:p>
    <w:p w:rsidR="00042583" w:rsidRPr="00D655FE" w:rsidRDefault="005B73A9" w:rsidP="00042583">
      <w:pPr>
        <w:jc w:val="both"/>
      </w:pPr>
      <w:r>
        <w:t>4. Für die Kontrolle von Gefahren schwerer Unfälle mit Gefahrstoffen gilt das Gesetzesdekret Nr. 254/2007 vom 12. Juli.</w:t>
      </w:r>
    </w:p>
    <w:p w:rsidR="00042583" w:rsidRPr="00D655FE" w:rsidRDefault="006F519B" w:rsidP="005745C0">
      <w:pPr>
        <w:keepNext/>
        <w:jc w:val="center"/>
      </w:pPr>
      <w:r>
        <w:t>KAPITEL VI</w:t>
      </w:r>
    </w:p>
    <w:p w:rsidR="00042583" w:rsidRPr="00D655FE" w:rsidRDefault="004F466B" w:rsidP="005745C0">
      <w:pPr>
        <w:keepNext/>
        <w:jc w:val="center"/>
        <w:rPr>
          <w:b/>
        </w:rPr>
      </w:pPr>
      <w:r>
        <w:rPr>
          <w:b/>
        </w:rPr>
        <w:t>Überwachung und Bußgelder</w:t>
      </w:r>
    </w:p>
    <w:p w:rsidR="00042583" w:rsidRPr="00D655FE" w:rsidRDefault="00701DF4" w:rsidP="005745C0">
      <w:pPr>
        <w:keepNext/>
        <w:jc w:val="center"/>
      </w:pPr>
      <w:r>
        <w:t>Artikel 29</w:t>
      </w:r>
    </w:p>
    <w:p w:rsidR="00042583" w:rsidRPr="00D655FE" w:rsidRDefault="004F466B" w:rsidP="005745C0">
      <w:pPr>
        <w:keepNext/>
        <w:jc w:val="center"/>
        <w:rPr>
          <w:b/>
        </w:rPr>
      </w:pPr>
      <w:r>
        <w:rPr>
          <w:b/>
        </w:rPr>
        <w:t>Überwachung</w:t>
      </w:r>
    </w:p>
    <w:p w:rsidR="009615A2" w:rsidRPr="00D655FE" w:rsidRDefault="004F466B" w:rsidP="00042583">
      <w:pPr>
        <w:jc w:val="both"/>
      </w:pPr>
      <w:r>
        <w:t>1. Die Überwachung auf Einhaltung dieser Verordnung obliegt unbeschadet der Zuständigkeiten anderer Stellen der Behörde für Lebensmittel- und Wirtschaftssicherheit (</w:t>
      </w:r>
      <w:proofErr w:type="spellStart"/>
      <w:r>
        <w:t>Autoridade</w:t>
      </w:r>
      <w:proofErr w:type="spellEnd"/>
      <w:r>
        <w:t xml:space="preserve"> de </w:t>
      </w:r>
      <w:proofErr w:type="spellStart"/>
      <w:r>
        <w:t>Segurança</w:t>
      </w:r>
      <w:proofErr w:type="spellEnd"/>
      <w:r>
        <w:t xml:space="preserve"> </w:t>
      </w:r>
      <w:proofErr w:type="spellStart"/>
      <w:r>
        <w:t>Alimentar</w:t>
      </w:r>
      <w:proofErr w:type="spellEnd"/>
      <w:r>
        <w:t xml:space="preserve"> e </w:t>
      </w:r>
      <w:proofErr w:type="spellStart"/>
      <w:r>
        <w:t>Económica</w:t>
      </w:r>
      <w:proofErr w:type="spellEnd"/>
      <w:r>
        <w:t>, ASAE).</w:t>
      </w:r>
    </w:p>
    <w:p w:rsidR="00113532" w:rsidRPr="00D655FE" w:rsidRDefault="004F466B" w:rsidP="006B04EF">
      <w:pPr>
        <w:jc w:val="both"/>
      </w:pPr>
      <w:r>
        <w:t xml:space="preserve">2. Das IPQ, I.P. informiert die ASAE mit ordnungsgemäßer Begründung über Fälle von Nichteinhaltung, die die Sicherheit von Personen und Sachen gefährden. </w:t>
      </w:r>
    </w:p>
    <w:p w:rsidR="00276F4E" w:rsidRPr="00D655FE" w:rsidRDefault="00276F4E" w:rsidP="006B04EF">
      <w:pPr>
        <w:jc w:val="both"/>
      </w:pPr>
      <w:r>
        <w:t>3. Der Eigentümer oder Nutzer muss auf Anforderung des IPQ, I.P. oder der zuständigen Überwachungsstelle die Behälter- oder Gerätedokumentation und die entsprechende Zulassung vorlegen und Zugang zur betreffenden Anlage gewähren.</w:t>
      </w:r>
    </w:p>
    <w:p w:rsidR="00042583" w:rsidRPr="00D655FE" w:rsidRDefault="002C42E4" w:rsidP="005A23E3">
      <w:pPr>
        <w:keepNext/>
        <w:jc w:val="center"/>
      </w:pPr>
      <w:r>
        <w:t>Artikel 30</w:t>
      </w:r>
    </w:p>
    <w:p w:rsidR="00042583" w:rsidRPr="00D655FE" w:rsidRDefault="007912C4" w:rsidP="005A23E3">
      <w:pPr>
        <w:keepNext/>
        <w:jc w:val="center"/>
        <w:rPr>
          <w:b/>
        </w:rPr>
      </w:pPr>
      <w:r>
        <w:rPr>
          <w:b/>
        </w:rPr>
        <w:t>Ordnungswidrigkeiten</w:t>
      </w:r>
    </w:p>
    <w:p w:rsidR="00042583" w:rsidRPr="00D655FE" w:rsidRDefault="004F466B" w:rsidP="00042583">
      <w:pPr>
        <w:jc w:val="both"/>
      </w:pPr>
      <w:r>
        <w:t>1. Folgende Verstöße sind Ordnungswidrigkeiten:</w:t>
      </w:r>
    </w:p>
    <w:p w:rsidR="00863A6C" w:rsidRPr="00D655FE" w:rsidRDefault="00863A6C" w:rsidP="00863A6C">
      <w:pPr>
        <w:jc w:val="both"/>
      </w:pPr>
      <w:r>
        <w:t>a) Betrieb gebrauchter Behälter oder Geräte ohne Neubewertung der Konformität unter Verstoß gegen Artikel 4 Absatz 3 dieser Verordnung;</w:t>
      </w:r>
    </w:p>
    <w:p w:rsidR="00F93001" w:rsidRPr="00D655FE" w:rsidRDefault="00F93001" w:rsidP="00F93001">
      <w:pPr>
        <w:jc w:val="both"/>
      </w:pPr>
      <w:r>
        <w:t>b) Entfernung oder Änderung ordnungsgemäß zugelassener Sicherheitsventile oder gleichwertiger Vorrichtungen unter Verstoß gegen Artikel 7 Absätze 1 und 3 dieser Verordnung;</w:t>
      </w:r>
    </w:p>
    <w:p w:rsidR="00B13080" w:rsidRPr="00D655FE" w:rsidRDefault="00F93001" w:rsidP="00B13080">
      <w:pPr>
        <w:jc w:val="both"/>
      </w:pPr>
      <w:r>
        <w:t>c) Änderung oder unsachgemäße Nutzung von Geräteschildern unter Verstoß gegen Artikel 8 Absätze 1 und 3 dieser Verordnung;</w:t>
      </w:r>
    </w:p>
    <w:p w:rsidR="007E0481" w:rsidRPr="00D655FE" w:rsidRDefault="00F93001" w:rsidP="007E0481">
      <w:pPr>
        <w:jc w:val="both"/>
      </w:pPr>
      <w:r>
        <w:lastRenderedPageBreak/>
        <w:t xml:space="preserve">d) Betrieb einfacher Druckbehälter ohne Betriebsvalidierungsbescheinigung unter Verstoß gegen Artikel 9 Absätze 1 und 4 dieser Verordnung; </w:t>
      </w:r>
    </w:p>
    <w:p w:rsidR="00172EFD" w:rsidRPr="00D655FE" w:rsidRDefault="00F93001" w:rsidP="00172EFD">
      <w:pPr>
        <w:jc w:val="both"/>
      </w:pPr>
      <w:r>
        <w:t xml:space="preserve">e) Einbau von Druckgeräten ohne Einbaugenehmigung unter Verstoß gegen Artikel 11 Absatz 2 dieser Verordnung; </w:t>
      </w:r>
    </w:p>
    <w:p w:rsidR="007A0036" w:rsidRPr="00D655FE" w:rsidRDefault="00F93001" w:rsidP="007A0036">
      <w:pPr>
        <w:jc w:val="both"/>
      </w:pPr>
      <w:r>
        <w:t xml:space="preserve">f) Betrieb von Druckgeräten ohne gültige Betriebsgenehmigungsbescheinigung unter Verstoß gegen Artikel 12 Absätze 1 und 4 dieser Verordnung; </w:t>
      </w:r>
    </w:p>
    <w:p w:rsidR="00042583" w:rsidRPr="00D655FE" w:rsidRDefault="005B73A9" w:rsidP="00042583">
      <w:pPr>
        <w:jc w:val="both"/>
      </w:pPr>
      <w:r>
        <w:t xml:space="preserve">g) Betrieb von Druckgeräten ohne gültige Bescheinigung über die Verlängerung der Betriebsgenehmigung unter Verstoß gegen Artikel 13 Absätze 1 und 2 dieser Verordnung; </w:t>
      </w:r>
    </w:p>
    <w:p w:rsidR="00042583" w:rsidRPr="00D655FE" w:rsidRDefault="005B73A9" w:rsidP="00042583">
      <w:pPr>
        <w:jc w:val="both"/>
      </w:pPr>
      <w:r>
        <w:t>h) Verstoß gegen Artikel 15 dieser Verordnung;</w:t>
      </w:r>
    </w:p>
    <w:p w:rsidR="00042583" w:rsidRPr="00D655FE" w:rsidRDefault="005B73A9" w:rsidP="00042583">
      <w:pPr>
        <w:jc w:val="both"/>
      </w:pPr>
      <w:r>
        <w:t xml:space="preserve">i) Betrieb von Behältern oder Geräten nach Reparatur oder Änderung ohne Genehmigung durch eine Inspektionsstelle unter Verstoß gegen Artikel 16 Absätze 4 und 7 dieser Verordnung; </w:t>
      </w:r>
    </w:p>
    <w:p w:rsidR="003F1DAD" w:rsidRPr="00D655FE" w:rsidRDefault="005B73A9" w:rsidP="003F1DAD">
      <w:pPr>
        <w:jc w:val="both"/>
      </w:pPr>
      <w:r>
        <w:t>j) Betrieb von Behältern oder Geräten nach kleinen Reparaturen ohne Genehmigung durch eine Inspektionsstelle unter Verstoß gegen Artikel 17 Absatz 4 dieser Verordnung;</w:t>
      </w:r>
    </w:p>
    <w:p w:rsidR="005B73A9" w:rsidRPr="00D655FE" w:rsidRDefault="005B73A9" w:rsidP="00042583">
      <w:pPr>
        <w:jc w:val="both"/>
      </w:pPr>
      <w:r>
        <w:t>k) Änderung der Anlage und des Behälters oder Geräts nach Schadensfällen vor Einbeziehung des IPQ, I.P. unter Verstoß gegen Artikel 27 Absatz 1 dieser Verordnung;</w:t>
      </w:r>
    </w:p>
    <w:p w:rsidR="00042583" w:rsidRPr="00D655FE" w:rsidRDefault="005B73A9" w:rsidP="00042583">
      <w:pPr>
        <w:jc w:val="both"/>
      </w:pPr>
      <w:r>
        <w:t>l) Nichtdurchführung von Zwischeninspektionen unter Verstoß gegen Anhang IX oder bei Überschreitung der festgesetzten Zeitabstände um mehr als 3 Monate.</w:t>
      </w:r>
    </w:p>
    <w:p w:rsidR="00042583" w:rsidRPr="00D655FE" w:rsidRDefault="004F466B" w:rsidP="00042583">
      <w:pPr>
        <w:jc w:val="both"/>
      </w:pPr>
      <w:r>
        <w:t>2. Die in den Buchstaben c, h und i des vorhergehenden Absatzes aufgeführten Ordnungswidrigkeiten werden mit folgenden Bußgeldern belegt:</w:t>
      </w:r>
    </w:p>
    <w:p w:rsidR="00042583" w:rsidRPr="00D655FE" w:rsidRDefault="00D257AA" w:rsidP="007E3A5F">
      <w:pPr>
        <w:spacing w:after="0"/>
        <w:jc w:val="both"/>
      </w:pPr>
      <w:r>
        <w:t>a) 250 EUR bis 1000 EUR, wenn sie von natürlichen Personen begangen wurden;</w:t>
      </w:r>
    </w:p>
    <w:p w:rsidR="00042583" w:rsidRPr="00D655FE" w:rsidRDefault="006F58F7" w:rsidP="007E3A5F">
      <w:pPr>
        <w:spacing w:after="0"/>
        <w:jc w:val="both"/>
      </w:pPr>
      <w:r>
        <w:t>b) 1500 EUR bis 2500 EUR, wenn sie von juristischen Personen begangen wurden.</w:t>
      </w:r>
    </w:p>
    <w:p w:rsidR="007E3A5F" w:rsidRPr="00D655FE" w:rsidRDefault="007E3A5F" w:rsidP="007E3A5F">
      <w:pPr>
        <w:spacing w:after="0"/>
        <w:jc w:val="both"/>
      </w:pPr>
    </w:p>
    <w:p w:rsidR="00042583" w:rsidRPr="00D655FE" w:rsidRDefault="004F466B" w:rsidP="007E3A5F">
      <w:pPr>
        <w:spacing w:after="0"/>
        <w:jc w:val="both"/>
      </w:pPr>
      <w:r>
        <w:t>3. Die in Absatz 1 Buchstaben a, b, d, e, f, g, j, k und l dieses Artikels aufgeführten Ordnungswidrigkeiten werden mit folgenden Bußgeldern belegt:</w:t>
      </w:r>
    </w:p>
    <w:p w:rsidR="007E3A5F" w:rsidRPr="00D655FE" w:rsidRDefault="007E3A5F" w:rsidP="007E3A5F">
      <w:pPr>
        <w:spacing w:after="0"/>
        <w:jc w:val="both"/>
      </w:pPr>
    </w:p>
    <w:p w:rsidR="00042583" w:rsidRPr="00D655FE" w:rsidRDefault="000C46C3" w:rsidP="007E3A5F">
      <w:pPr>
        <w:spacing w:after="0"/>
        <w:jc w:val="both"/>
      </w:pPr>
      <w:r>
        <w:t>a) 500 EUR bis 3750 EUR, wenn sie von natürlichen Personen begangen wurden;</w:t>
      </w:r>
    </w:p>
    <w:p w:rsidR="00042583" w:rsidRPr="00D655FE" w:rsidRDefault="004F466B" w:rsidP="007E3A5F">
      <w:pPr>
        <w:spacing w:after="0"/>
        <w:jc w:val="both"/>
      </w:pPr>
      <w:r>
        <w:t>b) 5000 EUR bis 10 000 EUR, wenn sie von juristischen Personen begangen wurden.</w:t>
      </w:r>
    </w:p>
    <w:p w:rsidR="007E3A5F" w:rsidRPr="00D655FE" w:rsidRDefault="007E3A5F" w:rsidP="007E3A5F">
      <w:pPr>
        <w:spacing w:after="0"/>
        <w:jc w:val="both"/>
      </w:pPr>
    </w:p>
    <w:p w:rsidR="00042583" w:rsidRPr="00D655FE" w:rsidRDefault="004F466B" w:rsidP="007E3A5F">
      <w:pPr>
        <w:spacing w:after="0"/>
        <w:jc w:val="both"/>
      </w:pPr>
      <w:r>
        <w:t>4. Versuch und Fahrlässigkeit sind strafbar, wobei die in den vorhergehenden Absätzen festgelegten Höchstwerte um die Hälfte reduziert werden.</w:t>
      </w:r>
    </w:p>
    <w:p w:rsidR="00E0156E" w:rsidRPr="00D655FE" w:rsidRDefault="00E0156E" w:rsidP="007E3A5F">
      <w:pPr>
        <w:spacing w:after="0"/>
        <w:jc w:val="both"/>
      </w:pPr>
    </w:p>
    <w:p w:rsidR="00FD1EC9" w:rsidRPr="00D655FE" w:rsidRDefault="004F466B" w:rsidP="00773D33">
      <w:pPr>
        <w:jc w:val="both"/>
      </w:pPr>
      <w:r>
        <w:t>5. Die Verhängung der in den vorstehenden Absätzen genannten Bußgelder obliegt der ASAE.</w:t>
      </w:r>
    </w:p>
    <w:p w:rsidR="00042583" w:rsidRPr="00D655FE" w:rsidRDefault="00701DF4" w:rsidP="005A23E3">
      <w:pPr>
        <w:keepNext/>
        <w:jc w:val="center"/>
      </w:pPr>
      <w:r>
        <w:t>Artikel 31</w:t>
      </w:r>
    </w:p>
    <w:p w:rsidR="00042583" w:rsidRPr="00D655FE" w:rsidRDefault="004F466B" w:rsidP="005A23E3">
      <w:pPr>
        <w:keepNext/>
        <w:jc w:val="center"/>
        <w:rPr>
          <w:b/>
        </w:rPr>
      </w:pPr>
      <w:r>
        <w:rPr>
          <w:b/>
        </w:rPr>
        <w:t>Einkünfte aus Bußgeldern</w:t>
      </w:r>
    </w:p>
    <w:p w:rsidR="00042583" w:rsidRPr="00D655FE" w:rsidRDefault="004F466B" w:rsidP="00042583">
      <w:pPr>
        <w:jc w:val="both"/>
      </w:pPr>
      <w:r>
        <w:t>Die Einkünfte aus erhobenen Bußgeldern werden folgendermaßen verteilt:</w:t>
      </w:r>
    </w:p>
    <w:p w:rsidR="00042583" w:rsidRPr="00D655FE" w:rsidRDefault="00A15FFB" w:rsidP="00407775">
      <w:pPr>
        <w:spacing w:after="0" w:line="360" w:lineRule="auto"/>
        <w:jc w:val="both"/>
      </w:pPr>
      <w:r>
        <w:t>a) 60 % zugunsten des Staates;</w:t>
      </w:r>
    </w:p>
    <w:p w:rsidR="00AB3BA9" w:rsidRPr="00D655FE" w:rsidRDefault="00871319" w:rsidP="00407775">
      <w:pPr>
        <w:spacing w:after="0" w:line="360" w:lineRule="auto"/>
        <w:jc w:val="both"/>
      </w:pPr>
      <w:r>
        <w:lastRenderedPageBreak/>
        <w:t>b) 30 % zugunsten der ASAE;</w:t>
      </w:r>
    </w:p>
    <w:p w:rsidR="00744FE2" w:rsidRPr="00D655FE" w:rsidRDefault="00A6658B" w:rsidP="00407775">
      <w:pPr>
        <w:spacing w:after="0" w:line="360" w:lineRule="auto"/>
        <w:jc w:val="both"/>
      </w:pPr>
      <w:r>
        <w:t>c) 10 % zugunsten des IPQ, I.P.</w:t>
      </w:r>
    </w:p>
    <w:p w:rsidR="005422E1" w:rsidRPr="00D655FE" w:rsidRDefault="005422E1" w:rsidP="005A23E3">
      <w:pPr>
        <w:keepNext/>
        <w:jc w:val="center"/>
      </w:pPr>
      <w:r>
        <w:t>Artikel 32</w:t>
      </w:r>
    </w:p>
    <w:p w:rsidR="005422E1" w:rsidRPr="00D655FE" w:rsidRDefault="005422E1" w:rsidP="005A23E3">
      <w:pPr>
        <w:keepNext/>
        <w:jc w:val="center"/>
        <w:rPr>
          <w:b/>
        </w:rPr>
      </w:pPr>
      <w:r>
        <w:rPr>
          <w:b/>
        </w:rPr>
        <w:t>Begleitsanktionen</w:t>
      </w:r>
    </w:p>
    <w:p w:rsidR="0067364D" w:rsidRPr="00D655FE" w:rsidRDefault="0067364D" w:rsidP="0067364D">
      <w:pPr>
        <w:spacing w:after="0"/>
        <w:jc w:val="both"/>
      </w:pPr>
      <w:r>
        <w:t>1. Neben Bußgeldern können je nach Schwere des Verstoßes und Verschulden des Täters folgende Begleitsanktionen verhängt werden:</w:t>
      </w:r>
    </w:p>
    <w:p w:rsidR="0067364D" w:rsidRPr="00D655FE" w:rsidRDefault="0067364D" w:rsidP="0067364D">
      <w:pPr>
        <w:spacing w:after="0"/>
        <w:jc w:val="both"/>
      </w:pPr>
    </w:p>
    <w:p w:rsidR="0067364D" w:rsidRPr="00D655FE" w:rsidRDefault="0067364D" w:rsidP="0067364D">
      <w:pPr>
        <w:spacing w:after="0"/>
        <w:jc w:val="both"/>
      </w:pPr>
      <w:r>
        <w:t>a) Entziehung der von öffentlichen Einrichtungen oder Behörden gewährten Ansprüche auf Zuschüsse oder Begünstigungen;</w:t>
      </w:r>
    </w:p>
    <w:p w:rsidR="0067364D" w:rsidRPr="00D655FE" w:rsidRDefault="0067364D" w:rsidP="0067364D">
      <w:pPr>
        <w:spacing w:after="0"/>
        <w:jc w:val="both"/>
      </w:pPr>
      <w:r>
        <w:t>b) Schließung der Anlagen.</w:t>
      </w:r>
    </w:p>
    <w:p w:rsidR="0067364D" w:rsidRPr="00D655FE" w:rsidRDefault="0067364D" w:rsidP="0067364D">
      <w:pPr>
        <w:spacing w:after="0"/>
        <w:jc w:val="both"/>
      </w:pPr>
    </w:p>
    <w:p w:rsidR="005422E1" w:rsidRPr="00D655FE" w:rsidRDefault="0067364D" w:rsidP="0067364D">
      <w:pPr>
        <w:spacing w:after="0"/>
        <w:jc w:val="both"/>
      </w:pPr>
      <w:r>
        <w:t>2. Die Dauer der im vorhergehenden Absatz aufgeführten Begleitsanktionen beträgt höchstens zwei Jahre ab dem Zeitpunkt der endgültigen Entscheidung.</w:t>
      </w:r>
    </w:p>
    <w:p w:rsidR="005422E1" w:rsidRPr="00D655FE" w:rsidRDefault="005422E1" w:rsidP="00407775">
      <w:pPr>
        <w:spacing w:after="0" w:line="360" w:lineRule="auto"/>
        <w:jc w:val="both"/>
      </w:pPr>
    </w:p>
    <w:p w:rsidR="00042583" w:rsidRPr="00D655FE" w:rsidRDefault="0074127E" w:rsidP="005A23E3">
      <w:pPr>
        <w:keepNext/>
        <w:jc w:val="center"/>
      </w:pPr>
      <w:r>
        <w:t>KAPITEL VII</w:t>
      </w:r>
    </w:p>
    <w:p w:rsidR="00042583" w:rsidRPr="00D655FE" w:rsidRDefault="004F466B" w:rsidP="005A23E3">
      <w:pPr>
        <w:keepNext/>
        <w:jc w:val="center"/>
        <w:rPr>
          <w:b/>
        </w:rPr>
      </w:pPr>
      <w:r>
        <w:rPr>
          <w:b/>
        </w:rPr>
        <w:t>Gebühren</w:t>
      </w:r>
    </w:p>
    <w:p w:rsidR="00042583" w:rsidRPr="00D655FE" w:rsidRDefault="009C4429" w:rsidP="005A23E3">
      <w:pPr>
        <w:keepNext/>
        <w:jc w:val="center"/>
      </w:pPr>
      <w:r>
        <w:t>Artikel 33</w:t>
      </w:r>
    </w:p>
    <w:p w:rsidR="00042583" w:rsidRPr="00D655FE" w:rsidRDefault="004F466B" w:rsidP="005A23E3">
      <w:pPr>
        <w:keepNext/>
        <w:jc w:val="center"/>
        <w:rPr>
          <w:b/>
        </w:rPr>
      </w:pPr>
      <w:r>
        <w:rPr>
          <w:b/>
        </w:rPr>
        <w:t>Gebühren</w:t>
      </w:r>
    </w:p>
    <w:p w:rsidR="00042583" w:rsidRPr="00D655FE" w:rsidRDefault="00B347E5" w:rsidP="00042583">
      <w:pPr>
        <w:jc w:val="both"/>
      </w:pPr>
      <w:r>
        <w:t>1. Die für Finanzen und Wirtschaft zuständigen Regierungsmitglieder legen per gemeinsame Durchführungsverordnung die Gebühren für folgende Leistungen fest:</w:t>
      </w:r>
    </w:p>
    <w:p w:rsidR="00FF0110" w:rsidRPr="00D655FE" w:rsidRDefault="00FB5F82" w:rsidP="00CA00EE">
      <w:pPr>
        <w:spacing w:after="0"/>
        <w:jc w:val="both"/>
      </w:pPr>
      <w:r>
        <w:t>a) Neubewertung der Konformität;</w:t>
      </w:r>
    </w:p>
    <w:p w:rsidR="007E4C1A" w:rsidRPr="00D655FE" w:rsidRDefault="007E4C1A" w:rsidP="00CA00EE">
      <w:pPr>
        <w:spacing w:after="0"/>
        <w:jc w:val="both"/>
      </w:pPr>
      <w:r>
        <w:t>b) Durchführung der Besichtigungen nach Artikel 5 Absatz 5;</w:t>
      </w:r>
    </w:p>
    <w:p w:rsidR="00FB5F82" w:rsidRPr="00D655FE" w:rsidRDefault="007E4C1A" w:rsidP="00EA3205">
      <w:pPr>
        <w:spacing w:after="0"/>
        <w:ind w:left="708" w:hanging="708"/>
        <w:jc w:val="both"/>
      </w:pPr>
      <w:r>
        <w:t>c) Ausstellung des Geräteschilds mit Ausnahme der Erstausstellung;</w:t>
      </w:r>
    </w:p>
    <w:p w:rsidR="00FB5F82" w:rsidRPr="00D655FE" w:rsidRDefault="007E4C1A" w:rsidP="00CA00EE">
      <w:pPr>
        <w:spacing w:after="0"/>
        <w:jc w:val="both"/>
      </w:pPr>
      <w:r>
        <w:t>d) Betriebsvalidierung für einfache Druckbehälter;</w:t>
      </w:r>
    </w:p>
    <w:p w:rsidR="001603AA" w:rsidRPr="00D655FE" w:rsidRDefault="007E4C1A" w:rsidP="001603AA">
      <w:pPr>
        <w:spacing w:after="0"/>
        <w:jc w:val="both"/>
      </w:pPr>
      <w:r>
        <w:t>e) Verlängerung der Betriebsvalidierung für einfache Druckbehälter;</w:t>
      </w:r>
    </w:p>
    <w:p w:rsidR="00042583" w:rsidRPr="00D655FE" w:rsidRDefault="007E4C1A" w:rsidP="007D132F">
      <w:pPr>
        <w:spacing w:after="0"/>
        <w:ind w:left="708" w:hanging="708"/>
        <w:jc w:val="both"/>
      </w:pPr>
      <w:r>
        <w:t>f) Einbaugenehmigung für Druckgeräte;</w:t>
      </w:r>
    </w:p>
    <w:p w:rsidR="00042583" w:rsidRPr="00D655FE" w:rsidRDefault="007E4C1A" w:rsidP="00CA00EE">
      <w:pPr>
        <w:spacing w:after="0"/>
        <w:jc w:val="both"/>
      </w:pPr>
      <w:r>
        <w:t>g) Betriebsgenehmigung für Druckgeräte;</w:t>
      </w:r>
    </w:p>
    <w:p w:rsidR="00042583" w:rsidRPr="00D655FE" w:rsidRDefault="007E4C1A" w:rsidP="00CA00EE">
      <w:pPr>
        <w:spacing w:after="0"/>
        <w:jc w:val="both"/>
      </w:pPr>
      <w:r>
        <w:t>h) Verlängerung der Betriebsgenehmigung für Druckgeräte;</w:t>
      </w:r>
    </w:p>
    <w:p w:rsidR="007E4C1A" w:rsidRPr="00D655FE" w:rsidRDefault="007E4C1A" w:rsidP="001603AA">
      <w:pPr>
        <w:spacing w:after="0"/>
        <w:jc w:val="both"/>
      </w:pPr>
      <w:r>
        <w:t>i) Randvermerk bei Änderungen der Firmenbezeichnung, der Inhaberschaft oder des Nutzers;</w:t>
      </w:r>
    </w:p>
    <w:p w:rsidR="00042583" w:rsidRPr="00D655FE" w:rsidRDefault="007E4C1A" w:rsidP="007E4C1A">
      <w:pPr>
        <w:spacing w:after="0"/>
        <w:jc w:val="both"/>
      </w:pPr>
      <w:r>
        <w:t>j) vorläufige Einbau- und Betriebsvalidierung für Druckgeräte.</w:t>
      </w:r>
    </w:p>
    <w:p w:rsidR="007E4C1A" w:rsidRPr="00D655FE" w:rsidRDefault="007E4C1A" w:rsidP="007E4C1A">
      <w:pPr>
        <w:spacing w:after="0"/>
        <w:jc w:val="both"/>
      </w:pPr>
    </w:p>
    <w:p w:rsidR="00914F8A" w:rsidRPr="00D655FE" w:rsidRDefault="00914F8A" w:rsidP="00EA3205">
      <w:pPr>
        <w:jc w:val="both"/>
      </w:pPr>
      <w:r>
        <w:t>2. Die in den Buchstaben des vorhergehenden Absatzes aufgeführten Leistungen werden mit Ausnahme von Buchstabe b nach Zahlung der entsprechenden Gebühren erbracht.</w:t>
      </w:r>
    </w:p>
    <w:p w:rsidR="00042583" w:rsidRPr="00D655FE" w:rsidRDefault="002C2965" w:rsidP="005A23E3">
      <w:pPr>
        <w:keepNext/>
        <w:jc w:val="center"/>
      </w:pPr>
      <w:r>
        <w:lastRenderedPageBreak/>
        <w:t>KAPITEL VIII</w:t>
      </w:r>
    </w:p>
    <w:p w:rsidR="00042583" w:rsidRPr="00D655FE" w:rsidRDefault="004F466B" w:rsidP="005A23E3">
      <w:pPr>
        <w:keepNext/>
        <w:jc w:val="center"/>
        <w:rPr>
          <w:b/>
        </w:rPr>
      </w:pPr>
      <w:r>
        <w:rPr>
          <w:b/>
        </w:rPr>
        <w:t>Schluss- und Übergangsbestimmungen</w:t>
      </w:r>
    </w:p>
    <w:p w:rsidR="00042583" w:rsidRPr="00D655FE" w:rsidRDefault="009C4429" w:rsidP="005A23E3">
      <w:pPr>
        <w:keepNext/>
        <w:jc w:val="center"/>
      </w:pPr>
      <w:r>
        <w:t>Artikel 34</w:t>
      </w:r>
    </w:p>
    <w:p w:rsidR="00042583" w:rsidRPr="00D655FE" w:rsidRDefault="004F466B" w:rsidP="005A23E3">
      <w:pPr>
        <w:keepNext/>
        <w:jc w:val="center"/>
        <w:rPr>
          <w:b/>
        </w:rPr>
      </w:pPr>
      <w:r>
        <w:rPr>
          <w:b/>
        </w:rPr>
        <w:t>Überwachung</w:t>
      </w:r>
    </w:p>
    <w:p w:rsidR="00A169C4" w:rsidRPr="00D655FE" w:rsidRDefault="004F466B" w:rsidP="00407775">
      <w:pPr>
        <w:jc w:val="both"/>
      </w:pPr>
      <w:r>
        <w:t>Die Anwendung dieser Verordnung obliegt dem IPQ, I.P., das bei der Überwachung der Inspektionsstellen durch das IPAC, I.P. mit diesem sowie bei der Überwachung mit der ASAE zusammenarbeiten kann.</w:t>
      </w:r>
    </w:p>
    <w:p w:rsidR="00042583" w:rsidRPr="00D655FE" w:rsidRDefault="009C4429" w:rsidP="005A23E3">
      <w:pPr>
        <w:keepNext/>
        <w:jc w:val="center"/>
      </w:pPr>
      <w:r>
        <w:t>Artikel 35</w:t>
      </w:r>
    </w:p>
    <w:p w:rsidR="00042583" w:rsidRPr="00D655FE" w:rsidRDefault="004F466B" w:rsidP="005A23E3">
      <w:pPr>
        <w:keepNext/>
        <w:jc w:val="center"/>
        <w:rPr>
          <w:b/>
        </w:rPr>
      </w:pPr>
      <w:r>
        <w:rPr>
          <w:b/>
        </w:rPr>
        <w:t>Papierlose Abwicklung</w:t>
      </w:r>
    </w:p>
    <w:p w:rsidR="00042583" w:rsidRPr="00D655FE" w:rsidRDefault="004F466B" w:rsidP="00042583">
      <w:pPr>
        <w:jc w:val="both"/>
      </w:pPr>
      <w:r>
        <w:t>Die Abwicklung der in dieser Verordnung vorgesehenen Verfahren erfolgt papierlos insbesondere über die Unternehmerplattform „</w:t>
      </w:r>
      <w:proofErr w:type="spellStart"/>
      <w:r>
        <w:t>Balcão</w:t>
      </w:r>
      <w:proofErr w:type="spellEnd"/>
      <w:r>
        <w:t xml:space="preserve"> do </w:t>
      </w:r>
      <w:proofErr w:type="spellStart"/>
      <w:r>
        <w:t>Empreendedor</w:t>
      </w:r>
      <w:proofErr w:type="spellEnd"/>
      <w:r>
        <w:t>“, sobald die entsprechenden Informationssysteme in Betrieb sind, die in integrierter Form neben anderen Funktionen Folgendes ermöglichen:</w:t>
      </w:r>
    </w:p>
    <w:p w:rsidR="00042583" w:rsidRPr="00D655FE" w:rsidRDefault="004F466B" w:rsidP="00042583">
      <w:pPr>
        <w:jc w:val="both"/>
      </w:pPr>
      <w:r>
        <w:t xml:space="preserve">a) elektronische Einreichung sämtlicher Anträge für die verschiedenen Zulassungsmaßnahmen; </w:t>
      </w:r>
    </w:p>
    <w:p w:rsidR="00042583" w:rsidRPr="00D655FE" w:rsidRDefault="004F466B" w:rsidP="00042583">
      <w:pPr>
        <w:jc w:val="both"/>
      </w:pPr>
      <w:r>
        <w:t xml:space="preserve">b) </w:t>
      </w:r>
      <w:r>
        <w:rPr>
          <w:i/>
        </w:rPr>
        <w:t>Online</w:t>
      </w:r>
      <w:r>
        <w:t>einsicht und -verwaltung des Stands der entsprechenden Verfahren durch die Betroffenen, insbesondere der Zulassung, der Eigentümerschaft und der Gültigkeit der Erklärungen und Bescheinigungen;</w:t>
      </w:r>
    </w:p>
    <w:p w:rsidR="00042583" w:rsidRPr="00D655FE" w:rsidRDefault="004F466B" w:rsidP="00042583">
      <w:pPr>
        <w:jc w:val="both"/>
      </w:pPr>
      <w:r>
        <w:t>c) Übermittlung und Empfang von Entscheidungen und ausgestellten Erklärungen und Bescheinigungen in elektronischer Form;</w:t>
      </w:r>
    </w:p>
    <w:p w:rsidR="00042583" w:rsidRPr="00D655FE" w:rsidRDefault="004F466B" w:rsidP="00042583">
      <w:pPr>
        <w:jc w:val="both"/>
      </w:pPr>
      <w:r>
        <w:t>d) Einreichung von Informationen an verschiedene Stellen zum Zweck der Überwachung und Kontrolle der Anwendung dieser Verordnung;</w:t>
      </w:r>
    </w:p>
    <w:p w:rsidR="00042583" w:rsidRPr="00D655FE" w:rsidRDefault="004F466B" w:rsidP="00042583">
      <w:pPr>
        <w:jc w:val="both"/>
      </w:pPr>
      <w:r>
        <w:t xml:space="preserve">e) konkrete Verfolgung durch Eingabe von Daten in einen Simulator insbesondere zum Typ des Behälters oder Geräts, </w:t>
      </w:r>
      <w:proofErr w:type="spellStart"/>
      <w:r>
        <w:t>Fluids</w:t>
      </w:r>
      <w:proofErr w:type="spellEnd"/>
      <w:r>
        <w:t>, PS, Volumen, Temperatur usw.</w:t>
      </w:r>
    </w:p>
    <w:p w:rsidR="00042583" w:rsidRPr="00D655FE" w:rsidRDefault="009C4429" w:rsidP="005A23E3">
      <w:pPr>
        <w:keepNext/>
        <w:jc w:val="center"/>
      </w:pPr>
      <w:r>
        <w:t>Artikel 36</w:t>
      </w:r>
    </w:p>
    <w:p w:rsidR="00042583" w:rsidRPr="00D655FE" w:rsidRDefault="00313F9A" w:rsidP="005A23E3">
      <w:pPr>
        <w:keepNext/>
        <w:jc w:val="center"/>
        <w:rPr>
          <w:b/>
        </w:rPr>
      </w:pPr>
      <w:r>
        <w:rPr>
          <w:b/>
        </w:rPr>
        <w:t>Ergänzende technische Anweisungen</w:t>
      </w:r>
    </w:p>
    <w:p w:rsidR="00042583" w:rsidRPr="00D655FE" w:rsidRDefault="004F466B" w:rsidP="00042583">
      <w:pPr>
        <w:jc w:val="both"/>
      </w:pPr>
      <w:r>
        <w:t>1. Die technischen Vorgaben für Einbau und Betrieb und Reparatur und Änderung von Geräten gleicher Bauart werden in ITC festgelegt, die durch Beschluss des Präsidenten des IPQ, I.P. verabschiedet werden.</w:t>
      </w:r>
    </w:p>
    <w:p w:rsidR="00042583" w:rsidRPr="00D655FE" w:rsidRDefault="004F466B" w:rsidP="00042583">
      <w:pPr>
        <w:jc w:val="both"/>
      </w:pPr>
      <w:r>
        <w:t>2. Liegt zu einer bestimmten Gerätefamilie keine anwendbare ITC vor, sind die Bestimmungen dieser Verordnung unter Ergänzung durch technische Leitlinien des IPQ, I.P. allgemein anzuwenden. Gebrauchte Druckbehälter für die Speicherung von Erdgas im gasförmigen Zustand und Speicher für Wasserstoff und Sauerstoff im gasförmigen Zustand sind davon ausgenommen. Auf diese ist die ITC für LPG bzw. für Druckluftbehälter anzuwenden.</w:t>
      </w:r>
    </w:p>
    <w:p w:rsidR="00D408A2" w:rsidRPr="00D655FE" w:rsidRDefault="004F466B" w:rsidP="00042583">
      <w:pPr>
        <w:jc w:val="both"/>
      </w:pPr>
      <w:r>
        <w:lastRenderedPageBreak/>
        <w:t xml:space="preserve">3. Angesichts des großen Spektrums an Druckgeräten, Fluiden und Funktionen kann das IPQ, I.P. zwecks Erhöhung des Sicherheitsniveaus allgemeine Druckgeräte spezifischen ITC hinzufügen. </w:t>
      </w:r>
    </w:p>
    <w:p w:rsidR="00042583" w:rsidRPr="00D655FE" w:rsidRDefault="009C4429" w:rsidP="005A23E3">
      <w:pPr>
        <w:keepNext/>
        <w:jc w:val="center"/>
      </w:pPr>
      <w:r>
        <w:t>Artikel 37</w:t>
      </w:r>
    </w:p>
    <w:p w:rsidR="00042583" w:rsidRPr="00D655FE" w:rsidRDefault="004F466B" w:rsidP="005A23E3">
      <w:pPr>
        <w:keepNext/>
        <w:jc w:val="center"/>
        <w:rPr>
          <w:b/>
        </w:rPr>
      </w:pPr>
      <w:r>
        <w:rPr>
          <w:b/>
        </w:rPr>
        <w:t>Anwendung für die Autonomen Regionen</w:t>
      </w:r>
    </w:p>
    <w:p w:rsidR="00FB1633" w:rsidRPr="00D655FE" w:rsidRDefault="004F466B" w:rsidP="003C25E2">
      <w:pPr>
        <w:jc w:val="both"/>
      </w:pPr>
      <w:r>
        <w:t>Für die Vorschriften und Verfahren, die für die Ausführung des vorliegenden Gesetzesdekrets in den Autonomen Regionen Azoren und Madeira erforderlich sind, zeichnen die Stellen der jeweiligen Regionalverwaltungen mit Befugnissen und Zuständigkeiten für die betreffenden Bereiche verantwortlich.</w:t>
      </w:r>
    </w:p>
    <w:p w:rsidR="008F3612" w:rsidRPr="00D655FE" w:rsidRDefault="008F3612" w:rsidP="005A23E3">
      <w:pPr>
        <w:keepNext/>
        <w:jc w:val="center"/>
      </w:pPr>
      <w:r>
        <w:t>Artikel 38</w:t>
      </w:r>
    </w:p>
    <w:p w:rsidR="008F3612" w:rsidRPr="00D655FE" w:rsidRDefault="008F3612" w:rsidP="005A23E3">
      <w:pPr>
        <w:keepNext/>
        <w:jc w:val="center"/>
        <w:rPr>
          <w:b/>
        </w:rPr>
      </w:pPr>
      <w:r>
        <w:rPr>
          <w:b/>
        </w:rPr>
        <w:t>Übergangsbestimmung</w:t>
      </w:r>
    </w:p>
    <w:p w:rsidR="008F3612" w:rsidRPr="00D655FE" w:rsidRDefault="008F3612" w:rsidP="008F3612">
      <w:pPr>
        <w:jc w:val="both"/>
      </w:pPr>
      <w:r>
        <w:t>Auf Zulassungsverfahren, die zum Zeitpunkt des Inkrafttretens dieser Verordnung bereits laufen, ist bis zu ihrem Abschluss die Regelung nach Gesetzesdekret Nr. 90/2010 vom 22. Juli anzuwenden.</w:t>
      </w:r>
    </w:p>
    <w:p w:rsidR="00DF5785" w:rsidRPr="00D655FE" w:rsidRDefault="00426E6D" w:rsidP="00D71A59">
      <w:pPr>
        <w:pageBreakBefore/>
        <w:jc w:val="center"/>
      </w:pPr>
      <w:r>
        <w:lastRenderedPageBreak/>
        <w:t xml:space="preserve">ANHANG I </w:t>
      </w:r>
    </w:p>
    <w:p w:rsidR="009C6446" w:rsidRPr="00D655FE" w:rsidRDefault="009C6446" w:rsidP="009C6446">
      <w:pPr>
        <w:jc w:val="center"/>
        <w:rPr>
          <w:i/>
        </w:rPr>
      </w:pPr>
      <w:r>
        <w:t>(</w:t>
      </w:r>
      <w:r>
        <w:rPr>
          <w:i/>
        </w:rPr>
        <w:t>auf den sich Artikel 4 Absatz 3 bezieht</w:t>
      </w:r>
      <w:r>
        <w:t>)</w:t>
      </w:r>
    </w:p>
    <w:p w:rsidR="009F09B0" w:rsidRPr="00D655FE" w:rsidRDefault="009F09B0" w:rsidP="009F09B0">
      <w:pPr>
        <w:jc w:val="center"/>
        <w:rPr>
          <w:b/>
        </w:rPr>
      </w:pPr>
      <w:r>
        <w:rPr>
          <w:b/>
        </w:rPr>
        <w:t>Neubewertung der Konformität</w:t>
      </w:r>
    </w:p>
    <w:p w:rsidR="009F09B0" w:rsidRPr="00D655FE" w:rsidRDefault="009F09B0" w:rsidP="00AC7C97">
      <w:pPr>
        <w:spacing w:after="0" w:line="240" w:lineRule="auto"/>
        <w:jc w:val="both"/>
      </w:pPr>
      <w:r>
        <w:t>Dem Antrag auf Neubewertung der Konformität müssen folgende Informationen und Dokumente beigefügt sein:</w:t>
      </w:r>
    </w:p>
    <w:p w:rsidR="009F09B0" w:rsidRPr="00D655FE" w:rsidRDefault="009F09B0" w:rsidP="00AC7C97">
      <w:pPr>
        <w:spacing w:after="0" w:line="240" w:lineRule="auto"/>
        <w:jc w:val="both"/>
      </w:pPr>
      <w:r>
        <w:t xml:space="preserve">a) Firmenbezeichnung, Steuernummer, Telefonnummer und </w:t>
      </w:r>
      <w:r>
        <w:rPr>
          <w:i/>
        </w:rPr>
        <w:t>E-Mail</w:t>
      </w:r>
      <w:r>
        <w:t>-Adresse des Eigentümers oder gesetzlich bevollmächtigten Nutzers;</w:t>
      </w:r>
    </w:p>
    <w:p w:rsidR="009F09B0" w:rsidRPr="00D655FE" w:rsidRDefault="00DD79F6" w:rsidP="00AC7C97">
      <w:pPr>
        <w:spacing w:after="0" w:line="240" w:lineRule="auto"/>
        <w:jc w:val="both"/>
      </w:pPr>
      <w:r>
        <w:t>b) Anschrift des Eigentümers oder gesetzlich bevollmächtigten Nutzers und des Gerätestandorts einschließlich Postleitzahl, Gemeinde, Kommune, Bezirk und GPS-Koordinaten;</w:t>
      </w:r>
    </w:p>
    <w:p w:rsidR="009F09B0" w:rsidRPr="00D655FE" w:rsidRDefault="009F09B0" w:rsidP="00AC7C97">
      <w:pPr>
        <w:spacing w:after="0" w:line="240" w:lineRule="auto"/>
        <w:jc w:val="both"/>
      </w:pPr>
      <w:r>
        <w:t>c) Code der wirtschaftlichen Haupttätigkeit des Eigentümers;</w:t>
      </w:r>
    </w:p>
    <w:p w:rsidR="00AC125D" w:rsidRPr="00D655FE" w:rsidRDefault="00AC125D" w:rsidP="00AC7C97">
      <w:pPr>
        <w:spacing w:after="0" w:line="240" w:lineRule="auto"/>
        <w:jc w:val="both"/>
      </w:pPr>
      <w:r>
        <w:t>d) Kennnummer (Registernummer) des Behälters oder Geräts, sofern zutreffend</w:t>
      </w:r>
    </w:p>
    <w:p w:rsidR="009F09B0" w:rsidRPr="00D655FE" w:rsidRDefault="00AC125D" w:rsidP="00AC7C97">
      <w:pPr>
        <w:spacing w:after="0" w:line="240" w:lineRule="auto"/>
        <w:jc w:val="both"/>
      </w:pPr>
      <w:r>
        <w:t>e) Dokument der Bauzulassung oder Konformitätserklärung für den Behälter oder das Gerät;</w:t>
      </w:r>
    </w:p>
    <w:p w:rsidR="009F09B0" w:rsidRPr="00D655FE" w:rsidRDefault="00AC125D" w:rsidP="00AC7C97">
      <w:pPr>
        <w:spacing w:after="0" w:line="240" w:lineRule="auto"/>
        <w:jc w:val="both"/>
      </w:pPr>
      <w:r>
        <w:t>f) erkennbare Fotografien von Typenschild und Geräteschild (Registrierplakette) des Behälters oder Geräts, sofern zutreffend;</w:t>
      </w:r>
    </w:p>
    <w:p w:rsidR="009F09B0" w:rsidRPr="00D655FE" w:rsidRDefault="00AC125D" w:rsidP="00AC7C97">
      <w:pPr>
        <w:spacing w:after="0" w:line="240" w:lineRule="auto"/>
        <w:jc w:val="both"/>
      </w:pPr>
      <w:r>
        <w:t xml:space="preserve">g) Projektbeschreibung unter Angabe der Eigenschaften und des Typs des Behälters oder Geräts; </w:t>
      </w:r>
    </w:p>
    <w:p w:rsidR="009F09B0" w:rsidRPr="00D655FE" w:rsidRDefault="00AC125D" w:rsidP="00AC7C97">
      <w:pPr>
        <w:spacing w:after="0" w:line="240" w:lineRule="auto"/>
        <w:jc w:val="both"/>
      </w:pPr>
      <w:r>
        <w:t>h) Eigentumsnachweis für den Behälter oder das Gerät;</w:t>
      </w:r>
    </w:p>
    <w:p w:rsidR="009F09B0" w:rsidRPr="00D655FE" w:rsidRDefault="00AC125D" w:rsidP="00AC7C97">
      <w:pPr>
        <w:spacing w:after="0" w:line="240" w:lineRule="auto"/>
        <w:jc w:val="both"/>
      </w:pPr>
      <w:r>
        <w:t xml:space="preserve">i) gültige Bescheinigung über die messtechnische Kontrolle des Druckmessgeräts; </w:t>
      </w:r>
    </w:p>
    <w:p w:rsidR="009F09B0" w:rsidRPr="00D655FE" w:rsidRDefault="00AC125D" w:rsidP="00AC7C97">
      <w:pPr>
        <w:spacing w:after="0" w:line="240" w:lineRule="auto"/>
        <w:jc w:val="both"/>
      </w:pPr>
      <w:r>
        <w:t>j) Inspektionsbericht der Inspektionsstelle über die Tauglichkeit für den Betrieb, gegebenenfalls einschließlich Neuberechnung;</w:t>
      </w:r>
    </w:p>
    <w:p w:rsidR="009F09B0" w:rsidRPr="00D655FE" w:rsidRDefault="00AC125D" w:rsidP="00AC7C97">
      <w:pPr>
        <w:spacing w:after="0" w:line="240" w:lineRule="auto"/>
        <w:jc w:val="both"/>
      </w:pPr>
      <w:r>
        <w:t>k) Detailentwurf des Behälters oder Geräts, sofern zutreffend.</w:t>
      </w:r>
    </w:p>
    <w:p w:rsidR="009D71C3" w:rsidRPr="00D655FE" w:rsidRDefault="009D71C3" w:rsidP="009F09B0">
      <w:pPr>
        <w:jc w:val="center"/>
      </w:pPr>
    </w:p>
    <w:p w:rsidR="009F09B0" w:rsidRPr="00D655FE" w:rsidRDefault="009F09B0" w:rsidP="005A23E3">
      <w:pPr>
        <w:keepNext/>
        <w:jc w:val="center"/>
      </w:pPr>
      <w:r>
        <w:t>ANHANG II</w:t>
      </w:r>
    </w:p>
    <w:p w:rsidR="009C6446" w:rsidRPr="00D655FE" w:rsidRDefault="009C6446" w:rsidP="005A23E3">
      <w:pPr>
        <w:keepNext/>
        <w:jc w:val="center"/>
        <w:rPr>
          <w:i/>
        </w:rPr>
      </w:pPr>
      <w:r>
        <w:t>(</w:t>
      </w:r>
      <w:r>
        <w:rPr>
          <w:i/>
        </w:rPr>
        <w:t>auf den sich Artikel 4 Absatz 5 bezieht</w:t>
      </w:r>
      <w:r>
        <w:t>)</w:t>
      </w:r>
    </w:p>
    <w:p w:rsidR="009F09B0" w:rsidRPr="00D655FE" w:rsidRDefault="009F09B0" w:rsidP="005A23E3">
      <w:pPr>
        <w:keepNext/>
        <w:jc w:val="center"/>
        <w:rPr>
          <w:b/>
        </w:rPr>
      </w:pPr>
      <w:r>
        <w:rPr>
          <w:b/>
        </w:rPr>
        <w:t>Konformitätsbewertungsbescheinigung</w:t>
      </w:r>
    </w:p>
    <w:p w:rsidR="00AC7C97" w:rsidRPr="00D655FE" w:rsidRDefault="00AC7C97" w:rsidP="00AC7C97">
      <w:pPr>
        <w:spacing w:after="0" w:line="240" w:lineRule="auto"/>
        <w:jc w:val="both"/>
      </w:pPr>
      <w:r>
        <w:t>Dem Antrag auf Konformitätsbewertung müssen folgende Informationen und Dokumente beigefügt sein:</w:t>
      </w:r>
    </w:p>
    <w:p w:rsidR="00AC125D" w:rsidRPr="00D655FE" w:rsidRDefault="00AC125D" w:rsidP="00AC7C97">
      <w:pPr>
        <w:spacing w:after="0" w:line="240" w:lineRule="auto"/>
        <w:jc w:val="both"/>
      </w:pPr>
      <w:r>
        <w:t>a) Kennnummer (Registernummer) des Behälters oder Geräts, sofern zutreffend;</w:t>
      </w:r>
    </w:p>
    <w:p w:rsidR="00AC125D" w:rsidRPr="00D655FE" w:rsidRDefault="00AC125D" w:rsidP="00AC7C97">
      <w:pPr>
        <w:spacing w:after="0" w:line="240" w:lineRule="auto"/>
        <w:jc w:val="both"/>
      </w:pPr>
      <w:r>
        <w:t>b) nähere Angaben zum Eigentümer (Firmenbezeichnung und Code der wirtschaftlichen Haupttätigkeit);</w:t>
      </w:r>
    </w:p>
    <w:p w:rsidR="00AC125D" w:rsidRPr="00D655FE" w:rsidRDefault="00AC125D" w:rsidP="00AC7C97">
      <w:pPr>
        <w:spacing w:after="0" w:line="240" w:lineRule="auto"/>
        <w:jc w:val="both"/>
      </w:pPr>
      <w:r>
        <w:t>c) nähere Angaben zum Nutzer (Bezeichnung und Code der wirtschaftlichen Haupttätigkeit, sofern zutreffend);</w:t>
      </w:r>
    </w:p>
    <w:p w:rsidR="00AC125D" w:rsidRPr="00D655FE" w:rsidRDefault="007A6ABD" w:rsidP="00AC7C97">
      <w:pPr>
        <w:spacing w:after="0" w:line="240" w:lineRule="auto"/>
        <w:jc w:val="both"/>
      </w:pPr>
      <w:r>
        <w:t>d) Behälter- oder Gerätetyp;</w:t>
      </w:r>
    </w:p>
    <w:p w:rsidR="00B913EF" w:rsidRPr="00D655FE" w:rsidRDefault="00B913EF" w:rsidP="00B913EF">
      <w:pPr>
        <w:spacing w:after="0" w:line="240" w:lineRule="auto"/>
        <w:jc w:val="both"/>
      </w:pPr>
      <w:r>
        <w:t xml:space="preserve">e) Eigenschaften des Behälters oder Geräts: </w:t>
      </w:r>
    </w:p>
    <w:p w:rsidR="00B913EF" w:rsidRPr="00D655FE" w:rsidRDefault="00B913EF" w:rsidP="00B913EF">
      <w:pPr>
        <w:spacing w:after="0" w:line="240" w:lineRule="auto"/>
        <w:jc w:val="both"/>
      </w:pPr>
      <w:r>
        <w:rPr>
          <w:i/>
        </w:rPr>
        <w:t>i)</w:t>
      </w:r>
      <w:r>
        <w:t xml:space="preserve"> Firmenbezeichnung des Herstellers mit Angabe des Landes;</w:t>
      </w:r>
    </w:p>
    <w:p w:rsidR="00B913EF" w:rsidRPr="00D655FE" w:rsidRDefault="00B913EF" w:rsidP="00B913EF">
      <w:pPr>
        <w:spacing w:after="0" w:line="240" w:lineRule="auto"/>
        <w:jc w:val="both"/>
      </w:pPr>
      <w:r>
        <w:rPr>
          <w:i/>
        </w:rPr>
        <w:t>ii)</w:t>
      </w:r>
      <w:r>
        <w:t xml:space="preserve"> Bauart;</w:t>
      </w:r>
    </w:p>
    <w:p w:rsidR="00B913EF" w:rsidRPr="00D655FE" w:rsidRDefault="00B913EF" w:rsidP="00B913EF">
      <w:pPr>
        <w:spacing w:after="0" w:line="240" w:lineRule="auto"/>
        <w:jc w:val="both"/>
      </w:pPr>
      <w:r>
        <w:rPr>
          <w:i/>
        </w:rPr>
        <w:t>iii)</w:t>
      </w:r>
      <w:r>
        <w:t xml:space="preserve"> Baujahr und Fertigungsnummer;</w:t>
      </w:r>
    </w:p>
    <w:p w:rsidR="00B913EF" w:rsidRPr="00D655FE" w:rsidRDefault="00B913EF" w:rsidP="00B913EF">
      <w:pPr>
        <w:spacing w:after="0" w:line="240" w:lineRule="auto"/>
        <w:jc w:val="both"/>
      </w:pPr>
      <w:r>
        <w:rPr>
          <w:i/>
        </w:rPr>
        <w:t>iv)</w:t>
      </w:r>
      <w:r>
        <w:t xml:space="preserve"> Anzahl der Kammern, sofern zutreffend, und entsprechende Werte für PS, Volumen, Fluid und Mindest- und Höchsttemperaturen;</w:t>
      </w:r>
    </w:p>
    <w:p w:rsidR="00B913EF" w:rsidRPr="00D655FE" w:rsidRDefault="00B913EF" w:rsidP="00B913EF">
      <w:pPr>
        <w:spacing w:after="0" w:line="240" w:lineRule="auto"/>
        <w:jc w:val="both"/>
      </w:pPr>
      <w:r>
        <w:rPr>
          <w:i/>
        </w:rPr>
        <w:t>v)</w:t>
      </w:r>
      <w:r>
        <w:t xml:space="preserve"> Verdampfung, Heizfläche, Leistung und Brennstoff, sofern zutreffend;</w:t>
      </w:r>
    </w:p>
    <w:p w:rsidR="00AC125D" w:rsidRPr="00D655FE" w:rsidRDefault="007A6ABD" w:rsidP="00AC7C97">
      <w:pPr>
        <w:spacing w:after="0" w:line="240" w:lineRule="auto"/>
        <w:jc w:val="both"/>
      </w:pPr>
      <w:r>
        <w:t>f) für die Durchführung des Druckversuchs zuständige Stelle und Datum der Durchführung;</w:t>
      </w:r>
    </w:p>
    <w:p w:rsidR="00AC125D" w:rsidRPr="00D655FE" w:rsidRDefault="007A6ABD" w:rsidP="00AC7C97">
      <w:pPr>
        <w:spacing w:after="0" w:line="240" w:lineRule="auto"/>
        <w:jc w:val="both"/>
      </w:pPr>
      <w:r>
        <w:t>g) Nummer des Inspektionsberichts, Erstellungsdatum und Nennung der Inspektionsstelle;</w:t>
      </w:r>
    </w:p>
    <w:p w:rsidR="00AC125D" w:rsidRPr="00D655FE" w:rsidRDefault="007A6ABD" w:rsidP="00AC7C97">
      <w:pPr>
        <w:spacing w:after="0" w:line="240" w:lineRule="auto"/>
        <w:jc w:val="both"/>
      </w:pPr>
      <w:r>
        <w:t>h) Datum der Besichtigung durch das IPQ, I.P., sofern zutreffend;</w:t>
      </w:r>
    </w:p>
    <w:p w:rsidR="00AC125D" w:rsidRPr="00D655FE" w:rsidRDefault="007A6ABD" w:rsidP="00AC7C97">
      <w:pPr>
        <w:spacing w:after="0" w:line="240" w:lineRule="auto"/>
        <w:jc w:val="both"/>
      </w:pPr>
      <w:r>
        <w:t>i) gegebenenfalls bestehende Bedingungen für Behälter bzw. Gerät oder Anlage;</w:t>
      </w:r>
    </w:p>
    <w:p w:rsidR="00AC125D" w:rsidRPr="00D655FE" w:rsidRDefault="000A18EE" w:rsidP="00AC7C97">
      <w:pPr>
        <w:spacing w:after="0" w:line="240" w:lineRule="auto"/>
        <w:jc w:val="both"/>
      </w:pPr>
      <w:r>
        <w:t>j) Datum und Unterschrift.</w:t>
      </w:r>
    </w:p>
    <w:p w:rsidR="000A18EE" w:rsidRPr="00D655FE" w:rsidRDefault="000A18EE" w:rsidP="009C6446">
      <w:pPr>
        <w:jc w:val="center"/>
      </w:pPr>
    </w:p>
    <w:p w:rsidR="009C6446" w:rsidRPr="00D655FE" w:rsidRDefault="009C6446" w:rsidP="005A23E3">
      <w:pPr>
        <w:keepNext/>
        <w:jc w:val="center"/>
      </w:pPr>
      <w:r>
        <w:lastRenderedPageBreak/>
        <w:t>ANHANG III</w:t>
      </w:r>
    </w:p>
    <w:p w:rsidR="009C6446" w:rsidRPr="00D655FE" w:rsidRDefault="009C6446" w:rsidP="005A23E3">
      <w:pPr>
        <w:keepNext/>
        <w:jc w:val="center"/>
        <w:rPr>
          <w:i/>
        </w:rPr>
      </w:pPr>
      <w:r>
        <w:t>(</w:t>
      </w:r>
      <w:r>
        <w:rPr>
          <w:i/>
        </w:rPr>
        <w:t>auf den sich Artikel 9 Absatz 1 bezieht</w:t>
      </w:r>
      <w:r>
        <w:t>)</w:t>
      </w:r>
    </w:p>
    <w:p w:rsidR="009C6446" w:rsidRPr="00D655FE" w:rsidRDefault="009C6446" w:rsidP="005A23E3">
      <w:pPr>
        <w:keepNext/>
        <w:jc w:val="center"/>
        <w:rPr>
          <w:b/>
        </w:rPr>
      </w:pPr>
      <w:r>
        <w:rPr>
          <w:b/>
        </w:rPr>
        <w:t>Betriebsanmeldung einfacher Druckbehälter</w:t>
      </w:r>
    </w:p>
    <w:p w:rsidR="009C6446" w:rsidRPr="00D655FE" w:rsidRDefault="009C6446" w:rsidP="00AF51F0">
      <w:pPr>
        <w:spacing w:after="0" w:line="240" w:lineRule="auto"/>
        <w:jc w:val="both"/>
      </w:pPr>
      <w:r>
        <w:t>1. Der Betriebsanmeldung für einfache Druckbehälter müssen folgende Informationen und Dokumente beigefügt sein:</w:t>
      </w:r>
    </w:p>
    <w:p w:rsidR="009C6446" w:rsidRPr="00D655FE" w:rsidRDefault="009C6446" w:rsidP="00AF51F0">
      <w:pPr>
        <w:spacing w:after="0" w:line="240" w:lineRule="auto"/>
        <w:jc w:val="both"/>
      </w:pPr>
      <w:r>
        <w:t xml:space="preserve">a) Firmenbezeichnung, Steuernummer, Telefonnummer und </w:t>
      </w:r>
      <w:r>
        <w:rPr>
          <w:i/>
        </w:rPr>
        <w:t>E-Mail</w:t>
      </w:r>
      <w:r>
        <w:t>-Adresse des Eigentümers oder gesetzlich bevollmächtigten Nutzers;</w:t>
      </w:r>
    </w:p>
    <w:p w:rsidR="009C6446" w:rsidRPr="00D655FE" w:rsidRDefault="009C6446" w:rsidP="00AF51F0">
      <w:pPr>
        <w:spacing w:after="0" w:line="240" w:lineRule="auto"/>
        <w:jc w:val="both"/>
      </w:pPr>
      <w:r>
        <w:t>b) Name des Nutzers und Anschrift des Anlagenstandorts einschließlich Postleitzahl, Gemeinde, Kommune, Bezirk und GPS-Koordinaten;</w:t>
      </w:r>
    </w:p>
    <w:p w:rsidR="009C6446" w:rsidRPr="00D655FE" w:rsidRDefault="009C6446" w:rsidP="00AF51F0">
      <w:pPr>
        <w:spacing w:after="0" w:line="240" w:lineRule="auto"/>
        <w:jc w:val="both"/>
      </w:pPr>
      <w:r>
        <w:t>c) Code der wirtschaftlichen Haupttätigkeit des Eigentümers;</w:t>
      </w:r>
    </w:p>
    <w:p w:rsidR="009C6446" w:rsidRPr="00D655FE" w:rsidRDefault="009C6446" w:rsidP="00AF51F0">
      <w:pPr>
        <w:spacing w:after="0" w:line="240" w:lineRule="auto"/>
        <w:jc w:val="both"/>
      </w:pPr>
      <w:r>
        <w:t>d) Kennnummer (Registernummer) des einfachen Druckbehälters, sofern zutreffend;</w:t>
      </w:r>
    </w:p>
    <w:p w:rsidR="009C6446" w:rsidRPr="00D655FE" w:rsidRDefault="009C6446" w:rsidP="00AF51F0">
      <w:pPr>
        <w:spacing w:after="0" w:line="240" w:lineRule="auto"/>
        <w:jc w:val="both"/>
      </w:pPr>
      <w:r>
        <w:t xml:space="preserve">e) Eigenschaften des einfachen Druckbehälters: </w:t>
      </w:r>
    </w:p>
    <w:p w:rsidR="009C6446" w:rsidRPr="00D655FE" w:rsidRDefault="009C6446" w:rsidP="00AF51F0">
      <w:pPr>
        <w:spacing w:after="0" w:line="240" w:lineRule="auto"/>
        <w:jc w:val="both"/>
      </w:pPr>
      <w:r>
        <w:rPr>
          <w:i/>
        </w:rPr>
        <w:t>i)</w:t>
      </w:r>
      <w:r>
        <w:t xml:space="preserve"> Firmenbezeichnung des Herstellers mit Angabe des Landes;</w:t>
      </w:r>
    </w:p>
    <w:p w:rsidR="009C6446" w:rsidRPr="00D655FE" w:rsidRDefault="009C6446" w:rsidP="00AF51F0">
      <w:pPr>
        <w:spacing w:after="0" w:line="240" w:lineRule="auto"/>
        <w:jc w:val="both"/>
      </w:pPr>
      <w:r>
        <w:rPr>
          <w:i/>
        </w:rPr>
        <w:t>ii)</w:t>
      </w:r>
      <w:r>
        <w:t xml:space="preserve"> Bauart;</w:t>
      </w:r>
    </w:p>
    <w:p w:rsidR="009C6446" w:rsidRPr="00D655FE" w:rsidRDefault="009C6446" w:rsidP="00AF51F0">
      <w:pPr>
        <w:spacing w:after="0" w:line="240" w:lineRule="auto"/>
        <w:jc w:val="both"/>
      </w:pPr>
      <w:r>
        <w:rPr>
          <w:i/>
        </w:rPr>
        <w:t>iii)</w:t>
      </w:r>
      <w:r>
        <w:t xml:space="preserve"> Baujahr und Fertigungsnummer;</w:t>
      </w:r>
    </w:p>
    <w:p w:rsidR="009C6446" w:rsidRPr="00D655FE" w:rsidRDefault="009C6446" w:rsidP="00AF51F0">
      <w:pPr>
        <w:spacing w:after="0" w:line="240" w:lineRule="auto"/>
        <w:jc w:val="both"/>
      </w:pPr>
      <w:r>
        <w:rPr>
          <w:i/>
        </w:rPr>
        <w:t>iv)</w:t>
      </w:r>
      <w:r>
        <w:t xml:space="preserve"> Werte für PS, Volumen, Fluid und Mindest- und Höchsttemperaturen;</w:t>
      </w:r>
    </w:p>
    <w:p w:rsidR="009C6446" w:rsidRPr="00D655FE" w:rsidRDefault="009C6446" w:rsidP="00AF51F0">
      <w:pPr>
        <w:spacing w:after="0" w:line="240" w:lineRule="auto"/>
        <w:jc w:val="both"/>
      </w:pPr>
      <w:r>
        <w:t>f) Konformitätserklärung oder Bauzulassungsbescheinigung oder Nachweis über die Neubewertung der Konformität, sofern nicht bereits eingereicht;</w:t>
      </w:r>
    </w:p>
    <w:p w:rsidR="009C6446" w:rsidRPr="00D655FE" w:rsidRDefault="009C6446" w:rsidP="00AF51F0">
      <w:pPr>
        <w:spacing w:after="0" w:line="240" w:lineRule="auto"/>
        <w:jc w:val="both"/>
      </w:pPr>
      <w:r>
        <w:t>g) Fotografie des Typenschilds des einfachen Druckbehälters;</w:t>
      </w:r>
    </w:p>
    <w:p w:rsidR="009C6446" w:rsidRPr="00D655FE" w:rsidRDefault="009C6446" w:rsidP="00AF51F0">
      <w:pPr>
        <w:spacing w:after="0" w:line="240" w:lineRule="auto"/>
        <w:jc w:val="both"/>
      </w:pPr>
      <w:r>
        <w:t>h) Inspektionsbericht der Inspektionsstelle mit positivem Ergebnis.</w:t>
      </w:r>
    </w:p>
    <w:p w:rsidR="009C6446" w:rsidRPr="00D655FE" w:rsidRDefault="009C6446" w:rsidP="00AF51F0">
      <w:pPr>
        <w:spacing w:after="0" w:line="240" w:lineRule="auto"/>
        <w:jc w:val="both"/>
      </w:pPr>
      <w:r>
        <w:t>2. Für die Verlängerung der Betriebsvalidierung und bei Änderungen des Einbauorts einfacher Druckbehälter ist der Antragsteller von der Einreichung der Dokumente nach den Buchstaben f und g dieses Anhangs befreit.</w:t>
      </w:r>
    </w:p>
    <w:p w:rsidR="00AF51F0" w:rsidRPr="00D655FE" w:rsidRDefault="00AF51F0" w:rsidP="009C6446">
      <w:pPr>
        <w:jc w:val="center"/>
      </w:pPr>
    </w:p>
    <w:p w:rsidR="009C6446" w:rsidRPr="00D655FE" w:rsidRDefault="009C6446" w:rsidP="005A23E3">
      <w:pPr>
        <w:keepNext/>
        <w:jc w:val="center"/>
      </w:pPr>
      <w:r>
        <w:t>ANHANG IV</w:t>
      </w:r>
    </w:p>
    <w:p w:rsidR="009C6446" w:rsidRPr="00D655FE" w:rsidRDefault="009C6446" w:rsidP="005A23E3">
      <w:pPr>
        <w:keepNext/>
        <w:jc w:val="center"/>
        <w:rPr>
          <w:i/>
        </w:rPr>
      </w:pPr>
      <w:r>
        <w:t>(</w:t>
      </w:r>
      <w:r>
        <w:rPr>
          <w:i/>
        </w:rPr>
        <w:t>auf den sich Artikel 9 Absätze 2 und 4 beziehen)</w:t>
      </w:r>
    </w:p>
    <w:p w:rsidR="009C6446" w:rsidRPr="00D655FE" w:rsidRDefault="009C6446" w:rsidP="005A23E3">
      <w:pPr>
        <w:keepNext/>
        <w:jc w:val="center"/>
        <w:rPr>
          <w:b/>
        </w:rPr>
      </w:pPr>
      <w:r>
        <w:rPr>
          <w:b/>
        </w:rPr>
        <w:t>Betriebsvalidierungsbescheinigung</w:t>
      </w:r>
    </w:p>
    <w:p w:rsidR="009F09B0" w:rsidRPr="00D655FE" w:rsidRDefault="009F09B0" w:rsidP="00AF51F0">
      <w:pPr>
        <w:spacing w:after="0" w:line="240" w:lineRule="auto"/>
        <w:jc w:val="both"/>
      </w:pPr>
      <w:r>
        <w:t>Die vom IPQ, I.P. ausgestellte Betriebsvalidierungsbescheinigung für einfache Druckbehälter muss die nachfolgend aufgeführten Angaben enthalten:</w:t>
      </w:r>
    </w:p>
    <w:p w:rsidR="009F09B0" w:rsidRPr="00D655FE" w:rsidRDefault="009F09B0" w:rsidP="00AF51F0">
      <w:pPr>
        <w:spacing w:after="0" w:line="240" w:lineRule="auto"/>
        <w:jc w:val="both"/>
      </w:pPr>
      <w:r>
        <w:t>a) Kennnummer des Behälters oder Geräts;</w:t>
      </w:r>
    </w:p>
    <w:p w:rsidR="009F09B0" w:rsidRPr="00D655FE" w:rsidRDefault="009F09B0" w:rsidP="00AF51F0">
      <w:pPr>
        <w:spacing w:after="0" w:line="240" w:lineRule="auto"/>
        <w:jc w:val="both"/>
      </w:pPr>
      <w:r>
        <w:t>b) nähere Angaben zum Eigentümer (Firmenbezeichnung und Code der wirtschaftlichen Haupttätigkeit);</w:t>
      </w:r>
    </w:p>
    <w:p w:rsidR="009F09B0" w:rsidRPr="00D655FE" w:rsidRDefault="009F09B0" w:rsidP="00AF51F0">
      <w:pPr>
        <w:spacing w:after="0" w:line="240" w:lineRule="auto"/>
        <w:jc w:val="both"/>
      </w:pPr>
      <w:r>
        <w:t>c) nähere Angaben zum Nutzer (Bezeichnung und Code der wirtschaftlichen Haupttätigkeit, sofern zutreffend);</w:t>
      </w:r>
    </w:p>
    <w:p w:rsidR="009F09B0" w:rsidRPr="00D655FE" w:rsidRDefault="009F09B0" w:rsidP="00AF51F0">
      <w:pPr>
        <w:spacing w:after="0" w:line="240" w:lineRule="auto"/>
        <w:jc w:val="both"/>
      </w:pPr>
      <w:r>
        <w:t>d) Angabe des Einbauorts, sofern zutreffend;</w:t>
      </w:r>
    </w:p>
    <w:p w:rsidR="009F09B0" w:rsidRPr="00D655FE" w:rsidRDefault="009F09B0" w:rsidP="00AF51F0">
      <w:pPr>
        <w:spacing w:after="0" w:line="240" w:lineRule="auto"/>
        <w:jc w:val="both"/>
      </w:pPr>
      <w:r>
        <w:t>e) Behälter- oder Gerätetyp;</w:t>
      </w:r>
    </w:p>
    <w:p w:rsidR="00B913EF" w:rsidRPr="00D655FE" w:rsidRDefault="00B913EF" w:rsidP="00B913EF">
      <w:pPr>
        <w:spacing w:after="0" w:line="240" w:lineRule="auto"/>
        <w:jc w:val="both"/>
      </w:pPr>
      <w:r>
        <w:t xml:space="preserve">f) Eigenschaften des Behälters oder Geräts: </w:t>
      </w:r>
    </w:p>
    <w:p w:rsidR="00B913EF" w:rsidRPr="00D655FE" w:rsidRDefault="00B913EF" w:rsidP="00B913EF">
      <w:pPr>
        <w:spacing w:after="0" w:line="240" w:lineRule="auto"/>
        <w:jc w:val="both"/>
      </w:pPr>
      <w:r>
        <w:rPr>
          <w:i/>
        </w:rPr>
        <w:t>i)</w:t>
      </w:r>
      <w:r>
        <w:t xml:space="preserve"> Firmenbezeichnung des Herstellers mit Angabe des Landes;</w:t>
      </w:r>
    </w:p>
    <w:p w:rsidR="00B913EF" w:rsidRPr="00D655FE" w:rsidRDefault="00B913EF" w:rsidP="00B913EF">
      <w:pPr>
        <w:spacing w:after="0" w:line="240" w:lineRule="auto"/>
        <w:jc w:val="both"/>
      </w:pPr>
      <w:r>
        <w:rPr>
          <w:i/>
        </w:rPr>
        <w:t>ii)</w:t>
      </w:r>
      <w:r>
        <w:t xml:space="preserve"> Bauart;</w:t>
      </w:r>
    </w:p>
    <w:p w:rsidR="00B913EF" w:rsidRPr="00D655FE" w:rsidRDefault="00B913EF" w:rsidP="00B913EF">
      <w:pPr>
        <w:spacing w:after="0" w:line="240" w:lineRule="auto"/>
        <w:jc w:val="both"/>
      </w:pPr>
      <w:r>
        <w:rPr>
          <w:i/>
        </w:rPr>
        <w:t>iii)</w:t>
      </w:r>
      <w:r>
        <w:t xml:space="preserve"> Baujahr und Fertigungsnummer;</w:t>
      </w:r>
    </w:p>
    <w:p w:rsidR="00B913EF" w:rsidRPr="00D655FE" w:rsidRDefault="00B913EF" w:rsidP="00B913EF">
      <w:pPr>
        <w:spacing w:after="0" w:line="240" w:lineRule="auto"/>
        <w:jc w:val="both"/>
      </w:pPr>
      <w:r>
        <w:rPr>
          <w:i/>
        </w:rPr>
        <w:t>iv)</w:t>
      </w:r>
      <w:r>
        <w:t xml:space="preserve"> Anzahl der Kammern, sofern zutreffend, und entsprechende Werte für PS, Volumen, Fluid und Mindest- und Höchsttemperaturen;</w:t>
      </w:r>
    </w:p>
    <w:p w:rsidR="009F09B0" w:rsidRPr="00D655FE" w:rsidRDefault="009F09B0" w:rsidP="00AF51F0">
      <w:pPr>
        <w:spacing w:after="0" w:line="240" w:lineRule="auto"/>
        <w:jc w:val="both"/>
      </w:pPr>
      <w:r>
        <w:t>g) für die Durchführung des Druckversuchs zuständige Stelle und Datum der Durchführung;</w:t>
      </w:r>
    </w:p>
    <w:p w:rsidR="009F09B0" w:rsidRPr="00D655FE" w:rsidRDefault="009F09B0" w:rsidP="00AF51F0">
      <w:pPr>
        <w:spacing w:after="0" w:line="240" w:lineRule="auto"/>
        <w:jc w:val="both"/>
      </w:pPr>
      <w:r>
        <w:t>h) Nummer des Inspektionsberichts, Erstellungsdatum und Angabe der Inspektionsstelle;</w:t>
      </w:r>
    </w:p>
    <w:p w:rsidR="009F09B0" w:rsidRPr="00D655FE" w:rsidRDefault="009F09B0" w:rsidP="00AF51F0">
      <w:pPr>
        <w:spacing w:after="0" w:line="240" w:lineRule="auto"/>
        <w:jc w:val="both"/>
      </w:pPr>
      <w:r>
        <w:t>i) Datum der Besichtigung durch das IPQ, I.P., sofern zutreffend;</w:t>
      </w:r>
    </w:p>
    <w:p w:rsidR="009F09B0" w:rsidRPr="00D655FE" w:rsidRDefault="009F09B0" w:rsidP="00AF51F0">
      <w:pPr>
        <w:spacing w:after="0" w:line="240" w:lineRule="auto"/>
        <w:jc w:val="both"/>
      </w:pPr>
      <w:r>
        <w:t>j) gegebenenfalls bestehende Bedingungen für Behälter bzw. Gerät oder Anlage;</w:t>
      </w:r>
    </w:p>
    <w:p w:rsidR="009F09B0" w:rsidRPr="00D655FE" w:rsidRDefault="00274062" w:rsidP="00AF51F0">
      <w:pPr>
        <w:spacing w:after="0" w:line="240" w:lineRule="auto"/>
        <w:jc w:val="both"/>
      </w:pPr>
      <w:r>
        <w:t>k) Gültigkeitsdauer.</w:t>
      </w:r>
    </w:p>
    <w:p w:rsidR="009D71C3" w:rsidRPr="00D655FE" w:rsidRDefault="009D71C3" w:rsidP="00AF51F0">
      <w:pPr>
        <w:spacing w:after="0" w:line="240" w:lineRule="auto"/>
        <w:jc w:val="both"/>
      </w:pPr>
    </w:p>
    <w:p w:rsidR="00361905" w:rsidRPr="00D655FE" w:rsidRDefault="00361905" w:rsidP="005A23E3">
      <w:pPr>
        <w:keepNext/>
        <w:jc w:val="center"/>
      </w:pPr>
      <w:r>
        <w:t>ANHANG V</w:t>
      </w:r>
    </w:p>
    <w:p w:rsidR="00192457" w:rsidRPr="00D655FE" w:rsidRDefault="00192457" w:rsidP="005A23E3">
      <w:pPr>
        <w:keepNext/>
        <w:jc w:val="center"/>
        <w:rPr>
          <w:i/>
        </w:rPr>
      </w:pPr>
      <w:r>
        <w:t>(</w:t>
      </w:r>
      <w:r>
        <w:rPr>
          <w:i/>
        </w:rPr>
        <w:t>auf den sich Artikel 11 Absatz 2 bezieht</w:t>
      </w:r>
      <w:r>
        <w:t>)</w:t>
      </w:r>
    </w:p>
    <w:p w:rsidR="00361905" w:rsidRPr="00D655FE" w:rsidRDefault="00361905" w:rsidP="005A23E3">
      <w:pPr>
        <w:keepNext/>
        <w:jc w:val="center"/>
        <w:rPr>
          <w:b/>
        </w:rPr>
      </w:pPr>
      <w:r>
        <w:rPr>
          <w:b/>
        </w:rPr>
        <w:t>Einbaugenehmigung</w:t>
      </w:r>
    </w:p>
    <w:p w:rsidR="00AF51F0" w:rsidRPr="00D655FE" w:rsidRDefault="00AF51F0" w:rsidP="00AF51F0">
      <w:pPr>
        <w:spacing w:after="0" w:line="240" w:lineRule="auto"/>
        <w:jc w:val="both"/>
      </w:pPr>
      <w:r>
        <w:t>Dem Antrag auf Einbaugenehmigung für Druckgeräte müssen folgende Informationen und Dokumente beigefügt sein:</w:t>
      </w:r>
    </w:p>
    <w:p w:rsidR="00AF51F0" w:rsidRPr="00D655FE" w:rsidRDefault="00AF51F0" w:rsidP="00AF51F0">
      <w:pPr>
        <w:spacing w:after="0" w:line="240" w:lineRule="auto"/>
        <w:jc w:val="both"/>
      </w:pPr>
    </w:p>
    <w:p w:rsidR="00361905" w:rsidRPr="00D655FE" w:rsidRDefault="00361905" w:rsidP="00AF51F0">
      <w:pPr>
        <w:spacing w:after="0" w:line="240" w:lineRule="auto"/>
        <w:jc w:val="both"/>
      </w:pPr>
      <w:r>
        <w:t xml:space="preserve">a) Firmenbezeichnung, Steuernummer, Telefonnummer und </w:t>
      </w:r>
      <w:r>
        <w:rPr>
          <w:i/>
        </w:rPr>
        <w:t>E-Mail</w:t>
      </w:r>
      <w:r>
        <w:t>-Adresse des Eigentümers oder gesetzlich bevollmächtigten Nutzers;</w:t>
      </w:r>
    </w:p>
    <w:p w:rsidR="00361905" w:rsidRPr="00D655FE" w:rsidRDefault="00361905" w:rsidP="00AF51F0">
      <w:pPr>
        <w:spacing w:after="0" w:line="240" w:lineRule="auto"/>
        <w:jc w:val="both"/>
      </w:pPr>
      <w:r>
        <w:t>b) Name des Nutzers und Anschrift des Anlagenstandorts einschließlich Postleitzahl, Gemeinde, Kommune, Bezirk und GPS-Koordinaten;</w:t>
      </w:r>
    </w:p>
    <w:p w:rsidR="00361905" w:rsidRPr="00D655FE" w:rsidRDefault="00361905" w:rsidP="00AF51F0">
      <w:pPr>
        <w:spacing w:after="0" w:line="240" w:lineRule="auto"/>
        <w:jc w:val="both"/>
      </w:pPr>
      <w:r>
        <w:t>c) Code der wirtschaftlichen Haupttätigkeit des Eigentümers;</w:t>
      </w:r>
    </w:p>
    <w:p w:rsidR="00361905" w:rsidRPr="00D655FE" w:rsidRDefault="00361905" w:rsidP="00AF51F0">
      <w:pPr>
        <w:spacing w:after="0" w:line="240" w:lineRule="auto"/>
        <w:jc w:val="both"/>
      </w:pPr>
      <w:r>
        <w:t>d) Kennnummer des Druckgeräts, sofern zutreffend;</w:t>
      </w:r>
    </w:p>
    <w:p w:rsidR="00361905" w:rsidRPr="00D655FE" w:rsidRDefault="00361905" w:rsidP="00AF51F0">
      <w:pPr>
        <w:spacing w:after="0" w:line="240" w:lineRule="auto"/>
        <w:jc w:val="both"/>
      </w:pPr>
      <w:r>
        <w:t xml:space="preserve">e) Eigenschaften des Druckgeräts: </w:t>
      </w:r>
    </w:p>
    <w:p w:rsidR="00361905" w:rsidRPr="00D655FE" w:rsidRDefault="00361905" w:rsidP="00AF51F0">
      <w:pPr>
        <w:spacing w:after="0" w:line="240" w:lineRule="auto"/>
        <w:jc w:val="both"/>
      </w:pPr>
      <w:r>
        <w:rPr>
          <w:i/>
        </w:rPr>
        <w:t>i)</w:t>
      </w:r>
      <w:r>
        <w:t xml:space="preserve"> Firmenbezeichnung des Herstellers mit Angabe des Landes;</w:t>
      </w:r>
    </w:p>
    <w:p w:rsidR="00361905" w:rsidRPr="00D655FE" w:rsidRDefault="00361905" w:rsidP="00AF51F0">
      <w:pPr>
        <w:spacing w:after="0" w:line="240" w:lineRule="auto"/>
        <w:jc w:val="both"/>
        <w:rPr>
          <w:i/>
        </w:rPr>
      </w:pPr>
      <w:r>
        <w:rPr>
          <w:i/>
        </w:rPr>
        <w:t>ii)</w:t>
      </w:r>
      <w:r>
        <w:t xml:space="preserve"> Bauart;</w:t>
      </w:r>
    </w:p>
    <w:p w:rsidR="00361905" w:rsidRPr="00D655FE" w:rsidRDefault="00361905" w:rsidP="00AF51F0">
      <w:pPr>
        <w:spacing w:after="0" w:line="240" w:lineRule="auto"/>
        <w:jc w:val="both"/>
        <w:rPr>
          <w:i/>
        </w:rPr>
      </w:pPr>
      <w:r>
        <w:rPr>
          <w:i/>
        </w:rPr>
        <w:t>iii)</w:t>
      </w:r>
      <w:r>
        <w:t xml:space="preserve"> Baujahr und Fertigungsnummer;</w:t>
      </w:r>
    </w:p>
    <w:p w:rsidR="00361905" w:rsidRPr="00D655FE" w:rsidRDefault="00361905" w:rsidP="00AF51F0">
      <w:pPr>
        <w:spacing w:after="0" w:line="240" w:lineRule="auto"/>
        <w:jc w:val="both"/>
      </w:pPr>
      <w:r>
        <w:rPr>
          <w:i/>
        </w:rPr>
        <w:t>iv)</w:t>
      </w:r>
      <w:r>
        <w:t xml:space="preserve"> Anzahl der Kammern, sofern zutreffend, und entsprechende Werte für PS, Volumen, Fluid und Mindest- und Höchsttemperaturen;</w:t>
      </w:r>
    </w:p>
    <w:p w:rsidR="00B913EF" w:rsidRPr="00D655FE" w:rsidRDefault="00B913EF" w:rsidP="00B913EF">
      <w:pPr>
        <w:spacing w:after="0" w:line="240" w:lineRule="auto"/>
        <w:jc w:val="both"/>
      </w:pPr>
      <w:r>
        <w:rPr>
          <w:i/>
        </w:rPr>
        <w:t>v)</w:t>
      </w:r>
      <w:r>
        <w:t xml:space="preserve"> Verdampfung, Heizfläche, Leistung und Brennstoff, sofern zutreffend;</w:t>
      </w:r>
    </w:p>
    <w:p w:rsidR="00361905" w:rsidRPr="00D655FE" w:rsidRDefault="00361905" w:rsidP="00AF51F0">
      <w:pPr>
        <w:spacing w:after="0" w:line="240" w:lineRule="auto"/>
        <w:jc w:val="both"/>
      </w:pPr>
      <w:r>
        <w:t>f) Konformitätserklärung oder Bauzulassungsbescheinigung oder Nachweis über die Neubewertung der Konformität, sofern nicht bereits eingereicht;</w:t>
      </w:r>
    </w:p>
    <w:p w:rsidR="00361905" w:rsidRPr="00D655FE" w:rsidRDefault="00361905" w:rsidP="00AF51F0">
      <w:pPr>
        <w:spacing w:after="0" w:line="240" w:lineRule="auto"/>
        <w:jc w:val="both"/>
      </w:pPr>
      <w:r>
        <w:t>g) Fotografien des vorgesehenen Einbauorts und des Typenschilds des Druckgeräts;</w:t>
      </w:r>
    </w:p>
    <w:p w:rsidR="00361905" w:rsidRPr="00D655FE" w:rsidRDefault="00361905" w:rsidP="00AF51F0">
      <w:pPr>
        <w:spacing w:after="0" w:line="240" w:lineRule="auto"/>
        <w:jc w:val="both"/>
      </w:pPr>
      <w:r>
        <w:t>h) Anlagenentwurf mit:</w:t>
      </w:r>
    </w:p>
    <w:p w:rsidR="00361905" w:rsidRPr="00D655FE" w:rsidRDefault="00361905" w:rsidP="00AF51F0">
      <w:pPr>
        <w:spacing w:after="0" w:line="240" w:lineRule="auto"/>
        <w:jc w:val="both"/>
      </w:pPr>
      <w:r>
        <w:rPr>
          <w:i/>
        </w:rPr>
        <w:t xml:space="preserve">i) </w:t>
      </w:r>
      <w:r>
        <w:t>Projektbeschreibung und Begründung, die den Einbauort für das Druckgerät, die Konstruktionsart des Gebäudes oder des abgegrenzten Bereichs und die Sicherheitsabstände gemäß Verordnung und anwendbarer ITC beschreibt;</w:t>
      </w:r>
    </w:p>
    <w:p w:rsidR="00361905" w:rsidRPr="00D655FE" w:rsidRDefault="00361905" w:rsidP="00AF51F0">
      <w:pPr>
        <w:spacing w:after="0" w:line="240" w:lineRule="auto"/>
        <w:jc w:val="both"/>
      </w:pPr>
      <w:r>
        <w:rPr>
          <w:i/>
        </w:rPr>
        <w:t xml:space="preserve">ii) </w:t>
      </w:r>
      <w:r>
        <w:t>Aufstellplan in geeignetem Maßstab (1 : 500 oder 1 : 1000), mit dem ein Umkreis von 30 Metern abgedeckt wird (Druckgerät als Mittelpunkt), sodass die Grundstücksgrenzen und die Abstände zu Dritten anschaulich dargestellt werden;</w:t>
      </w:r>
    </w:p>
    <w:p w:rsidR="00361905" w:rsidRPr="00D655FE" w:rsidRDefault="00361905" w:rsidP="00AF51F0">
      <w:pPr>
        <w:spacing w:after="0" w:line="240" w:lineRule="auto"/>
        <w:jc w:val="both"/>
        <w:rPr>
          <w:i/>
        </w:rPr>
      </w:pPr>
      <w:r>
        <w:rPr>
          <w:i/>
        </w:rPr>
        <w:t xml:space="preserve">iii) </w:t>
      </w:r>
      <w:r>
        <w:t>Aufstellplan, Ansichten und Schnitte (Bezugsmaßstab 1 : 100), aus denen der Standort oder das Gebäude ersichtlich ist, an dem das Druckgerät eingebaut wird, unter Angabe der Sicherheitsabstände, Zugänge, Raumhöhe, Belüftungsöffnungen und Beleuchtung;</w:t>
      </w:r>
    </w:p>
    <w:p w:rsidR="00361905" w:rsidRPr="00D655FE" w:rsidRDefault="00361905" w:rsidP="00AF51F0">
      <w:pPr>
        <w:spacing w:after="0" w:line="240" w:lineRule="auto"/>
        <w:jc w:val="both"/>
      </w:pPr>
      <w:r>
        <w:rPr>
          <w:i/>
        </w:rPr>
        <w:t>iv</w:t>
      </w:r>
      <w:r>
        <w:t>) Geräteübersichtsplan;</w:t>
      </w:r>
    </w:p>
    <w:p w:rsidR="00361905" w:rsidRPr="00D655FE" w:rsidRDefault="00361905" w:rsidP="00AF51F0">
      <w:pPr>
        <w:spacing w:after="0" w:line="240" w:lineRule="auto"/>
        <w:jc w:val="both"/>
      </w:pPr>
      <w:r>
        <w:t>i) durch den Projektingenieur unterzeichnete Haftungserklärung;</w:t>
      </w:r>
    </w:p>
    <w:p w:rsidR="00361905" w:rsidRPr="00D655FE" w:rsidRDefault="00361905" w:rsidP="00AF51F0">
      <w:pPr>
        <w:spacing w:after="0" w:line="240" w:lineRule="auto"/>
        <w:jc w:val="both"/>
      </w:pPr>
      <w:r>
        <w:t>j) durch die Inspektionsstelle ausgestellter Nachweis der Entwurfskonformität mit positivem Überprüfungsergebnis.</w:t>
      </w:r>
    </w:p>
    <w:p w:rsidR="000A18EE" w:rsidRPr="00D655FE" w:rsidRDefault="000A18EE" w:rsidP="00DF5785">
      <w:pPr>
        <w:jc w:val="center"/>
      </w:pPr>
    </w:p>
    <w:p w:rsidR="00361905" w:rsidRPr="00D655FE" w:rsidRDefault="00361905" w:rsidP="005A23E3">
      <w:pPr>
        <w:keepNext/>
        <w:jc w:val="center"/>
      </w:pPr>
      <w:r>
        <w:t>ANHANG VI</w:t>
      </w:r>
    </w:p>
    <w:p w:rsidR="00AC7C97" w:rsidRPr="00D655FE" w:rsidRDefault="00AC7C97" w:rsidP="005A23E3">
      <w:pPr>
        <w:keepNext/>
        <w:jc w:val="center"/>
        <w:rPr>
          <w:i/>
        </w:rPr>
      </w:pPr>
      <w:r>
        <w:t>(</w:t>
      </w:r>
      <w:r>
        <w:rPr>
          <w:i/>
        </w:rPr>
        <w:t>auf den sich Artikel 11 Absatz 4 bezieht</w:t>
      </w:r>
      <w:r>
        <w:t>)</w:t>
      </w:r>
    </w:p>
    <w:p w:rsidR="00C05D4C" w:rsidRPr="00D655FE" w:rsidRDefault="007E1897" w:rsidP="00C05D4C">
      <w:pPr>
        <w:jc w:val="both"/>
      </w:pPr>
      <w:r>
        <w:t>1. Nachfolgend sind unter Berücksichtigung der entsprechenden ITC die Druckgeräte aufgeführt, die einer Einbaugenehmigung bedürfen:</w:t>
      </w:r>
    </w:p>
    <w:tbl>
      <w:tblPr>
        <w:tblStyle w:val="TableGrid"/>
        <w:tblW w:w="5000" w:type="pct"/>
        <w:jc w:val="center"/>
        <w:tblLook w:val="04A0" w:firstRow="1" w:lastRow="0" w:firstColumn="1" w:lastColumn="0" w:noHBand="0" w:noVBand="1"/>
      </w:tblPr>
      <w:tblGrid>
        <w:gridCol w:w="2420"/>
        <w:gridCol w:w="1809"/>
        <w:gridCol w:w="894"/>
        <w:gridCol w:w="1404"/>
        <w:gridCol w:w="2193"/>
      </w:tblGrid>
      <w:tr w:rsidR="00D655FE" w:rsidRPr="00D655FE" w:rsidTr="007E1897">
        <w:trPr>
          <w:jc w:val="center"/>
        </w:trPr>
        <w:tc>
          <w:tcPr>
            <w:tcW w:w="1444" w:type="pct"/>
            <w:vAlign w:val="center"/>
          </w:tcPr>
          <w:p w:rsidR="00393CFC" w:rsidRPr="00D655FE" w:rsidRDefault="00047749" w:rsidP="00FB1633">
            <w:pPr>
              <w:jc w:val="center"/>
              <w:rPr>
                <w:b/>
                <w:sz w:val="20"/>
                <w:szCs w:val="20"/>
              </w:rPr>
            </w:pPr>
            <w:r>
              <w:rPr>
                <w:b/>
                <w:sz w:val="20"/>
                <w:szCs w:val="20"/>
              </w:rPr>
              <w:t>ITC</w:t>
            </w:r>
          </w:p>
        </w:tc>
        <w:tc>
          <w:tcPr>
            <w:tcW w:w="813" w:type="pct"/>
          </w:tcPr>
          <w:p w:rsidR="00393CFC" w:rsidRPr="00D655FE" w:rsidRDefault="00393CFC" w:rsidP="00FB1633">
            <w:pPr>
              <w:jc w:val="center"/>
              <w:rPr>
                <w:b/>
                <w:sz w:val="20"/>
                <w:szCs w:val="20"/>
              </w:rPr>
            </w:pPr>
            <w:r>
              <w:rPr>
                <w:b/>
                <w:sz w:val="20"/>
                <w:szCs w:val="20"/>
              </w:rPr>
              <w:t>Druckgerätefamilie</w:t>
            </w:r>
          </w:p>
        </w:tc>
        <w:tc>
          <w:tcPr>
            <w:tcW w:w="569" w:type="pct"/>
            <w:vAlign w:val="center"/>
          </w:tcPr>
          <w:p w:rsidR="00393CFC" w:rsidRPr="00D655FE" w:rsidRDefault="00393CFC" w:rsidP="00FB1633">
            <w:pPr>
              <w:jc w:val="center"/>
              <w:rPr>
                <w:b/>
                <w:sz w:val="20"/>
                <w:szCs w:val="20"/>
              </w:rPr>
            </w:pPr>
            <w:r>
              <w:rPr>
                <w:b/>
                <w:sz w:val="20"/>
                <w:szCs w:val="20"/>
              </w:rPr>
              <w:t>V (l)</w:t>
            </w:r>
          </w:p>
        </w:tc>
        <w:tc>
          <w:tcPr>
            <w:tcW w:w="861" w:type="pct"/>
            <w:vAlign w:val="center"/>
          </w:tcPr>
          <w:p w:rsidR="00393CFC" w:rsidRPr="00D655FE" w:rsidRDefault="00393CFC" w:rsidP="00FB1633">
            <w:pPr>
              <w:jc w:val="center"/>
              <w:rPr>
                <w:b/>
                <w:sz w:val="20"/>
                <w:szCs w:val="20"/>
              </w:rPr>
            </w:pPr>
            <w:r>
              <w:rPr>
                <w:b/>
                <w:sz w:val="20"/>
                <w:szCs w:val="20"/>
              </w:rPr>
              <w:t>PS x V (</w:t>
            </w:r>
            <w:proofErr w:type="spellStart"/>
            <w:r>
              <w:rPr>
                <w:b/>
                <w:sz w:val="20"/>
                <w:szCs w:val="20"/>
              </w:rPr>
              <w:t>bar.l</w:t>
            </w:r>
            <w:proofErr w:type="spellEnd"/>
            <w:r>
              <w:rPr>
                <w:b/>
                <w:sz w:val="20"/>
                <w:szCs w:val="20"/>
              </w:rPr>
              <w:t>)</w:t>
            </w:r>
          </w:p>
        </w:tc>
        <w:tc>
          <w:tcPr>
            <w:tcW w:w="1313" w:type="pct"/>
            <w:vAlign w:val="center"/>
          </w:tcPr>
          <w:p w:rsidR="00393CFC" w:rsidRPr="00D655FE" w:rsidRDefault="00393CFC" w:rsidP="00FB1633">
            <w:pPr>
              <w:jc w:val="center"/>
              <w:rPr>
                <w:b/>
                <w:sz w:val="20"/>
                <w:szCs w:val="20"/>
              </w:rPr>
            </w:pPr>
            <w:r>
              <w:rPr>
                <w:b/>
                <w:sz w:val="20"/>
                <w:szCs w:val="20"/>
              </w:rPr>
              <w:t>Bemerkungen</w:t>
            </w:r>
          </w:p>
        </w:tc>
      </w:tr>
      <w:tr w:rsidR="00D655FE" w:rsidRPr="00D655FE" w:rsidTr="007E1897">
        <w:trPr>
          <w:jc w:val="center"/>
        </w:trPr>
        <w:tc>
          <w:tcPr>
            <w:tcW w:w="1444" w:type="pct"/>
            <w:vAlign w:val="center"/>
          </w:tcPr>
          <w:p w:rsidR="00EC4EF8" w:rsidRPr="00D655FE" w:rsidRDefault="00EC4EF8" w:rsidP="00FB1633">
            <w:pPr>
              <w:jc w:val="center"/>
              <w:rPr>
                <w:sz w:val="18"/>
                <w:szCs w:val="18"/>
              </w:rPr>
            </w:pPr>
            <w:r>
              <w:rPr>
                <w:sz w:val="18"/>
                <w:szCs w:val="18"/>
              </w:rPr>
              <w:t>–</w:t>
            </w:r>
          </w:p>
        </w:tc>
        <w:tc>
          <w:tcPr>
            <w:tcW w:w="813" w:type="pct"/>
          </w:tcPr>
          <w:p w:rsidR="00EC4EF8" w:rsidRPr="00D655FE" w:rsidRDefault="00EC4EF8" w:rsidP="00FB1633">
            <w:pPr>
              <w:jc w:val="center"/>
              <w:rPr>
                <w:sz w:val="18"/>
                <w:szCs w:val="18"/>
              </w:rPr>
            </w:pPr>
            <w:r>
              <w:rPr>
                <w:sz w:val="18"/>
                <w:szCs w:val="18"/>
              </w:rPr>
              <w:t>Druckgeräte ohne ITC</w:t>
            </w:r>
          </w:p>
        </w:tc>
        <w:tc>
          <w:tcPr>
            <w:tcW w:w="569" w:type="pct"/>
            <w:vAlign w:val="center"/>
          </w:tcPr>
          <w:p w:rsidR="00EC4EF8" w:rsidRPr="00D655FE" w:rsidRDefault="00CE6981" w:rsidP="00FB1633">
            <w:pPr>
              <w:jc w:val="center"/>
              <w:rPr>
                <w:sz w:val="18"/>
                <w:szCs w:val="18"/>
              </w:rPr>
            </w:pPr>
            <w:r>
              <w:rPr>
                <w:sz w:val="18"/>
                <w:szCs w:val="18"/>
              </w:rPr>
              <w:t>–</w:t>
            </w:r>
          </w:p>
        </w:tc>
        <w:tc>
          <w:tcPr>
            <w:tcW w:w="861" w:type="pct"/>
            <w:vAlign w:val="center"/>
          </w:tcPr>
          <w:p w:rsidR="00EC4EF8" w:rsidRPr="00D655FE" w:rsidRDefault="00CE6981" w:rsidP="00FB1633">
            <w:pPr>
              <w:jc w:val="center"/>
              <w:rPr>
                <w:sz w:val="18"/>
                <w:szCs w:val="18"/>
              </w:rPr>
            </w:pPr>
            <w:r>
              <w:rPr>
                <w:sz w:val="18"/>
                <w:szCs w:val="18"/>
              </w:rPr>
              <w:t>&gt; 15 000</w:t>
            </w:r>
          </w:p>
        </w:tc>
        <w:tc>
          <w:tcPr>
            <w:tcW w:w="1313" w:type="pct"/>
            <w:vAlign w:val="center"/>
          </w:tcPr>
          <w:p w:rsidR="00EC4EF8" w:rsidRPr="00D655FE" w:rsidRDefault="00CE6981" w:rsidP="00FB1633">
            <w:pPr>
              <w:jc w:val="center"/>
              <w:rPr>
                <w:sz w:val="18"/>
                <w:szCs w:val="18"/>
              </w:rPr>
            </w:pPr>
            <w:r>
              <w:rPr>
                <w:sz w:val="18"/>
                <w:szCs w:val="18"/>
              </w:rPr>
              <w:t>Direkt durch die Verordnung abgedeckt</w:t>
            </w:r>
          </w:p>
        </w:tc>
      </w:tr>
      <w:tr w:rsidR="00D655FE" w:rsidRPr="00D655FE" w:rsidTr="007E1897">
        <w:trPr>
          <w:jc w:val="center"/>
        </w:trPr>
        <w:tc>
          <w:tcPr>
            <w:tcW w:w="1444" w:type="pct"/>
            <w:vMerge w:val="restart"/>
            <w:vAlign w:val="center"/>
          </w:tcPr>
          <w:p w:rsidR="00393CFC" w:rsidRPr="00D655FE" w:rsidRDefault="00090061" w:rsidP="009D71C3">
            <w:pPr>
              <w:rPr>
                <w:sz w:val="18"/>
                <w:szCs w:val="18"/>
              </w:rPr>
            </w:pPr>
            <w:r>
              <w:rPr>
                <w:sz w:val="18"/>
                <w:szCs w:val="18"/>
              </w:rPr>
              <w:t>Beschluss Nr. 22332/2001 vom 30. Oktober</w:t>
            </w:r>
          </w:p>
        </w:tc>
        <w:tc>
          <w:tcPr>
            <w:tcW w:w="813" w:type="pct"/>
            <w:vMerge w:val="restart"/>
          </w:tcPr>
          <w:p w:rsidR="00DC7371" w:rsidRPr="00D655FE" w:rsidRDefault="00DC7371" w:rsidP="00765311">
            <w:pPr>
              <w:jc w:val="center"/>
              <w:rPr>
                <w:sz w:val="18"/>
                <w:szCs w:val="18"/>
              </w:rPr>
            </w:pPr>
            <w:r>
              <w:rPr>
                <w:sz w:val="18"/>
                <w:szCs w:val="18"/>
              </w:rPr>
              <w:t>Dampferzeuger und gleichzusetzende Geräte</w:t>
            </w:r>
          </w:p>
        </w:tc>
        <w:tc>
          <w:tcPr>
            <w:tcW w:w="569" w:type="pct"/>
            <w:vMerge w:val="restart"/>
            <w:vAlign w:val="center"/>
          </w:tcPr>
          <w:p w:rsidR="00393CFC" w:rsidRPr="00D655FE" w:rsidRDefault="00393CFC" w:rsidP="00FB1633">
            <w:pPr>
              <w:jc w:val="center"/>
              <w:rPr>
                <w:sz w:val="18"/>
                <w:szCs w:val="18"/>
              </w:rPr>
            </w:pPr>
            <w:r>
              <w:rPr>
                <w:sz w:val="18"/>
                <w:szCs w:val="18"/>
              </w:rPr>
              <w:t>–</w:t>
            </w:r>
          </w:p>
        </w:tc>
        <w:tc>
          <w:tcPr>
            <w:tcW w:w="861" w:type="pct"/>
            <w:vAlign w:val="center"/>
          </w:tcPr>
          <w:p w:rsidR="00393CFC" w:rsidRPr="00D655FE" w:rsidRDefault="00393CFC" w:rsidP="00FB1633">
            <w:pPr>
              <w:jc w:val="center"/>
              <w:rPr>
                <w:sz w:val="18"/>
                <w:szCs w:val="18"/>
              </w:rPr>
            </w:pPr>
            <w:r>
              <w:rPr>
                <w:sz w:val="18"/>
                <w:szCs w:val="18"/>
              </w:rPr>
              <w:t>&gt; 5000</w:t>
            </w:r>
          </w:p>
        </w:tc>
        <w:tc>
          <w:tcPr>
            <w:tcW w:w="1313" w:type="pct"/>
            <w:vAlign w:val="center"/>
          </w:tcPr>
          <w:p w:rsidR="00393CFC" w:rsidRPr="00D655FE" w:rsidRDefault="00393CFC" w:rsidP="00FB1633">
            <w:pPr>
              <w:jc w:val="center"/>
              <w:rPr>
                <w:sz w:val="18"/>
                <w:szCs w:val="18"/>
              </w:rPr>
            </w:pPr>
            <w:r>
              <w:rPr>
                <w:sz w:val="18"/>
                <w:szCs w:val="18"/>
              </w:rPr>
              <w:t>Dampf- und Heißwassererzeuger</w:t>
            </w:r>
          </w:p>
        </w:tc>
      </w:tr>
      <w:tr w:rsidR="00D655FE" w:rsidRPr="00D655FE" w:rsidTr="007E1897">
        <w:trPr>
          <w:jc w:val="center"/>
        </w:trPr>
        <w:tc>
          <w:tcPr>
            <w:tcW w:w="1444" w:type="pct"/>
            <w:vMerge/>
            <w:vAlign w:val="center"/>
          </w:tcPr>
          <w:p w:rsidR="00393CFC" w:rsidRPr="00D655FE" w:rsidRDefault="00393CFC" w:rsidP="00FB1633">
            <w:pPr>
              <w:rPr>
                <w:sz w:val="18"/>
                <w:szCs w:val="18"/>
              </w:rPr>
            </w:pPr>
          </w:p>
        </w:tc>
        <w:tc>
          <w:tcPr>
            <w:tcW w:w="813" w:type="pct"/>
            <w:vMerge/>
          </w:tcPr>
          <w:p w:rsidR="00393CFC" w:rsidRPr="00D655FE" w:rsidRDefault="00393CFC" w:rsidP="00FB1633">
            <w:pPr>
              <w:jc w:val="center"/>
              <w:rPr>
                <w:sz w:val="18"/>
                <w:szCs w:val="18"/>
              </w:rPr>
            </w:pPr>
          </w:p>
        </w:tc>
        <w:tc>
          <w:tcPr>
            <w:tcW w:w="569" w:type="pct"/>
            <w:vMerge/>
            <w:vAlign w:val="center"/>
          </w:tcPr>
          <w:p w:rsidR="00393CFC" w:rsidRPr="00D655FE" w:rsidRDefault="00393CFC" w:rsidP="00FB1633">
            <w:pPr>
              <w:jc w:val="center"/>
              <w:rPr>
                <w:sz w:val="18"/>
                <w:szCs w:val="18"/>
              </w:rPr>
            </w:pPr>
          </w:p>
        </w:tc>
        <w:tc>
          <w:tcPr>
            <w:tcW w:w="861" w:type="pct"/>
            <w:vAlign w:val="center"/>
          </w:tcPr>
          <w:p w:rsidR="00393CFC" w:rsidRPr="00D655FE" w:rsidRDefault="00393CFC" w:rsidP="00FB1633">
            <w:pPr>
              <w:jc w:val="center"/>
              <w:rPr>
                <w:sz w:val="18"/>
                <w:szCs w:val="18"/>
              </w:rPr>
            </w:pPr>
            <w:r>
              <w:rPr>
                <w:sz w:val="18"/>
                <w:szCs w:val="18"/>
              </w:rPr>
              <w:t>&gt; 10 000</w:t>
            </w:r>
          </w:p>
        </w:tc>
        <w:tc>
          <w:tcPr>
            <w:tcW w:w="1313" w:type="pct"/>
            <w:vAlign w:val="center"/>
          </w:tcPr>
          <w:p w:rsidR="00393CFC" w:rsidRPr="00D655FE" w:rsidRDefault="00393CFC" w:rsidP="00FB1633">
            <w:pPr>
              <w:jc w:val="center"/>
              <w:rPr>
                <w:sz w:val="18"/>
                <w:szCs w:val="18"/>
              </w:rPr>
            </w:pPr>
            <w:r>
              <w:rPr>
                <w:sz w:val="18"/>
                <w:szCs w:val="18"/>
              </w:rPr>
              <w:t xml:space="preserve">Warmfluidkessel, </w:t>
            </w:r>
            <w:r>
              <w:rPr>
                <w:sz w:val="18"/>
                <w:szCs w:val="18"/>
              </w:rPr>
              <w:lastRenderedPageBreak/>
              <w:t>Speicher, Vorwärmer und Ausdehnungsgefäße</w:t>
            </w:r>
          </w:p>
        </w:tc>
      </w:tr>
      <w:tr w:rsidR="00D655FE" w:rsidRPr="00D655FE" w:rsidTr="007E1897">
        <w:trPr>
          <w:jc w:val="center"/>
        </w:trPr>
        <w:tc>
          <w:tcPr>
            <w:tcW w:w="1444" w:type="pct"/>
            <w:vMerge w:val="restart"/>
            <w:vAlign w:val="center"/>
          </w:tcPr>
          <w:p w:rsidR="00D30F33" w:rsidRPr="00D655FE" w:rsidRDefault="00090061" w:rsidP="00FB1633">
            <w:pPr>
              <w:rPr>
                <w:sz w:val="18"/>
                <w:szCs w:val="18"/>
              </w:rPr>
            </w:pPr>
            <w:r>
              <w:rPr>
                <w:sz w:val="18"/>
                <w:szCs w:val="18"/>
              </w:rPr>
              <w:lastRenderedPageBreak/>
              <w:t>Beschluss Nr. 22333/2001 vom 30. Oktober</w:t>
            </w:r>
          </w:p>
        </w:tc>
        <w:tc>
          <w:tcPr>
            <w:tcW w:w="813" w:type="pct"/>
            <w:vMerge w:val="restart"/>
            <w:vAlign w:val="center"/>
          </w:tcPr>
          <w:p w:rsidR="00D30F33" w:rsidRPr="00D655FE" w:rsidRDefault="00D30F33" w:rsidP="00D30F33">
            <w:pPr>
              <w:jc w:val="center"/>
              <w:rPr>
                <w:sz w:val="18"/>
                <w:szCs w:val="18"/>
              </w:rPr>
            </w:pPr>
            <w:r>
              <w:rPr>
                <w:sz w:val="18"/>
                <w:szCs w:val="18"/>
              </w:rPr>
              <w:t>LPG</w:t>
            </w:r>
          </w:p>
        </w:tc>
        <w:tc>
          <w:tcPr>
            <w:tcW w:w="569" w:type="pct"/>
            <w:vAlign w:val="center"/>
          </w:tcPr>
          <w:p w:rsidR="00D30F33" w:rsidRPr="00D655FE" w:rsidRDefault="00D30F33" w:rsidP="00FB1633">
            <w:pPr>
              <w:jc w:val="center"/>
              <w:rPr>
                <w:sz w:val="18"/>
                <w:szCs w:val="18"/>
              </w:rPr>
            </w:pPr>
            <w:r>
              <w:rPr>
                <w:sz w:val="18"/>
                <w:szCs w:val="18"/>
              </w:rPr>
              <w:t>&gt; 7500</w:t>
            </w:r>
          </w:p>
        </w:tc>
        <w:tc>
          <w:tcPr>
            <w:tcW w:w="861" w:type="pct"/>
            <w:vAlign w:val="center"/>
          </w:tcPr>
          <w:p w:rsidR="00D30F33" w:rsidRPr="00D655FE" w:rsidRDefault="00D30F33" w:rsidP="00FB1633">
            <w:pPr>
              <w:jc w:val="center"/>
              <w:rPr>
                <w:sz w:val="18"/>
                <w:szCs w:val="18"/>
              </w:rPr>
            </w:pPr>
            <w:r>
              <w:rPr>
                <w:sz w:val="18"/>
                <w:szCs w:val="18"/>
              </w:rPr>
              <w:t>–</w:t>
            </w:r>
          </w:p>
        </w:tc>
        <w:tc>
          <w:tcPr>
            <w:tcW w:w="1313" w:type="pct"/>
            <w:vAlign w:val="center"/>
          </w:tcPr>
          <w:p w:rsidR="00D30F33" w:rsidRPr="00D655FE" w:rsidRDefault="00D30F33" w:rsidP="00FB1633">
            <w:pPr>
              <w:jc w:val="center"/>
              <w:rPr>
                <w:sz w:val="18"/>
                <w:szCs w:val="18"/>
              </w:rPr>
            </w:pPr>
            <w:r>
              <w:rPr>
                <w:sz w:val="18"/>
                <w:szCs w:val="18"/>
              </w:rPr>
              <w:t>–</w:t>
            </w:r>
          </w:p>
        </w:tc>
      </w:tr>
      <w:tr w:rsidR="00D655FE" w:rsidRPr="00D655FE" w:rsidTr="007E1897">
        <w:trPr>
          <w:jc w:val="center"/>
        </w:trPr>
        <w:tc>
          <w:tcPr>
            <w:tcW w:w="1444" w:type="pct"/>
            <w:vMerge/>
            <w:vAlign w:val="center"/>
          </w:tcPr>
          <w:p w:rsidR="00D30F33" w:rsidRPr="00D655FE" w:rsidRDefault="00D30F33" w:rsidP="00FB1633">
            <w:pPr>
              <w:rPr>
                <w:sz w:val="18"/>
                <w:szCs w:val="18"/>
              </w:rPr>
            </w:pPr>
          </w:p>
        </w:tc>
        <w:tc>
          <w:tcPr>
            <w:tcW w:w="813" w:type="pct"/>
            <w:vMerge/>
          </w:tcPr>
          <w:p w:rsidR="00D30F33" w:rsidRPr="00D655FE" w:rsidRDefault="00D30F33" w:rsidP="00FB1633">
            <w:pPr>
              <w:jc w:val="center"/>
              <w:rPr>
                <w:sz w:val="18"/>
                <w:szCs w:val="18"/>
              </w:rPr>
            </w:pPr>
          </w:p>
        </w:tc>
        <w:tc>
          <w:tcPr>
            <w:tcW w:w="569" w:type="pct"/>
            <w:vAlign w:val="center"/>
          </w:tcPr>
          <w:p w:rsidR="00D30F33" w:rsidRPr="00D655FE" w:rsidRDefault="00D43EF7" w:rsidP="00D30F33">
            <w:pPr>
              <w:jc w:val="center"/>
              <w:rPr>
                <w:sz w:val="18"/>
                <w:szCs w:val="18"/>
              </w:rPr>
            </w:pPr>
            <w:r>
              <w:rPr>
                <w:sz w:val="18"/>
                <w:szCs w:val="18"/>
              </w:rPr>
              <w:t>≤ 200 000</w:t>
            </w:r>
          </w:p>
        </w:tc>
        <w:tc>
          <w:tcPr>
            <w:tcW w:w="861" w:type="pct"/>
            <w:vAlign w:val="center"/>
          </w:tcPr>
          <w:p w:rsidR="00D30F33" w:rsidRPr="00D655FE" w:rsidRDefault="00D43EF7" w:rsidP="00FB1633">
            <w:pPr>
              <w:jc w:val="center"/>
              <w:rPr>
                <w:sz w:val="18"/>
                <w:szCs w:val="18"/>
              </w:rPr>
            </w:pPr>
            <w:r>
              <w:rPr>
                <w:sz w:val="18"/>
                <w:szCs w:val="18"/>
              </w:rPr>
              <w:t>–</w:t>
            </w:r>
          </w:p>
        </w:tc>
        <w:tc>
          <w:tcPr>
            <w:tcW w:w="1313" w:type="pct"/>
            <w:vAlign w:val="center"/>
          </w:tcPr>
          <w:p w:rsidR="00D30F33" w:rsidRPr="00D655FE" w:rsidRDefault="00D43EF7" w:rsidP="00FB1633">
            <w:pPr>
              <w:jc w:val="center"/>
              <w:rPr>
                <w:sz w:val="18"/>
                <w:szCs w:val="18"/>
              </w:rPr>
            </w:pPr>
            <w:r>
              <w:rPr>
                <w:sz w:val="18"/>
                <w:szCs w:val="18"/>
              </w:rPr>
              <w:t>–</w:t>
            </w:r>
          </w:p>
        </w:tc>
      </w:tr>
      <w:tr w:rsidR="00D655FE" w:rsidRPr="00D655FE" w:rsidTr="007E1897">
        <w:trPr>
          <w:jc w:val="center"/>
        </w:trPr>
        <w:tc>
          <w:tcPr>
            <w:tcW w:w="1444" w:type="pct"/>
            <w:vAlign w:val="center"/>
          </w:tcPr>
          <w:p w:rsidR="00BE3A07" w:rsidRPr="00D655FE" w:rsidRDefault="00090061" w:rsidP="00954041">
            <w:pPr>
              <w:rPr>
                <w:sz w:val="18"/>
                <w:szCs w:val="18"/>
              </w:rPr>
            </w:pPr>
            <w:r>
              <w:rPr>
                <w:sz w:val="18"/>
                <w:szCs w:val="18"/>
              </w:rPr>
              <w:t>Beschluss Nr. 24260/2007 vom 23. Oktober</w:t>
            </w:r>
          </w:p>
        </w:tc>
        <w:tc>
          <w:tcPr>
            <w:tcW w:w="813" w:type="pct"/>
          </w:tcPr>
          <w:p w:rsidR="00BE3A07" w:rsidRPr="00D655FE" w:rsidRDefault="00BE3A07" w:rsidP="00954041">
            <w:pPr>
              <w:jc w:val="center"/>
              <w:rPr>
                <w:sz w:val="18"/>
                <w:szCs w:val="18"/>
              </w:rPr>
            </w:pPr>
            <w:r>
              <w:rPr>
                <w:sz w:val="18"/>
                <w:szCs w:val="18"/>
              </w:rPr>
              <w:t>LPG</w:t>
            </w:r>
          </w:p>
        </w:tc>
        <w:tc>
          <w:tcPr>
            <w:tcW w:w="569" w:type="pct"/>
            <w:vAlign w:val="center"/>
          </w:tcPr>
          <w:p w:rsidR="00BE3A07" w:rsidRPr="00D655FE" w:rsidRDefault="00BE3A07" w:rsidP="00954041">
            <w:pPr>
              <w:jc w:val="center"/>
              <w:rPr>
                <w:sz w:val="18"/>
                <w:szCs w:val="18"/>
              </w:rPr>
            </w:pPr>
            <w:r>
              <w:rPr>
                <w:sz w:val="18"/>
                <w:szCs w:val="18"/>
              </w:rPr>
              <w:t>&gt; 200 000</w:t>
            </w:r>
          </w:p>
        </w:tc>
        <w:tc>
          <w:tcPr>
            <w:tcW w:w="861" w:type="pct"/>
            <w:vAlign w:val="center"/>
          </w:tcPr>
          <w:p w:rsidR="00BE3A07" w:rsidRPr="00D655FE" w:rsidRDefault="00BE3A07" w:rsidP="00954041">
            <w:pPr>
              <w:jc w:val="center"/>
              <w:rPr>
                <w:sz w:val="18"/>
                <w:szCs w:val="18"/>
              </w:rPr>
            </w:pPr>
            <w:r>
              <w:rPr>
                <w:sz w:val="18"/>
                <w:szCs w:val="18"/>
              </w:rPr>
              <w:t>–</w:t>
            </w:r>
          </w:p>
        </w:tc>
        <w:tc>
          <w:tcPr>
            <w:tcW w:w="1313" w:type="pct"/>
            <w:vAlign w:val="center"/>
          </w:tcPr>
          <w:p w:rsidR="00BE3A07" w:rsidRPr="00D655FE" w:rsidRDefault="00092235" w:rsidP="00954041">
            <w:pPr>
              <w:jc w:val="center"/>
              <w:rPr>
                <w:sz w:val="18"/>
                <w:szCs w:val="18"/>
              </w:rPr>
            </w:pPr>
            <w:r>
              <w:rPr>
                <w:sz w:val="18"/>
                <w:szCs w:val="18"/>
              </w:rPr>
              <w:t>–</w:t>
            </w:r>
          </w:p>
        </w:tc>
      </w:tr>
      <w:tr w:rsidR="00D655FE" w:rsidRPr="00D655FE" w:rsidTr="007E1897">
        <w:trPr>
          <w:jc w:val="center"/>
        </w:trPr>
        <w:tc>
          <w:tcPr>
            <w:tcW w:w="1444" w:type="pct"/>
            <w:vAlign w:val="center"/>
          </w:tcPr>
          <w:p w:rsidR="00BE3A07" w:rsidRPr="00D655FE" w:rsidRDefault="00090061" w:rsidP="00FB1633">
            <w:pPr>
              <w:rPr>
                <w:sz w:val="18"/>
                <w:szCs w:val="18"/>
              </w:rPr>
            </w:pPr>
            <w:r>
              <w:rPr>
                <w:sz w:val="18"/>
                <w:szCs w:val="18"/>
              </w:rPr>
              <w:t>Beschluss Nr. 1859/2003 vom 30. Januar</w:t>
            </w:r>
          </w:p>
        </w:tc>
        <w:tc>
          <w:tcPr>
            <w:tcW w:w="813" w:type="pct"/>
          </w:tcPr>
          <w:p w:rsidR="00BE3A07" w:rsidRPr="00D655FE" w:rsidRDefault="00BE3A07" w:rsidP="006B5F56">
            <w:pPr>
              <w:jc w:val="center"/>
              <w:rPr>
                <w:sz w:val="18"/>
                <w:szCs w:val="18"/>
              </w:rPr>
            </w:pPr>
            <w:r>
              <w:rPr>
                <w:sz w:val="18"/>
                <w:szCs w:val="18"/>
              </w:rPr>
              <w:t>Druckluftbehälter</w:t>
            </w:r>
          </w:p>
        </w:tc>
        <w:tc>
          <w:tcPr>
            <w:tcW w:w="569" w:type="pct"/>
            <w:vAlign w:val="center"/>
          </w:tcPr>
          <w:p w:rsidR="00BE3A07" w:rsidRPr="00D655FE" w:rsidRDefault="00BE3A07" w:rsidP="00FB1633">
            <w:pPr>
              <w:jc w:val="center"/>
              <w:rPr>
                <w:sz w:val="18"/>
                <w:szCs w:val="18"/>
              </w:rPr>
            </w:pPr>
            <w:r>
              <w:rPr>
                <w:sz w:val="18"/>
                <w:szCs w:val="18"/>
              </w:rPr>
              <w:t>–</w:t>
            </w:r>
          </w:p>
        </w:tc>
        <w:tc>
          <w:tcPr>
            <w:tcW w:w="861" w:type="pct"/>
            <w:vAlign w:val="center"/>
          </w:tcPr>
          <w:p w:rsidR="00BE3A07" w:rsidRPr="00D655FE" w:rsidRDefault="00BE3A07" w:rsidP="00FB1633">
            <w:pPr>
              <w:jc w:val="center"/>
              <w:rPr>
                <w:sz w:val="18"/>
                <w:szCs w:val="18"/>
              </w:rPr>
            </w:pPr>
            <w:r>
              <w:rPr>
                <w:sz w:val="18"/>
                <w:szCs w:val="18"/>
              </w:rPr>
              <w:t>&gt; 15 000</w:t>
            </w:r>
          </w:p>
        </w:tc>
        <w:tc>
          <w:tcPr>
            <w:tcW w:w="1313" w:type="pct"/>
            <w:vAlign w:val="center"/>
          </w:tcPr>
          <w:p w:rsidR="00BE3A07" w:rsidRPr="00D655FE" w:rsidRDefault="00BE3A07" w:rsidP="00FB1633">
            <w:pPr>
              <w:jc w:val="center"/>
              <w:rPr>
                <w:sz w:val="18"/>
                <w:szCs w:val="18"/>
              </w:rPr>
            </w:pPr>
            <w:r>
              <w:rPr>
                <w:sz w:val="18"/>
                <w:szCs w:val="18"/>
              </w:rPr>
              <w:t>–</w:t>
            </w:r>
          </w:p>
        </w:tc>
      </w:tr>
      <w:tr w:rsidR="00D655FE" w:rsidRPr="00D655FE" w:rsidTr="007E1897">
        <w:trPr>
          <w:jc w:val="center"/>
        </w:trPr>
        <w:tc>
          <w:tcPr>
            <w:tcW w:w="1444" w:type="pct"/>
            <w:vAlign w:val="center"/>
          </w:tcPr>
          <w:p w:rsidR="00BE3A07" w:rsidRPr="00D655FE" w:rsidRDefault="00090061" w:rsidP="00FB1633">
            <w:pPr>
              <w:rPr>
                <w:sz w:val="18"/>
                <w:szCs w:val="18"/>
              </w:rPr>
            </w:pPr>
            <w:r>
              <w:rPr>
                <w:sz w:val="18"/>
                <w:szCs w:val="18"/>
              </w:rPr>
              <w:t>Beschluss Nr. 11551/2007 vom 12. Juni</w:t>
            </w:r>
          </w:p>
        </w:tc>
        <w:tc>
          <w:tcPr>
            <w:tcW w:w="813" w:type="pct"/>
          </w:tcPr>
          <w:p w:rsidR="00BE3A07" w:rsidRPr="00D655FE" w:rsidRDefault="00BE3A07" w:rsidP="00FB1633">
            <w:pPr>
              <w:jc w:val="center"/>
              <w:rPr>
                <w:sz w:val="18"/>
                <w:szCs w:val="18"/>
              </w:rPr>
            </w:pPr>
            <w:r>
              <w:rPr>
                <w:sz w:val="18"/>
                <w:szCs w:val="18"/>
              </w:rPr>
              <w:t>Prozessbaugruppen</w:t>
            </w:r>
          </w:p>
        </w:tc>
        <w:tc>
          <w:tcPr>
            <w:tcW w:w="569" w:type="pct"/>
            <w:vAlign w:val="center"/>
          </w:tcPr>
          <w:p w:rsidR="00BE3A07" w:rsidRPr="00D655FE" w:rsidRDefault="00BE3A07" w:rsidP="00FB1633">
            <w:pPr>
              <w:jc w:val="center"/>
              <w:rPr>
                <w:sz w:val="18"/>
                <w:szCs w:val="18"/>
              </w:rPr>
            </w:pPr>
            <w:r>
              <w:rPr>
                <w:sz w:val="18"/>
                <w:szCs w:val="18"/>
              </w:rPr>
              <w:t>–</w:t>
            </w:r>
          </w:p>
        </w:tc>
        <w:tc>
          <w:tcPr>
            <w:tcW w:w="861" w:type="pct"/>
            <w:vAlign w:val="center"/>
          </w:tcPr>
          <w:p w:rsidR="00BE3A07" w:rsidRPr="00D655FE" w:rsidRDefault="00BE3A07" w:rsidP="00FB1633">
            <w:pPr>
              <w:jc w:val="center"/>
              <w:rPr>
                <w:sz w:val="18"/>
                <w:szCs w:val="18"/>
              </w:rPr>
            </w:pPr>
            <w:r>
              <w:rPr>
                <w:sz w:val="18"/>
                <w:szCs w:val="18"/>
              </w:rPr>
              <w:t>–</w:t>
            </w:r>
          </w:p>
        </w:tc>
        <w:tc>
          <w:tcPr>
            <w:tcW w:w="1313" w:type="pct"/>
            <w:vAlign w:val="center"/>
          </w:tcPr>
          <w:p w:rsidR="00BE3A07" w:rsidRPr="00D655FE" w:rsidRDefault="00C70FE1" w:rsidP="00C70FE1">
            <w:pPr>
              <w:jc w:val="center"/>
              <w:rPr>
                <w:sz w:val="18"/>
                <w:szCs w:val="18"/>
              </w:rPr>
            </w:pPr>
            <w:r>
              <w:rPr>
                <w:sz w:val="18"/>
                <w:szCs w:val="18"/>
              </w:rPr>
              <w:t>Alle Geräte mit Ausnahme von Rohrleitungen</w:t>
            </w:r>
          </w:p>
        </w:tc>
      </w:tr>
      <w:tr w:rsidR="00BE3A07" w:rsidRPr="00D655FE" w:rsidTr="007E1897">
        <w:trPr>
          <w:jc w:val="center"/>
        </w:trPr>
        <w:tc>
          <w:tcPr>
            <w:tcW w:w="1444" w:type="pct"/>
            <w:vAlign w:val="center"/>
          </w:tcPr>
          <w:p w:rsidR="00BE3A07" w:rsidRPr="00D655FE" w:rsidRDefault="00090061" w:rsidP="00FB1633">
            <w:pPr>
              <w:rPr>
                <w:sz w:val="18"/>
                <w:szCs w:val="18"/>
              </w:rPr>
            </w:pPr>
            <w:r>
              <w:rPr>
                <w:sz w:val="18"/>
                <w:szCs w:val="18"/>
              </w:rPr>
              <w:t>Beschluss Nr. 24261/2007 vom 23. Oktober</w:t>
            </w:r>
          </w:p>
        </w:tc>
        <w:tc>
          <w:tcPr>
            <w:tcW w:w="813" w:type="pct"/>
          </w:tcPr>
          <w:p w:rsidR="00BE3A07" w:rsidRPr="00D655FE" w:rsidRDefault="00BE3A07" w:rsidP="00FB1633">
            <w:pPr>
              <w:jc w:val="center"/>
              <w:rPr>
                <w:sz w:val="18"/>
                <w:szCs w:val="18"/>
              </w:rPr>
            </w:pPr>
            <w:proofErr w:type="spellStart"/>
            <w:r>
              <w:rPr>
                <w:sz w:val="18"/>
                <w:szCs w:val="18"/>
              </w:rPr>
              <w:t>Kryogene</w:t>
            </w:r>
            <w:proofErr w:type="spellEnd"/>
          </w:p>
        </w:tc>
        <w:tc>
          <w:tcPr>
            <w:tcW w:w="569" w:type="pct"/>
            <w:vAlign w:val="center"/>
          </w:tcPr>
          <w:p w:rsidR="00BE3A07" w:rsidRPr="00D655FE" w:rsidRDefault="00BE3A07" w:rsidP="00FB1633">
            <w:pPr>
              <w:jc w:val="center"/>
              <w:rPr>
                <w:sz w:val="18"/>
                <w:szCs w:val="18"/>
              </w:rPr>
            </w:pPr>
            <w:r>
              <w:rPr>
                <w:sz w:val="18"/>
                <w:szCs w:val="18"/>
              </w:rPr>
              <w:t>–</w:t>
            </w:r>
          </w:p>
        </w:tc>
        <w:tc>
          <w:tcPr>
            <w:tcW w:w="861" w:type="pct"/>
            <w:vAlign w:val="center"/>
          </w:tcPr>
          <w:p w:rsidR="00BE3A07" w:rsidRPr="00D655FE" w:rsidRDefault="00BE3A07" w:rsidP="00FB1633">
            <w:pPr>
              <w:jc w:val="center"/>
              <w:rPr>
                <w:sz w:val="18"/>
                <w:szCs w:val="18"/>
              </w:rPr>
            </w:pPr>
            <w:r>
              <w:rPr>
                <w:sz w:val="18"/>
                <w:szCs w:val="18"/>
              </w:rPr>
              <w:t xml:space="preserve">&gt; 15 000 </w:t>
            </w:r>
          </w:p>
        </w:tc>
        <w:tc>
          <w:tcPr>
            <w:tcW w:w="1313" w:type="pct"/>
            <w:vAlign w:val="center"/>
          </w:tcPr>
          <w:p w:rsidR="00BE3A07" w:rsidRPr="00D655FE" w:rsidRDefault="00BE3A07" w:rsidP="00FB1633">
            <w:pPr>
              <w:jc w:val="center"/>
              <w:rPr>
                <w:sz w:val="18"/>
                <w:szCs w:val="18"/>
              </w:rPr>
            </w:pPr>
            <w:r>
              <w:rPr>
                <w:sz w:val="18"/>
                <w:szCs w:val="18"/>
              </w:rPr>
              <w:t>–</w:t>
            </w:r>
          </w:p>
        </w:tc>
      </w:tr>
    </w:tbl>
    <w:p w:rsidR="007E1897" w:rsidRPr="00D655FE" w:rsidRDefault="007E1897" w:rsidP="00DB6173">
      <w:pPr>
        <w:jc w:val="both"/>
      </w:pPr>
    </w:p>
    <w:p w:rsidR="00DB6173" w:rsidRPr="00D655FE" w:rsidRDefault="007E1897" w:rsidP="00AF51F0">
      <w:pPr>
        <w:spacing w:after="0" w:line="240" w:lineRule="auto"/>
        <w:jc w:val="both"/>
      </w:pPr>
      <w:r>
        <w:t>2. Druckgeräte sind in folgenden Fällen von der Einbaugenehmigung befreit:</w:t>
      </w:r>
    </w:p>
    <w:p w:rsidR="00DB6173" w:rsidRPr="00D655FE" w:rsidRDefault="00DB6173" w:rsidP="00AF51F0">
      <w:pPr>
        <w:spacing w:after="0" w:line="240" w:lineRule="auto"/>
        <w:ind w:left="708" w:hanging="708"/>
        <w:jc w:val="both"/>
      </w:pPr>
      <w:r>
        <w:t>a) Druckgeräte mit PS × V ≤ 15 000 </w:t>
      </w:r>
      <w:proofErr w:type="spellStart"/>
      <w:r>
        <w:t>bar.l</w:t>
      </w:r>
      <w:proofErr w:type="spellEnd"/>
      <w:r>
        <w:t>;</w:t>
      </w:r>
    </w:p>
    <w:p w:rsidR="00DB6173" w:rsidRPr="00D655FE" w:rsidRDefault="00DB6173" w:rsidP="00AF51F0">
      <w:pPr>
        <w:spacing w:after="0" w:line="240" w:lineRule="auto"/>
        <w:jc w:val="both"/>
      </w:pPr>
      <w:r>
        <w:t>b) bewegliche Druckgeräte;</w:t>
      </w:r>
    </w:p>
    <w:p w:rsidR="00DB6173" w:rsidRPr="00D655FE" w:rsidRDefault="00DB6173" w:rsidP="00AF51F0">
      <w:pPr>
        <w:spacing w:after="0" w:line="240" w:lineRule="auto"/>
        <w:jc w:val="both"/>
      </w:pPr>
      <w:r>
        <w:t>c) LPG-Behälter mit einem Fassungsvermögen von über 7500 l bis höchstens 200 000 l, sofern der Anlagenentwurf durch die Gemeindeverwaltung oder die Generaldirektion für Energie und Geologie (</w:t>
      </w:r>
      <w:proofErr w:type="spellStart"/>
      <w:r>
        <w:t>Direção-Geral</w:t>
      </w:r>
      <w:proofErr w:type="spellEnd"/>
      <w:r>
        <w:t xml:space="preserve"> de </w:t>
      </w:r>
      <w:proofErr w:type="spellStart"/>
      <w:r>
        <w:t>Energia</w:t>
      </w:r>
      <w:proofErr w:type="spellEnd"/>
      <w:r>
        <w:t xml:space="preserve"> e </w:t>
      </w:r>
      <w:proofErr w:type="spellStart"/>
      <w:r>
        <w:t>Geologia</w:t>
      </w:r>
      <w:proofErr w:type="spellEnd"/>
      <w:r>
        <w:t xml:space="preserve">, DGEG) genehmigt wurde; </w:t>
      </w:r>
    </w:p>
    <w:p w:rsidR="00DB6173" w:rsidRPr="00D655FE" w:rsidRDefault="00DB6173" w:rsidP="00AF51F0">
      <w:pPr>
        <w:spacing w:after="0" w:line="240" w:lineRule="auto"/>
        <w:jc w:val="both"/>
      </w:pPr>
      <w:r>
        <w:t>d) Rohrleitungen.</w:t>
      </w:r>
    </w:p>
    <w:p w:rsidR="007E1897" w:rsidRPr="00D655FE" w:rsidRDefault="007E1897" w:rsidP="00280262">
      <w:pPr>
        <w:jc w:val="center"/>
      </w:pPr>
    </w:p>
    <w:p w:rsidR="007E1897" w:rsidRPr="00D655FE" w:rsidRDefault="00361905" w:rsidP="005A23E3">
      <w:pPr>
        <w:keepNext/>
        <w:jc w:val="center"/>
      </w:pPr>
      <w:r>
        <w:t>ANHANG VII</w:t>
      </w:r>
    </w:p>
    <w:p w:rsidR="00AC7C97" w:rsidRPr="00D655FE" w:rsidRDefault="00AC7C97" w:rsidP="005A23E3">
      <w:pPr>
        <w:keepNext/>
        <w:jc w:val="center"/>
        <w:rPr>
          <w:i/>
        </w:rPr>
      </w:pPr>
      <w:r>
        <w:t>(</w:t>
      </w:r>
      <w:r>
        <w:rPr>
          <w:i/>
        </w:rPr>
        <w:t>auf den sich Artikel 12 Absatz 2 bezieht</w:t>
      </w:r>
      <w:r>
        <w:t>)</w:t>
      </w:r>
    </w:p>
    <w:p w:rsidR="00361905" w:rsidRPr="00D655FE" w:rsidRDefault="00361905" w:rsidP="005A23E3">
      <w:pPr>
        <w:keepNext/>
        <w:spacing w:line="360" w:lineRule="auto"/>
        <w:jc w:val="center"/>
        <w:rPr>
          <w:b/>
        </w:rPr>
      </w:pPr>
      <w:r>
        <w:rPr>
          <w:b/>
        </w:rPr>
        <w:t>Betriebsgenehmigung</w:t>
      </w:r>
    </w:p>
    <w:p w:rsidR="00AF51F0" w:rsidRPr="00D655FE" w:rsidRDefault="00AF51F0" w:rsidP="00AF51F0">
      <w:pPr>
        <w:spacing w:after="0" w:line="240" w:lineRule="auto"/>
        <w:jc w:val="both"/>
      </w:pPr>
      <w:r>
        <w:t>1. Dem Antrag auf Betriebsgenehmigung für Druckgeräte müssen folgende Informationen und Dokumente beigefügt sein:</w:t>
      </w:r>
    </w:p>
    <w:p w:rsidR="00361905" w:rsidRPr="00D655FE" w:rsidRDefault="00361905" w:rsidP="00AF51F0">
      <w:pPr>
        <w:spacing w:after="0" w:line="240" w:lineRule="auto"/>
        <w:jc w:val="both"/>
      </w:pPr>
      <w:r>
        <w:t xml:space="preserve">a) Firmenbezeichnung, Steuernummer, Telefonnummer und </w:t>
      </w:r>
      <w:r>
        <w:rPr>
          <w:i/>
        </w:rPr>
        <w:t>E-Mail</w:t>
      </w:r>
      <w:r>
        <w:t>-Adresse des Eigentümers oder gesetzlich bevollmächtigten Nutzers;</w:t>
      </w:r>
    </w:p>
    <w:p w:rsidR="00361905" w:rsidRPr="00D655FE" w:rsidRDefault="00361905" w:rsidP="00AF51F0">
      <w:pPr>
        <w:spacing w:after="0" w:line="240" w:lineRule="auto"/>
        <w:jc w:val="both"/>
      </w:pPr>
      <w:r>
        <w:t>b) Name des Nutzers und Anschrift des Anlagenstandorts einschließlich Postleitzahl, Gemeinde, Kommune, Bezirk und GPS-Koordinaten;</w:t>
      </w:r>
    </w:p>
    <w:p w:rsidR="00361905" w:rsidRPr="00D655FE" w:rsidRDefault="00361905" w:rsidP="00AF51F0">
      <w:pPr>
        <w:spacing w:after="0" w:line="240" w:lineRule="auto"/>
        <w:jc w:val="both"/>
      </w:pPr>
      <w:r>
        <w:t>c) Code der wirtschaftlichen Haupttätigkeit des Eigentümers;</w:t>
      </w:r>
    </w:p>
    <w:p w:rsidR="00361905" w:rsidRPr="00D655FE" w:rsidRDefault="00361905" w:rsidP="00AF51F0">
      <w:pPr>
        <w:spacing w:after="0" w:line="240" w:lineRule="auto"/>
        <w:jc w:val="both"/>
      </w:pPr>
      <w:r>
        <w:t>d) Kennnummer des Druckgeräts, sofern zutreffend;</w:t>
      </w:r>
    </w:p>
    <w:p w:rsidR="00361905" w:rsidRPr="00D655FE" w:rsidRDefault="00361905" w:rsidP="00AF51F0">
      <w:pPr>
        <w:spacing w:after="0" w:line="240" w:lineRule="auto"/>
        <w:jc w:val="both"/>
      </w:pPr>
      <w:r>
        <w:t xml:space="preserve">e) Eigenschaften des Druckgeräts: </w:t>
      </w:r>
    </w:p>
    <w:p w:rsidR="00361905" w:rsidRPr="00D655FE" w:rsidRDefault="00361905" w:rsidP="00AF51F0">
      <w:pPr>
        <w:spacing w:after="0" w:line="240" w:lineRule="auto"/>
        <w:jc w:val="both"/>
      </w:pPr>
      <w:r>
        <w:rPr>
          <w:i/>
        </w:rPr>
        <w:t>i)</w:t>
      </w:r>
      <w:r>
        <w:t xml:space="preserve"> Firmenbezeichnung des Herstellers mit Angabe des Landes;</w:t>
      </w:r>
    </w:p>
    <w:p w:rsidR="00361905" w:rsidRPr="00D655FE" w:rsidRDefault="00361905" w:rsidP="00AF51F0">
      <w:pPr>
        <w:spacing w:after="0" w:line="240" w:lineRule="auto"/>
        <w:jc w:val="both"/>
      </w:pPr>
      <w:r>
        <w:rPr>
          <w:i/>
        </w:rPr>
        <w:t>ii)</w:t>
      </w:r>
      <w:r>
        <w:t xml:space="preserve"> Bauart;</w:t>
      </w:r>
    </w:p>
    <w:p w:rsidR="00361905" w:rsidRPr="00D655FE" w:rsidRDefault="00361905" w:rsidP="00AF51F0">
      <w:pPr>
        <w:spacing w:after="0" w:line="240" w:lineRule="auto"/>
        <w:jc w:val="both"/>
      </w:pPr>
      <w:r>
        <w:rPr>
          <w:i/>
        </w:rPr>
        <w:t>iii)</w:t>
      </w:r>
      <w:r>
        <w:t xml:space="preserve"> Baujahr und Fertigungsnummer;</w:t>
      </w:r>
    </w:p>
    <w:p w:rsidR="00361905" w:rsidRPr="00D655FE" w:rsidRDefault="00361905" w:rsidP="00AF51F0">
      <w:pPr>
        <w:spacing w:after="0" w:line="240" w:lineRule="auto"/>
        <w:jc w:val="both"/>
      </w:pPr>
      <w:r>
        <w:rPr>
          <w:i/>
        </w:rPr>
        <w:t>iv)</w:t>
      </w:r>
      <w:r>
        <w:t xml:space="preserve"> Anzahl der Kammern, sofern zutreffend, und entsprechende Werte für PS, Volumen, Fluid und Mindest- und Höchsttemperaturen;</w:t>
      </w:r>
    </w:p>
    <w:p w:rsidR="00B913EF" w:rsidRPr="00D655FE" w:rsidRDefault="00B913EF" w:rsidP="00B913EF">
      <w:pPr>
        <w:spacing w:after="0" w:line="240" w:lineRule="auto"/>
        <w:jc w:val="both"/>
      </w:pPr>
      <w:r>
        <w:rPr>
          <w:i/>
        </w:rPr>
        <w:t>v)</w:t>
      </w:r>
      <w:r>
        <w:t xml:space="preserve"> Verdampfung, Heizfläche, Leistung und Brennstoff, sofern zutreffend;</w:t>
      </w:r>
    </w:p>
    <w:p w:rsidR="00361905" w:rsidRPr="00D655FE" w:rsidRDefault="00361905" w:rsidP="00AF51F0">
      <w:pPr>
        <w:spacing w:after="0" w:line="240" w:lineRule="auto"/>
        <w:jc w:val="both"/>
      </w:pPr>
      <w:r>
        <w:t>f) Konformitätserklärung oder Bauzulassungsbescheinigung oder Nachweis über die Neubewertung der Konformität, sofern nicht bereits eingereicht;</w:t>
      </w:r>
    </w:p>
    <w:p w:rsidR="00361905" w:rsidRPr="00D655FE" w:rsidRDefault="00361905" w:rsidP="00AF51F0">
      <w:pPr>
        <w:spacing w:after="0" w:line="240" w:lineRule="auto"/>
        <w:jc w:val="both"/>
      </w:pPr>
      <w:r>
        <w:t>g) Fotografie des Typenschilds des Druckgeräts;</w:t>
      </w:r>
    </w:p>
    <w:p w:rsidR="00361905" w:rsidRPr="00D655FE" w:rsidRDefault="00361905" w:rsidP="00AF51F0">
      <w:pPr>
        <w:spacing w:after="0" w:line="240" w:lineRule="auto"/>
        <w:jc w:val="both"/>
      </w:pPr>
      <w:r>
        <w:t>h) Inspektionsbericht der Inspektionsstelle mit positivem Ergebnis;</w:t>
      </w:r>
    </w:p>
    <w:p w:rsidR="00361905" w:rsidRPr="00D655FE" w:rsidRDefault="00361905" w:rsidP="00AF51F0">
      <w:pPr>
        <w:spacing w:after="0" w:line="240" w:lineRule="auto"/>
        <w:jc w:val="both"/>
      </w:pPr>
      <w:r>
        <w:t>i) Einbauerklärung oder -genehmigung für Druckgeräte, die nicht dem Anlageneigentümer gehören, sofern zutreffend;</w:t>
      </w:r>
    </w:p>
    <w:p w:rsidR="00361905" w:rsidRPr="00D655FE" w:rsidRDefault="00361905" w:rsidP="00AF51F0">
      <w:pPr>
        <w:spacing w:after="0" w:line="240" w:lineRule="auto"/>
        <w:jc w:val="both"/>
      </w:pPr>
      <w:r>
        <w:t>j) isometrische Darstellung oder vergleichbare Darstellung der Rohrleitungen.</w:t>
      </w:r>
    </w:p>
    <w:p w:rsidR="00361905" w:rsidRPr="00D655FE" w:rsidRDefault="00361905" w:rsidP="00AF51F0">
      <w:pPr>
        <w:spacing w:after="0" w:line="240" w:lineRule="auto"/>
        <w:jc w:val="both"/>
      </w:pPr>
      <w:r>
        <w:t>2. Für bewegliche Druckgeräte müssen dem Antrag die oben aufgeführten Dokumente mit den entsprechenden Anpassungen beigefügt sein.</w:t>
      </w:r>
    </w:p>
    <w:p w:rsidR="00361905" w:rsidRPr="00D655FE" w:rsidRDefault="00361905" w:rsidP="00AF51F0">
      <w:pPr>
        <w:spacing w:after="0" w:line="240" w:lineRule="auto"/>
        <w:jc w:val="both"/>
      </w:pPr>
      <w:r>
        <w:lastRenderedPageBreak/>
        <w:t>3. Für den Antrag auf Verlängerung der Betriebsgenehmigung für Druckgeräte ist der Antragsteller von der Einreichung der Dokumente nach Absatz 1 Buchstaben f und g dieses Anhangs befreit.</w:t>
      </w:r>
    </w:p>
    <w:p w:rsidR="00AF51F0" w:rsidRPr="00D655FE" w:rsidRDefault="00AF51F0" w:rsidP="00C31C27">
      <w:pPr>
        <w:jc w:val="center"/>
      </w:pPr>
    </w:p>
    <w:p w:rsidR="00C31C27" w:rsidRPr="00D655FE" w:rsidRDefault="00C31C27" w:rsidP="005A23E3">
      <w:pPr>
        <w:keepNext/>
        <w:jc w:val="center"/>
      </w:pPr>
      <w:r>
        <w:t>ANHANG VIII</w:t>
      </w:r>
    </w:p>
    <w:p w:rsidR="00AF51F0" w:rsidRPr="00D655FE" w:rsidRDefault="00AF51F0" w:rsidP="005A23E3">
      <w:pPr>
        <w:keepNext/>
        <w:jc w:val="center"/>
        <w:rPr>
          <w:i/>
        </w:rPr>
      </w:pPr>
      <w:r>
        <w:t>(</w:t>
      </w:r>
      <w:r>
        <w:rPr>
          <w:i/>
        </w:rPr>
        <w:t>auf den sich Artikel 12 Absatz 3 bezieht</w:t>
      </w:r>
      <w:r>
        <w:t>)</w:t>
      </w:r>
    </w:p>
    <w:p w:rsidR="00AF51F0" w:rsidRPr="00D655FE" w:rsidRDefault="00AF51F0" w:rsidP="005A23E3">
      <w:pPr>
        <w:keepNext/>
        <w:jc w:val="center"/>
        <w:rPr>
          <w:b/>
        </w:rPr>
      </w:pPr>
      <w:r>
        <w:rPr>
          <w:b/>
        </w:rPr>
        <w:t>Betriebsgenehmigungsbescheinigung</w:t>
      </w:r>
    </w:p>
    <w:p w:rsidR="00AF51F0" w:rsidRPr="00D655FE" w:rsidRDefault="00AF51F0" w:rsidP="00AF51F0">
      <w:pPr>
        <w:spacing w:after="0" w:line="240" w:lineRule="auto"/>
        <w:jc w:val="both"/>
      </w:pPr>
      <w:r>
        <w:t>Die vom IPQ, I.P. ausgestellte Betriebsgenehmigungsbescheinigung für Druckgeräte muss die nachfolgend aufgeführten Angaben enthalten:</w:t>
      </w:r>
    </w:p>
    <w:p w:rsidR="00AF51F0" w:rsidRPr="00D655FE" w:rsidRDefault="00AF51F0" w:rsidP="00AF51F0">
      <w:pPr>
        <w:spacing w:after="0" w:line="240" w:lineRule="auto"/>
        <w:jc w:val="both"/>
      </w:pPr>
      <w:r>
        <w:t>a) Kennnummer des Behälters oder Geräts;</w:t>
      </w:r>
    </w:p>
    <w:p w:rsidR="00AF51F0" w:rsidRPr="00D655FE" w:rsidRDefault="00AF51F0" w:rsidP="00AF51F0">
      <w:pPr>
        <w:spacing w:after="0" w:line="240" w:lineRule="auto"/>
        <w:jc w:val="both"/>
      </w:pPr>
      <w:r>
        <w:t>b) nähere Angaben zum Eigentümer (Firmenbezeichnung und Code der wirtschaftlichen Haupttätigkeit);</w:t>
      </w:r>
    </w:p>
    <w:p w:rsidR="00AF51F0" w:rsidRPr="00D655FE" w:rsidRDefault="00AF51F0" w:rsidP="00AF51F0">
      <w:pPr>
        <w:spacing w:after="0" w:line="240" w:lineRule="auto"/>
        <w:jc w:val="both"/>
      </w:pPr>
      <w:r>
        <w:t>c) nähere Angaben zum Nutzer (Bezeichnung und Code der wirtschaftlichen Haupttätigkeit, sofern zutreffend);</w:t>
      </w:r>
    </w:p>
    <w:p w:rsidR="00AF51F0" w:rsidRPr="00D655FE" w:rsidRDefault="00AF51F0" w:rsidP="00AF51F0">
      <w:pPr>
        <w:spacing w:after="0" w:line="240" w:lineRule="auto"/>
        <w:jc w:val="both"/>
      </w:pPr>
      <w:r>
        <w:t>d) Angabe des Einbauorts, sofern zutreffend;</w:t>
      </w:r>
    </w:p>
    <w:p w:rsidR="00AF51F0" w:rsidRPr="00D655FE" w:rsidRDefault="00AF51F0" w:rsidP="00AF51F0">
      <w:pPr>
        <w:spacing w:after="0" w:line="240" w:lineRule="auto"/>
        <w:jc w:val="both"/>
      </w:pPr>
      <w:r>
        <w:t>e) Behälter- oder Gerätetyp;</w:t>
      </w:r>
    </w:p>
    <w:p w:rsidR="00B913EF" w:rsidRPr="00D655FE" w:rsidRDefault="00AF51F0" w:rsidP="00B913EF">
      <w:pPr>
        <w:spacing w:after="0" w:line="240" w:lineRule="auto"/>
        <w:jc w:val="both"/>
      </w:pPr>
      <w:r>
        <w:t xml:space="preserve">f) Eigenschaften des Druckgeräts: </w:t>
      </w:r>
    </w:p>
    <w:p w:rsidR="00B913EF" w:rsidRPr="00D655FE" w:rsidRDefault="00B913EF" w:rsidP="00B913EF">
      <w:pPr>
        <w:spacing w:after="0" w:line="240" w:lineRule="auto"/>
        <w:jc w:val="both"/>
      </w:pPr>
      <w:r>
        <w:rPr>
          <w:i/>
        </w:rPr>
        <w:t>i)</w:t>
      </w:r>
      <w:r>
        <w:t xml:space="preserve"> Firmenbezeichnung des Herstellers mit Angabe des Landes;</w:t>
      </w:r>
    </w:p>
    <w:p w:rsidR="00B913EF" w:rsidRPr="00D655FE" w:rsidRDefault="00B913EF" w:rsidP="00B913EF">
      <w:pPr>
        <w:spacing w:after="0" w:line="240" w:lineRule="auto"/>
        <w:jc w:val="both"/>
      </w:pPr>
      <w:r>
        <w:rPr>
          <w:i/>
        </w:rPr>
        <w:t>ii)</w:t>
      </w:r>
      <w:r>
        <w:t xml:space="preserve"> Bauart;</w:t>
      </w:r>
    </w:p>
    <w:p w:rsidR="00B913EF" w:rsidRPr="00D655FE" w:rsidRDefault="00B913EF" w:rsidP="00B913EF">
      <w:pPr>
        <w:spacing w:after="0" w:line="240" w:lineRule="auto"/>
        <w:jc w:val="both"/>
      </w:pPr>
      <w:r>
        <w:rPr>
          <w:i/>
        </w:rPr>
        <w:t>iii)</w:t>
      </w:r>
      <w:r>
        <w:t xml:space="preserve"> Baujahr und Fertigungsnummer;</w:t>
      </w:r>
    </w:p>
    <w:p w:rsidR="00B913EF" w:rsidRPr="00D655FE" w:rsidRDefault="00B913EF" w:rsidP="00B913EF">
      <w:pPr>
        <w:spacing w:after="0" w:line="240" w:lineRule="auto"/>
        <w:jc w:val="both"/>
      </w:pPr>
      <w:r>
        <w:rPr>
          <w:i/>
        </w:rPr>
        <w:t>iv)</w:t>
      </w:r>
      <w:r>
        <w:t xml:space="preserve"> Anzahl der Kammern, sofern zutreffend, und entsprechende Werte für PS, Volumen, Fluid und Mindest- und Höchsttemperaturen;</w:t>
      </w:r>
    </w:p>
    <w:p w:rsidR="00B913EF" w:rsidRPr="00D655FE" w:rsidRDefault="00B913EF" w:rsidP="00B913EF">
      <w:pPr>
        <w:spacing w:after="0" w:line="240" w:lineRule="auto"/>
        <w:jc w:val="both"/>
      </w:pPr>
      <w:r>
        <w:rPr>
          <w:i/>
        </w:rPr>
        <w:t>v)</w:t>
      </w:r>
      <w:r>
        <w:t xml:space="preserve"> Verdampfung, Heizfläche, Leistung und Brennstoff, sofern zutreffend;</w:t>
      </w:r>
    </w:p>
    <w:p w:rsidR="00AF51F0" w:rsidRPr="00D655FE" w:rsidRDefault="00AF51F0" w:rsidP="00AF51F0">
      <w:pPr>
        <w:spacing w:after="0" w:line="240" w:lineRule="auto"/>
        <w:jc w:val="both"/>
      </w:pPr>
      <w:r>
        <w:t>g) für die Durchführung des Druckversuchs zuständige Stelle und Datum der Durchführung;</w:t>
      </w:r>
    </w:p>
    <w:p w:rsidR="00AF51F0" w:rsidRPr="00D655FE" w:rsidRDefault="00AF51F0" w:rsidP="00AF51F0">
      <w:pPr>
        <w:spacing w:after="0" w:line="240" w:lineRule="auto"/>
        <w:jc w:val="both"/>
      </w:pPr>
      <w:r>
        <w:t>h) Nummer des Inspektionsberichts, Erstellungsdatum und Angabe der Inspektionsstelle;</w:t>
      </w:r>
    </w:p>
    <w:p w:rsidR="00AF51F0" w:rsidRPr="00D655FE" w:rsidRDefault="00AF51F0" w:rsidP="00AF51F0">
      <w:pPr>
        <w:spacing w:after="0" w:line="240" w:lineRule="auto"/>
        <w:jc w:val="both"/>
      </w:pPr>
      <w:r>
        <w:t>i) Datum der Besichtigung durch das IPQ, I.P., sofern zutreffend;</w:t>
      </w:r>
    </w:p>
    <w:p w:rsidR="00AF51F0" w:rsidRPr="00D655FE" w:rsidRDefault="00AF51F0" w:rsidP="00AF51F0">
      <w:pPr>
        <w:spacing w:after="0" w:line="240" w:lineRule="auto"/>
        <w:jc w:val="both"/>
      </w:pPr>
      <w:r>
        <w:t>j) gegebenenfalls bestehende Bedingungen für Behälter bzw. Gerät oder Anlage;</w:t>
      </w:r>
    </w:p>
    <w:p w:rsidR="00AF51F0" w:rsidRPr="00D655FE" w:rsidRDefault="00274062" w:rsidP="00AF51F0">
      <w:pPr>
        <w:spacing w:after="0" w:line="240" w:lineRule="auto"/>
        <w:jc w:val="both"/>
      </w:pPr>
      <w:r>
        <w:t>k) Gültigkeitsdauer.</w:t>
      </w:r>
    </w:p>
    <w:p w:rsidR="00B913EF" w:rsidRPr="00D655FE" w:rsidRDefault="00B913EF" w:rsidP="00C31C27">
      <w:pPr>
        <w:jc w:val="center"/>
      </w:pPr>
    </w:p>
    <w:p w:rsidR="00AF51F0" w:rsidRPr="00D655FE" w:rsidRDefault="00AF51F0" w:rsidP="005A23E3">
      <w:pPr>
        <w:keepNext/>
        <w:jc w:val="center"/>
      </w:pPr>
      <w:r>
        <w:t>ANHANG IX</w:t>
      </w:r>
    </w:p>
    <w:p w:rsidR="00AF51F0" w:rsidRPr="00D655FE" w:rsidRDefault="00AF51F0" w:rsidP="005A23E3">
      <w:pPr>
        <w:keepNext/>
        <w:jc w:val="center"/>
        <w:rPr>
          <w:i/>
        </w:rPr>
      </w:pPr>
      <w:r>
        <w:t>(</w:t>
      </w:r>
      <w:r>
        <w:rPr>
          <w:i/>
        </w:rPr>
        <w:t>auf den sich Artikel 12 Absatz 5 und Artikel 21 Buchstabe d beziehen</w:t>
      </w:r>
      <w:r>
        <w:t>)</w:t>
      </w:r>
    </w:p>
    <w:tbl>
      <w:tblPr>
        <w:tblStyle w:val="TableGrid"/>
        <w:tblW w:w="0" w:type="auto"/>
        <w:jc w:val="center"/>
        <w:tblLayout w:type="fixed"/>
        <w:tblLook w:val="04A0" w:firstRow="1" w:lastRow="0" w:firstColumn="1" w:lastColumn="0" w:noHBand="0" w:noVBand="1"/>
      </w:tblPr>
      <w:tblGrid>
        <w:gridCol w:w="2518"/>
        <w:gridCol w:w="1418"/>
        <w:gridCol w:w="2964"/>
        <w:gridCol w:w="1820"/>
      </w:tblGrid>
      <w:tr w:rsidR="00D655FE" w:rsidRPr="00D655FE" w:rsidTr="007E1897">
        <w:trPr>
          <w:jc w:val="center"/>
        </w:trPr>
        <w:tc>
          <w:tcPr>
            <w:tcW w:w="2518" w:type="dxa"/>
            <w:vAlign w:val="center"/>
          </w:tcPr>
          <w:p w:rsidR="00DC7371" w:rsidRPr="00D655FE" w:rsidRDefault="00537439" w:rsidP="00BD5176">
            <w:pPr>
              <w:jc w:val="center"/>
              <w:rPr>
                <w:b/>
                <w:sz w:val="20"/>
                <w:szCs w:val="20"/>
              </w:rPr>
            </w:pPr>
            <w:r>
              <w:rPr>
                <w:b/>
                <w:sz w:val="20"/>
                <w:szCs w:val="20"/>
              </w:rPr>
              <w:t>ITC</w:t>
            </w:r>
          </w:p>
        </w:tc>
        <w:tc>
          <w:tcPr>
            <w:tcW w:w="1418" w:type="dxa"/>
            <w:vAlign w:val="center"/>
          </w:tcPr>
          <w:p w:rsidR="00DC7371" w:rsidRPr="00D655FE" w:rsidRDefault="00DC7371" w:rsidP="00C31C27">
            <w:pPr>
              <w:jc w:val="center"/>
              <w:rPr>
                <w:b/>
                <w:sz w:val="20"/>
                <w:szCs w:val="20"/>
              </w:rPr>
            </w:pPr>
            <w:r>
              <w:rPr>
                <w:b/>
                <w:sz w:val="20"/>
                <w:szCs w:val="20"/>
              </w:rPr>
              <w:t>Gerätefamilie</w:t>
            </w:r>
          </w:p>
        </w:tc>
        <w:tc>
          <w:tcPr>
            <w:tcW w:w="2964" w:type="dxa"/>
            <w:vAlign w:val="center"/>
          </w:tcPr>
          <w:p w:rsidR="00DC7371" w:rsidRPr="00D655FE" w:rsidRDefault="00DC7371" w:rsidP="00B2146D">
            <w:pPr>
              <w:jc w:val="center"/>
              <w:rPr>
                <w:b/>
                <w:sz w:val="20"/>
                <w:szCs w:val="20"/>
              </w:rPr>
            </w:pPr>
            <w:r>
              <w:rPr>
                <w:b/>
                <w:sz w:val="20"/>
                <w:szCs w:val="20"/>
              </w:rPr>
              <w:t>Gültigkeitsdauern (Jahre)</w:t>
            </w:r>
          </w:p>
        </w:tc>
        <w:tc>
          <w:tcPr>
            <w:tcW w:w="1820" w:type="dxa"/>
            <w:vAlign w:val="center"/>
          </w:tcPr>
          <w:p w:rsidR="00DC7371" w:rsidRPr="00D655FE" w:rsidRDefault="00DC7371" w:rsidP="00BD5176">
            <w:pPr>
              <w:jc w:val="center"/>
              <w:rPr>
                <w:b/>
                <w:sz w:val="20"/>
                <w:szCs w:val="20"/>
              </w:rPr>
            </w:pPr>
            <w:r>
              <w:rPr>
                <w:b/>
                <w:sz w:val="20"/>
                <w:szCs w:val="20"/>
              </w:rPr>
              <w:t>Zeitabstände für Zwischeninspektionen (Jahre)</w:t>
            </w:r>
          </w:p>
        </w:tc>
      </w:tr>
      <w:tr w:rsidR="00D655FE" w:rsidRPr="00D655FE" w:rsidTr="007E1897">
        <w:trPr>
          <w:jc w:val="center"/>
        </w:trPr>
        <w:tc>
          <w:tcPr>
            <w:tcW w:w="2518" w:type="dxa"/>
            <w:vAlign w:val="center"/>
          </w:tcPr>
          <w:p w:rsidR="00B2146D" w:rsidRPr="00D655FE" w:rsidRDefault="00B2146D" w:rsidP="00BD5176">
            <w:pPr>
              <w:jc w:val="center"/>
              <w:rPr>
                <w:sz w:val="18"/>
                <w:szCs w:val="18"/>
              </w:rPr>
            </w:pPr>
            <w:r>
              <w:rPr>
                <w:sz w:val="18"/>
                <w:szCs w:val="18"/>
              </w:rPr>
              <w:t>–</w:t>
            </w:r>
          </w:p>
        </w:tc>
        <w:tc>
          <w:tcPr>
            <w:tcW w:w="1418" w:type="dxa"/>
            <w:vAlign w:val="center"/>
          </w:tcPr>
          <w:p w:rsidR="00B2146D" w:rsidRPr="00D655FE" w:rsidRDefault="00C31C27" w:rsidP="00B2146D">
            <w:pPr>
              <w:jc w:val="center"/>
              <w:rPr>
                <w:sz w:val="18"/>
                <w:szCs w:val="18"/>
              </w:rPr>
            </w:pPr>
            <w:r>
              <w:rPr>
                <w:sz w:val="18"/>
                <w:szCs w:val="18"/>
              </w:rPr>
              <w:t>Ohne ITC</w:t>
            </w:r>
          </w:p>
        </w:tc>
        <w:tc>
          <w:tcPr>
            <w:tcW w:w="2964" w:type="dxa"/>
            <w:vAlign w:val="center"/>
          </w:tcPr>
          <w:p w:rsidR="00B2146D" w:rsidRPr="00D655FE" w:rsidRDefault="00B2146D" w:rsidP="00BD5176">
            <w:pPr>
              <w:jc w:val="center"/>
              <w:rPr>
                <w:sz w:val="18"/>
                <w:szCs w:val="18"/>
              </w:rPr>
            </w:pPr>
            <w:r>
              <w:rPr>
                <w:sz w:val="18"/>
                <w:szCs w:val="18"/>
              </w:rPr>
              <w:t>6</w:t>
            </w:r>
          </w:p>
        </w:tc>
        <w:tc>
          <w:tcPr>
            <w:tcW w:w="1820" w:type="dxa"/>
            <w:vAlign w:val="center"/>
          </w:tcPr>
          <w:p w:rsidR="00B2146D" w:rsidRPr="00D655FE" w:rsidRDefault="00B2146D" w:rsidP="00BD5176">
            <w:pPr>
              <w:jc w:val="center"/>
              <w:rPr>
                <w:sz w:val="18"/>
                <w:szCs w:val="18"/>
              </w:rPr>
            </w:pPr>
            <w:r>
              <w:rPr>
                <w:sz w:val="18"/>
                <w:szCs w:val="18"/>
              </w:rPr>
              <w:t>–</w:t>
            </w:r>
          </w:p>
        </w:tc>
      </w:tr>
      <w:tr w:rsidR="00D655FE" w:rsidRPr="00D655FE" w:rsidTr="007E1897">
        <w:trPr>
          <w:jc w:val="center"/>
        </w:trPr>
        <w:tc>
          <w:tcPr>
            <w:tcW w:w="2518" w:type="dxa"/>
            <w:vAlign w:val="center"/>
          </w:tcPr>
          <w:p w:rsidR="00DC7371" w:rsidRPr="00D655FE" w:rsidRDefault="001D7BB7" w:rsidP="00267EAB">
            <w:pPr>
              <w:rPr>
                <w:sz w:val="18"/>
                <w:szCs w:val="18"/>
              </w:rPr>
            </w:pPr>
            <w:r>
              <w:rPr>
                <w:sz w:val="18"/>
                <w:szCs w:val="18"/>
              </w:rPr>
              <w:t>Beschluss Nr. 22332/2001 vom 30. Oktober</w:t>
            </w:r>
          </w:p>
        </w:tc>
        <w:tc>
          <w:tcPr>
            <w:tcW w:w="1418" w:type="dxa"/>
            <w:vAlign w:val="center"/>
          </w:tcPr>
          <w:p w:rsidR="00DC7371" w:rsidRPr="00D655FE" w:rsidRDefault="00DC7371" w:rsidP="00765311">
            <w:pPr>
              <w:jc w:val="center"/>
              <w:rPr>
                <w:sz w:val="18"/>
                <w:szCs w:val="18"/>
              </w:rPr>
            </w:pPr>
            <w:r>
              <w:rPr>
                <w:sz w:val="18"/>
                <w:szCs w:val="18"/>
              </w:rPr>
              <w:t>Dampferzeuger und gleichzusetzende Geräte</w:t>
            </w:r>
          </w:p>
        </w:tc>
        <w:tc>
          <w:tcPr>
            <w:tcW w:w="2964" w:type="dxa"/>
          </w:tcPr>
          <w:p w:rsidR="00DC7371" w:rsidRPr="00D655FE" w:rsidRDefault="00DC7371" w:rsidP="00A64321">
            <w:pPr>
              <w:jc w:val="center"/>
              <w:rPr>
                <w:sz w:val="18"/>
                <w:szCs w:val="18"/>
              </w:rPr>
            </w:pPr>
            <w:r>
              <w:rPr>
                <w:sz w:val="18"/>
                <w:szCs w:val="18"/>
              </w:rPr>
              <w:t>6</w:t>
            </w:r>
          </w:p>
        </w:tc>
        <w:tc>
          <w:tcPr>
            <w:tcW w:w="1820" w:type="dxa"/>
            <w:vAlign w:val="center"/>
          </w:tcPr>
          <w:p w:rsidR="00DC7371" w:rsidRPr="00D655FE" w:rsidRDefault="00DC7371" w:rsidP="00BD5176">
            <w:pPr>
              <w:jc w:val="center"/>
              <w:rPr>
                <w:sz w:val="18"/>
                <w:szCs w:val="18"/>
              </w:rPr>
            </w:pPr>
            <w:r>
              <w:rPr>
                <w:sz w:val="18"/>
                <w:szCs w:val="18"/>
              </w:rPr>
              <w:t>alle 3</w:t>
            </w:r>
          </w:p>
        </w:tc>
      </w:tr>
      <w:tr w:rsidR="00D655FE" w:rsidRPr="00D655FE" w:rsidTr="007E1897">
        <w:trPr>
          <w:jc w:val="center"/>
        </w:trPr>
        <w:tc>
          <w:tcPr>
            <w:tcW w:w="2518" w:type="dxa"/>
            <w:vAlign w:val="center"/>
          </w:tcPr>
          <w:p w:rsidR="00DC7371" w:rsidRPr="00D655FE" w:rsidRDefault="001D7BB7" w:rsidP="00267EAB">
            <w:pPr>
              <w:rPr>
                <w:sz w:val="18"/>
                <w:szCs w:val="18"/>
              </w:rPr>
            </w:pPr>
            <w:r>
              <w:rPr>
                <w:sz w:val="18"/>
                <w:szCs w:val="18"/>
              </w:rPr>
              <w:t>Beschluss Nr. 22333/2001 vom 30. Oktober</w:t>
            </w:r>
          </w:p>
        </w:tc>
        <w:tc>
          <w:tcPr>
            <w:tcW w:w="1418" w:type="dxa"/>
            <w:vAlign w:val="center"/>
          </w:tcPr>
          <w:p w:rsidR="00DC7371" w:rsidRPr="00D655FE" w:rsidRDefault="00DC7371" w:rsidP="005D40CE">
            <w:pPr>
              <w:jc w:val="center"/>
              <w:rPr>
                <w:sz w:val="18"/>
                <w:szCs w:val="18"/>
              </w:rPr>
            </w:pPr>
            <w:r>
              <w:rPr>
                <w:sz w:val="18"/>
                <w:szCs w:val="18"/>
              </w:rPr>
              <w:t>LPG ≤ 200 000 l</w:t>
            </w:r>
          </w:p>
        </w:tc>
        <w:tc>
          <w:tcPr>
            <w:tcW w:w="2964" w:type="dxa"/>
          </w:tcPr>
          <w:p w:rsidR="00DC7371" w:rsidRPr="00D655FE" w:rsidRDefault="00DC7371" w:rsidP="00A64321">
            <w:pPr>
              <w:jc w:val="center"/>
              <w:rPr>
                <w:sz w:val="18"/>
                <w:szCs w:val="18"/>
              </w:rPr>
            </w:pPr>
            <w:r>
              <w:rPr>
                <w:sz w:val="18"/>
                <w:szCs w:val="18"/>
              </w:rPr>
              <w:t>12 – Ober- oder unterirdischer Druckbehälter ohne kathodischen Schutz</w:t>
            </w:r>
          </w:p>
          <w:p w:rsidR="00DC7371" w:rsidRPr="00D655FE" w:rsidRDefault="00DC7371" w:rsidP="00FC676A">
            <w:pPr>
              <w:jc w:val="center"/>
              <w:rPr>
                <w:sz w:val="18"/>
                <w:szCs w:val="18"/>
              </w:rPr>
            </w:pPr>
            <w:r>
              <w:rPr>
                <w:sz w:val="18"/>
                <w:szCs w:val="18"/>
              </w:rPr>
              <w:t>18 – Unterirdischer oder abgedeckter Druckbehälter mit kathodischem Schutz</w:t>
            </w:r>
          </w:p>
        </w:tc>
        <w:tc>
          <w:tcPr>
            <w:tcW w:w="1820" w:type="dxa"/>
            <w:vAlign w:val="center"/>
          </w:tcPr>
          <w:p w:rsidR="00DC7371" w:rsidRPr="00D655FE" w:rsidRDefault="00DC7371" w:rsidP="00BD5176">
            <w:pPr>
              <w:jc w:val="center"/>
              <w:rPr>
                <w:sz w:val="18"/>
                <w:szCs w:val="18"/>
              </w:rPr>
            </w:pPr>
            <w:r>
              <w:rPr>
                <w:sz w:val="18"/>
                <w:szCs w:val="18"/>
              </w:rPr>
              <w:t>alle 6</w:t>
            </w:r>
          </w:p>
        </w:tc>
      </w:tr>
      <w:tr w:rsidR="00D655FE" w:rsidRPr="00D655FE" w:rsidTr="007E1897">
        <w:trPr>
          <w:jc w:val="center"/>
        </w:trPr>
        <w:tc>
          <w:tcPr>
            <w:tcW w:w="2518" w:type="dxa"/>
            <w:vAlign w:val="center"/>
          </w:tcPr>
          <w:p w:rsidR="005D40CE" w:rsidRPr="00D655FE" w:rsidRDefault="001D7BB7" w:rsidP="00267EAB">
            <w:pPr>
              <w:rPr>
                <w:sz w:val="18"/>
                <w:szCs w:val="18"/>
              </w:rPr>
            </w:pPr>
            <w:r>
              <w:rPr>
                <w:sz w:val="18"/>
                <w:szCs w:val="18"/>
              </w:rPr>
              <w:t>Beschluss Nr. 24260/2007 vom 23. Oktober</w:t>
            </w:r>
          </w:p>
        </w:tc>
        <w:tc>
          <w:tcPr>
            <w:tcW w:w="1418" w:type="dxa"/>
            <w:vAlign w:val="center"/>
          </w:tcPr>
          <w:p w:rsidR="005D40CE" w:rsidRPr="00D655FE" w:rsidRDefault="005D40CE" w:rsidP="00954041">
            <w:pPr>
              <w:jc w:val="center"/>
              <w:rPr>
                <w:sz w:val="18"/>
                <w:szCs w:val="18"/>
              </w:rPr>
            </w:pPr>
            <w:r>
              <w:rPr>
                <w:sz w:val="18"/>
                <w:szCs w:val="18"/>
              </w:rPr>
              <w:t>LPG &gt; 200 000 l</w:t>
            </w:r>
          </w:p>
        </w:tc>
        <w:tc>
          <w:tcPr>
            <w:tcW w:w="2964" w:type="dxa"/>
          </w:tcPr>
          <w:p w:rsidR="005D40CE" w:rsidRPr="00D655FE" w:rsidRDefault="005D40CE" w:rsidP="00FC676A">
            <w:pPr>
              <w:jc w:val="center"/>
              <w:rPr>
                <w:sz w:val="18"/>
                <w:szCs w:val="18"/>
              </w:rPr>
            </w:pPr>
            <w:r>
              <w:rPr>
                <w:sz w:val="18"/>
                <w:szCs w:val="18"/>
              </w:rPr>
              <w:t>12 – Ober- oder unterirdischer Druckbehälter ohne kathodischen Schutz</w:t>
            </w:r>
          </w:p>
          <w:p w:rsidR="005D40CE" w:rsidRPr="00D655FE" w:rsidRDefault="005D40CE" w:rsidP="00FC676A">
            <w:pPr>
              <w:jc w:val="center"/>
              <w:rPr>
                <w:sz w:val="18"/>
                <w:szCs w:val="18"/>
              </w:rPr>
            </w:pPr>
            <w:r>
              <w:rPr>
                <w:sz w:val="18"/>
                <w:szCs w:val="18"/>
              </w:rPr>
              <w:t xml:space="preserve">18 – Unterirdischer oder abgedeckter Druckbehälter mit kathodischem </w:t>
            </w:r>
            <w:r>
              <w:rPr>
                <w:sz w:val="18"/>
                <w:szCs w:val="18"/>
              </w:rPr>
              <w:lastRenderedPageBreak/>
              <w:t>Schutz</w:t>
            </w:r>
          </w:p>
        </w:tc>
        <w:tc>
          <w:tcPr>
            <w:tcW w:w="1820" w:type="dxa"/>
            <w:vAlign w:val="center"/>
          </w:tcPr>
          <w:p w:rsidR="005D40CE" w:rsidRPr="00D655FE" w:rsidRDefault="005D40CE" w:rsidP="00954041">
            <w:pPr>
              <w:jc w:val="center"/>
              <w:rPr>
                <w:sz w:val="18"/>
                <w:szCs w:val="18"/>
              </w:rPr>
            </w:pPr>
            <w:r>
              <w:rPr>
                <w:sz w:val="18"/>
                <w:szCs w:val="18"/>
              </w:rPr>
              <w:lastRenderedPageBreak/>
              <w:t>alle 6</w:t>
            </w:r>
          </w:p>
        </w:tc>
      </w:tr>
      <w:tr w:rsidR="00D655FE" w:rsidRPr="00D655FE" w:rsidTr="007E1897">
        <w:trPr>
          <w:jc w:val="center"/>
        </w:trPr>
        <w:tc>
          <w:tcPr>
            <w:tcW w:w="2518" w:type="dxa"/>
            <w:vAlign w:val="center"/>
          </w:tcPr>
          <w:p w:rsidR="005D40CE" w:rsidRPr="00D655FE" w:rsidRDefault="001D7BB7" w:rsidP="00267EAB">
            <w:pPr>
              <w:rPr>
                <w:sz w:val="18"/>
                <w:szCs w:val="18"/>
              </w:rPr>
            </w:pPr>
            <w:r>
              <w:rPr>
                <w:sz w:val="18"/>
                <w:szCs w:val="18"/>
              </w:rPr>
              <w:t>Beschluss Nr. 1859/2003 vom 30. Januar</w:t>
            </w:r>
          </w:p>
        </w:tc>
        <w:tc>
          <w:tcPr>
            <w:tcW w:w="1418" w:type="dxa"/>
            <w:vAlign w:val="center"/>
          </w:tcPr>
          <w:p w:rsidR="005D40CE" w:rsidRPr="00D655FE" w:rsidRDefault="00B801B4" w:rsidP="00DC7371">
            <w:pPr>
              <w:jc w:val="center"/>
              <w:rPr>
                <w:sz w:val="18"/>
                <w:szCs w:val="18"/>
              </w:rPr>
            </w:pPr>
            <w:r>
              <w:rPr>
                <w:sz w:val="18"/>
                <w:szCs w:val="18"/>
              </w:rPr>
              <w:t>Druckluftbehälter</w:t>
            </w:r>
          </w:p>
        </w:tc>
        <w:tc>
          <w:tcPr>
            <w:tcW w:w="2964" w:type="dxa"/>
          </w:tcPr>
          <w:p w:rsidR="005D40CE" w:rsidRPr="00D655FE" w:rsidRDefault="005D40CE" w:rsidP="00A64321">
            <w:pPr>
              <w:jc w:val="center"/>
              <w:rPr>
                <w:sz w:val="18"/>
                <w:szCs w:val="18"/>
              </w:rPr>
            </w:pPr>
            <w:r>
              <w:rPr>
                <w:sz w:val="18"/>
                <w:szCs w:val="18"/>
              </w:rPr>
              <w:t>6</w:t>
            </w:r>
          </w:p>
        </w:tc>
        <w:tc>
          <w:tcPr>
            <w:tcW w:w="1820" w:type="dxa"/>
            <w:vAlign w:val="center"/>
          </w:tcPr>
          <w:p w:rsidR="005D40CE" w:rsidRPr="00D655FE" w:rsidRDefault="00656320" w:rsidP="00BD5176">
            <w:pPr>
              <w:jc w:val="center"/>
              <w:rPr>
                <w:strike/>
                <w:sz w:val="18"/>
                <w:szCs w:val="18"/>
              </w:rPr>
            </w:pPr>
            <w:r>
              <w:rPr>
                <w:strike/>
                <w:sz w:val="18"/>
                <w:szCs w:val="18"/>
              </w:rPr>
              <w:t>–</w:t>
            </w:r>
          </w:p>
        </w:tc>
      </w:tr>
      <w:tr w:rsidR="00D655FE" w:rsidRPr="00D655FE" w:rsidTr="008866F9">
        <w:trPr>
          <w:jc w:val="center"/>
        </w:trPr>
        <w:tc>
          <w:tcPr>
            <w:tcW w:w="2518" w:type="dxa"/>
            <w:vAlign w:val="center"/>
          </w:tcPr>
          <w:p w:rsidR="005D40CE" w:rsidRPr="00D655FE" w:rsidRDefault="001D7BB7" w:rsidP="00267EAB">
            <w:pPr>
              <w:rPr>
                <w:sz w:val="18"/>
                <w:szCs w:val="18"/>
              </w:rPr>
            </w:pPr>
            <w:r>
              <w:rPr>
                <w:sz w:val="18"/>
                <w:szCs w:val="18"/>
              </w:rPr>
              <w:t>Beschluss Nr. 11551/2007 vom 12. Juni</w:t>
            </w:r>
          </w:p>
        </w:tc>
        <w:tc>
          <w:tcPr>
            <w:tcW w:w="1418" w:type="dxa"/>
            <w:vAlign w:val="center"/>
          </w:tcPr>
          <w:p w:rsidR="005D40CE" w:rsidRPr="00D655FE" w:rsidRDefault="005D40CE" w:rsidP="00DC7371">
            <w:pPr>
              <w:jc w:val="center"/>
              <w:rPr>
                <w:sz w:val="18"/>
                <w:szCs w:val="18"/>
              </w:rPr>
            </w:pPr>
            <w:r>
              <w:rPr>
                <w:sz w:val="18"/>
                <w:szCs w:val="18"/>
              </w:rPr>
              <w:t>Prozessbaugruppen</w:t>
            </w:r>
          </w:p>
        </w:tc>
        <w:tc>
          <w:tcPr>
            <w:tcW w:w="2964" w:type="dxa"/>
          </w:tcPr>
          <w:p w:rsidR="005D40CE" w:rsidRPr="00D655FE" w:rsidRDefault="005D40CE" w:rsidP="00A64321">
            <w:pPr>
              <w:jc w:val="center"/>
              <w:rPr>
                <w:sz w:val="18"/>
                <w:szCs w:val="18"/>
              </w:rPr>
            </w:pPr>
            <w:r>
              <w:rPr>
                <w:sz w:val="18"/>
                <w:szCs w:val="18"/>
              </w:rPr>
              <w:t>6 – Gefahrenklasse 1</w:t>
            </w:r>
          </w:p>
          <w:p w:rsidR="005D40CE" w:rsidRPr="00D655FE" w:rsidRDefault="005D40CE" w:rsidP="00A64321">
            <w:pPr>
              <w:jc w:val="center"/>
              <w:rPr>
                <w:sz w:val="18"/>
                <w:szCs w:val="18"/>
              </w:rPr>
            </w:pPr>
            <w:r>
              <w:rPr>
                <w:sz w:val="18"/>
                <w:szCs w:val="18"/>
              </w:rPr>
              <w:t>8 – Gefahrenklasse 2</w:t>
            </w:r>
          </w:p>
          <w:p w:rsidR="005D40CE" w:rsidRPr="00D655FE" w:rsidRDefault="005D40CE" w:rsidP="00A64321">
            <w:pPr>
              <w:jc w:val="center"/>
              <w:rPr>
                <w:sz w:val="18"/>
                <w:szCs w:val="18"/>
              </w:rPr>
            </w:pPr>
            <w:r>
              <w:rPr>
                <w:sz w:val="18"/>
                <w:szCs w:val="18"/>
              </w:rPr>
              <w:t>12 – Gefahrenklasse 3</w:t>
            </w:r>
          </w:p>
          <w:p w:rsidR="005D40CE" w:rsidRPr="00D655FE" w:rsidRDefault="005D40CE" w:rsidP="0005199A">
            <w:pPr>
              <w:jc w:val="center"/>
              <w:rPr>
                <w:sz w:val="18"/>
                <w:szCs w:val="18"/>
              </w:rPr>
            </w:pPr>
            <w:r>
              <w:rPr>
                <w:sz w:val="18"/>
                <w:szCs w:val="18"/>
              </w:rPr>
              <w:t xml:space="preserve">Diese Zeitabstände können unter Berücksichtigung der Ergebnisse der risikobasierten Inspektion maximal um das 1,5-Fache des angegebenen Zeitabstands angepasst werden. </w:t>
            </w:r>
          </w:p>
        </w:tc>
        <w:tc>
          <w:tcPr>
            <w:tcW w:w="1820" w:type="dxa"/>
          </w:tcPr>
          <w:p w:rsidR="005D40CE" w:rsidRPr="00D655FE" w:rsidRDefault="005D40CE" w:rsidP="002135DF">
            <w:pPr>
              <w:jc w:val="center"/>
              <w:rPr>
                <w:sz w:val="18"/>
                <w:szCs w:val="18"/>
              </w:rPr>
            </w:pPr>
            <w:r>
              <w:rPr>
                <w:sz w:val="18"/>
                <w:szCs w:val="18"/>
              </w:rPr>
              <w:t>alle 3</w:t>
            </w:r>
          </w:p>
          <w:p w:rsidR="005D40CE" w:rsidRPr="00D655FE" w:rsidRDefault="005D40CE" w:rsidP="0092496F">
            <w:pPr>
              <w:jc w:val="center"/>
              <w:rPr>
                <w:sz w:val="18"/>
                <w:szCs w:val="18"/>
              </w:rPr>
            </w:pPr>
            <w:r>
              <w:rPr>
                <w:sz w:val="18"/>
                <w:szCs w:val="18"/>
              </w:rPr>
              <w:t>alle 4</w:t>
            </w:r>
          </w:p>
          <w:p w:rsidR="005D40CE" w:rsidRPr="00D655FE" w:rsidRDefault="0005199A" w:rsidP="008866F9">
            <w:pPr>
              <w:jc w:val="center"/>
              <w:rPr>
                <w:sz w:val="18"/>
                <w:szCs w:val="18"/>
              </w:rPr>
            </w:pPr>
            <w:r>
              <w:rPr>
                <w:sz w:val="18"/>
                <w:szCs w:val="18"/>
              </w:rPr>
              <w:t>alle 6</w:t>
            </w:r>
          </w:p>
        </w:tc>
      </w:tr>
      <w:tr w:rsidR="005D40CE" w:rsidRPr="00D655FE" w:rsidTr="007E1897">
        <w:trPr>
          <w:jc w:val="center"/>
        </w:trPr>
        <w:tc>
          <w:tcPr>
            <w:tcW w:w="2518" w:type="dxa"/>
          </w:tcPr>
          <w:p w:rsidR="005D40CE" w:rsidRPr="00D655FE" w:rsidRDefault="001D7BB7" w:rsidP="00267EAB">
            <w:pPr>
              <w:rPr>
                <w:sz w:val="18"/>
                <w:szCs w:val="18"/>
              </w:rPr>
            </w:pPr>
            <w:r>
              <w:rPr>
                <w:sz w:val="18"/>
                <w:szCs w:val="18"/>
              </w:rPr>
              <w:t>Beschluss Nr. 24261/2007 vom 23. Oktober</w:t>
            </w:r>
          </w:p>
        </w:tc>
        <w:tc>
          <w:tcPr>
            <w:tcW w:w="1418" w:type="dxa"/>
            <w:vAlign w:val="center"/>
          </w:tcPr>
          <w:p w:rsidR="005D40CE" w:rsidRPr="00D655FE" w:rsidRDefault="005D40CE" w:rsidP="00DC7371">
            <w:pPr>
              <w:jc w:val="center"/>
              <w:rPr>
                <w:sz w:val="18"/>
                <w:szCs w:val="18"/>
                <w:highlight w:val="yellow"/>
              </w:rPr>
            </w:pPr>
            <w:proofErr w:type="spellStart"/>
            <w:r>
              <w:rPr>
                <w:sz w:val="18"/>
                <w:szCs w:val="18"/>
              </w:rPr>
              <w:t>Kryogene</w:t>
            </w:r>
            <w:proofErr w:type="spellEnd"/>
          </w:p>
        </w:tc>
        <w:tc>
          <w:tcPr>
            <w:tcW w:w="2964" w:type="dxa"/>
            <w:vAlign w:val="center"/>
          </w:tcPr>
          <w:p w:rsidR="005D40CE" w:rsidRPr="00D655FE" w:rsidRDefault="005D40CE" w:rsidP="00DC7371">
            <w:pPr>
              <w:jc w:val="center"/>
              <w:rPr>
                <w:sz w:val="18"/>
                <w:szCs w:val="18"/>
              </w:rPr>
            </w:pPr>
            <w:r>
              <w:rPr>
                <w:sz w:val="18"/>
                <w:szCs w:val="18"/>
              </w:rPr>
              <w:t>15</w:t>
            </w:r>
          </w:p>
        </w:tc>
        <w:tc>
          <w:tcPr>
            <w:tcW w:w="1820" w:type="dxa"/>
            <w:vAlign w:val="center"/>
          </w:tcPr>
          <w:p w:rsidR="005D40CE" w:rsidRPr="00D655FE" w:rsidRDefault="005D40CE" w:rsidP="00BD5176">
            <w:pPr>
              <w:jc w:val="center"/>
              <w:rPr>
                <w:sz w:val="18"/>
                <w:szCs w:val="18"/>
              </w:rPr>
            </w:pPr>
            <w:r>
              <w:rPr>
                <w:sz w:val="18"/>
                <w:szCs w:val="18"/>
              </w:rPr>
              <w:t>alle 5</w:t>
            </w:r>
          </w:p>
        </w:tc>
      </w:tr>
    </w:tbl>
    <w:p w:rsidR="00765311" w:rsidRPr="00D655FE" w:rsidRDefault="00765311" w:rsidP="00DF5785">
      <w:pPr>
        <w:jc w:val="center"/>
      </w:pPr>
    </w:p>
    <w:p w:rsidR="009B4DA5" w:rsidRPr="00D655FE" w:rsidRDefault="009B4DA5" w:rsidP="005A23E3">
      <w:pPr>
        <w:keepNext/>
        <w:jc w:val="center"/>
      </w:pPr>
      <w:r>
        <w:t>ANHANG X</w:t>
      </w:r>
    </w:p>
    <w:p w:rsidR="0046525F" w:rsidRPr="00D655FE" w:rsidRDefault="0046525F" w:rsidP="005A23E3">
      <w:pPr>
        <w:keepNext/>
        <w:jc w:val="center"/>
        <w:rPr>
          <w:i/>
        </w:rPr>
      </w:pPr>
      <w:r>
        <w:rPr>
          <w:i/>
        </w:rPr>
        <w:t>(auf den sich Artikel 16 Absätze 5, 6 und 8 beziehen)</w:t>
      </w:r>
    </w:p>
    <w:p w:rsidR="00EB6FD0" w:rsidRPr="00D655FE" w:rsidRDefault="00EB6FD0" w:rsidP="005A23E3">
      <w:pPr>
        <w:keepNext/>
        <w:jc w:val="center"/>
        <w:rPr>
          <w:b/>
        </w:rPr>
      </w:pPr>
      <w:r>
        <w:rPr>
          <w:b/>
        </w:rPr>
        <w:t>Reparatur und Änderung</w:t>
      </w:r>
    </w:p>
    <w:p w:rsidR="00EB6FD0" w:rsidRPr="00D655FE" w:rsidRDefault="00EB6FD0" w:rsidP="0046525F">
      <w:pPr>
        <w:spacing w:after="0" w:line="240" w:lineRule="auto"/>
        <w:jc w:val="both"/>
      </w:pPr>
      <w:r>
        <w:t>1. Der Entwurf für die Reparatur oder Änderung muss Folgendes umfassen:</w:t>
      </w:r>
    </w:p>
    <w:p w:rsidR="00EB6FD0" w:rsidRPr="00D655FE" w:rsidRDefault="00EB6FD0" w:rsidP="0046525F">
      <w:pPr>
        <w:spacing w:after="0" w:line="240" w:lineRule="auto"/>
        <w:jc w:val="both"/>
      </w:pPr>
      <w:r>
        <w:t>a) Projektbeschreibung des auszuführenden Eingriffs unter Angabe der anzuwendenden Vorschriften oder Normen und der ursprünglichen und neuen Eigenschaften des Behälters oder Geräts;</w:t>
      </w:r>
    </w:p>
    <w:p w:rsidR="00EB6FD0" w:rsidRPr="00D655FE" w:rsidRDefault="00EB6FD0" w:rsidP="0046525F">
      <w:pPr>
        <w:spacing w:after="0" w:line="240" w:lineRule="auto"/>
        <w:jc w:val="both"/>
      </w:pPr>
      <w:r>
        <w:t>b) Bemessungsblatt, sofern zutreffend;</w:t>
      </w:r>
    </w:p>
    <w:p w:rsidR="00EB6FD0" w:rsidRPr="00D655FE" w:rsidRDefault="00EB6FD0" w:rsidP="0046525F">
      <w:pPr>
        <w:spacing w:after="0" w:line="240" w:lineRule="auto"/>
        <w:jc w:val="both"/>
      </w:pPr>
      <w:r>
        <w:t xml:space="preserve">c) beim Eingriff anzuwendender Inspektions- und Prüfplan; </w:t>
      </w:r>
    </w:p>
    <w:p w:rsidR="00EB6FD0" w:rsidRPr="00D655FE" w:rsidRDefault="00EB6FD0" w:rsidP="0046525F">
      <w:pPr>
        <w:spacing w:after="0" w:line="240" w:lineRule="auto"/>
        <w:jc w:val="both"/>
      </w:pPr>
      <w:r>
        <w:t>d) Übersichts- und Detailpläne;</w:t>
      </w:r>
    </w:p>
    <w:p w:rsidR="00EB6FD0" w:rsidRPr="00D655FE" w:rsidRDefault="00EB6FD0" w:rsidP="0046525F">
      <w:pPr>
        <w:spacing w:after="0" w:line="240" w:lineRule="auto"/>
        <w:jc w:val="both"/>
      </w:pPr>
      <w:r>
        <w:t>e) Schweißverfahren;</w:t>
      </w:r>
    </w:p>
    <w:p w:rsidR="00EB6FD0" w:rsidRPr="00D655FE" w:rsidRDefault="00EB6FD0" w:rsidP="0046525F">
      <w:pPr>
        <w:spacing w:after="0" w:line="240" w:lineRule="auto"/>
        <w:jc w:val="both"/>
      </w:pPr>
      <w:r>
        <w:t>f) durch den Projektingenieur unterzeichnete Haftungserklärung.</w:t>
      </w:r>
    </w:p>
    <w:p w:rsidR="00EB6FD0" w:rsidRPr="00D655FE" w:rsidRDefault="00EB6FD0" w:rsidP="0046525F">
      <w:pPr>
        <w:spacing w:after="0" w:line="240" w:lineRule="auto"/>
        <w:jc w:val="both"/>
      </w:pPr>
      <w:r>
        <w:t>2. Die durch die Inspektionsstelle ausgestellte Entwurfskonformitätsbescheinigung für den Reparatur- oder Änderungsentwurf mit positivem Ergebnis muss die nachfolgenden Angaben und Dokumente umfassen:</w:t>
      </w:r>
    </w:p>
    <w:p w:rsidR="00EB6FD0" w:rsidRPr="00D655FE" w:rsidRDefault="00EB6FD0" w:rsidP="0046525F">
      <w:pPr>
        <w:spacing w:after="0" w:line="240" w:lineRule="auto"/>
        <w:jc w:val="both"/>
      </w:pPr>
      <w:r>
        <w:t>a) nähere Angaben zum Nutzer und zum Eigentümer des Behälters oder Geräts;</w:t>
      </w:r>
    </w:p>
    <w:p w:rsidR="00EB6FD0" w:rsidRPr="00D655FE" w:rsidRDefault="00EB6FD0" w:rsidP="0046525F">
      <w:pPr>
        <w:spacing w:after="0" w:line="240" w:lineRule="auto"/>
        <w:jc w:val="both"/>
      </w:pPr>
      <w:r>
        <w:t>b) Kennnummer des Behälters oder Geräts;</w:t>
      </w:r>
    </w:p>
    <w:p w:rsidR="00B913EF" w:rsidRPr="00D655FE" w:rsidRDefault="00B913EF" w:rsidP="00B913EF">
      <w:pPr>
        <w:spacing w:after="0" w:line="240" w:lineRule="auto"/>
        <w:jc w:val="both"/>
      </w:pPr>
      <w:r>
        <w:t xml:space="preserve">c) Eigenschaften des Behälters oder Geräts: </w:t>
      </w:r>
    </w:p>
    <w:p w:rsidR="00B913EF" w:rsidRPr="00D655FE" w:rsidRDefault="00B913EF" w:rsidP="00B913EF">
      <w:pPr>
        <w:spacing w:after="0" w:line="240" w:lineRule="auto"/>
        <w:jc w:val="both"/>
      </w:pPr>
      <w:r>
        <w:rPr>
          <w:i/>
        </w:rPr>
        <w:t>i)</w:t>
      </w:r>
      <w:r>
        <w:t xml:space="preserve"> Firmenbezeichnung des Herstellers mit Angabe des Landes;</w:t>
      </w:r>
    </w:p>
    <w:p w:rsidR="00B913EF" w:rsidRPr="00D655FE" w:rsidRDefault="00B913EF" w:rsidP="00B913EF">
      <w:pPr>
        <w:spacing w:after="0" w:line="240" w:lineRule="auto"/>
        <w:jc w:val="both"/>
      </w:pPr>
      <w:r>
        <w:rPr>
          <w:i/>
        </w:rPr>
        <w:t>ii)</w:t>
      </w:r>
      <w:r>
        <w:t xml:space="preserve"> Bauart;</w:t>
      </w:r>
    </w:p>
    <w:p w:rsidR="00B913EF" w:rsidRPr="00D655FE" w:rsidRDefault="00B913EF" w:rsidP="00B913EF">
      <w:pPr>
        <w:spacing w:after="0" w:line="240" w:lineRule="auto"/>
        <w:jc w:val="both"/>
      </w:pPr>
      <w:r>
        <w:rPr>
          <w:i/>
        </w:rPr>
        <w:t>iii)</w:t>
      </w:r>
      <w:r>
        <w:t xml:space="preserve"> Baujahr und Fertigungsnummer;</w:t>
      </w:r>
    </w:p>
    <w:p w:rsidR="00B913EF" w:rsidRPr="00D655FE" w:rsidRDefault="00B913EF" w:rsidP="00B913EF">
      <w:pPr>
        <w:spacing w:after="0" w:line="240" w:lineRule="auto"/>
        <w:jc w:val="both"/>
      </w:pPr>
      <w:r>
        <w:rPr>
          <w:i/>
        </w:rPr>
        <w:t>iv)</w:t>
      </w:r>
      <w:r>
        <w:t xml:space="preserve"> Anzahl der Kammern, sofern zutreffend, und entsprechende Werte für PS, Volumen, Fluid und Mindest- und Höchsttemperaturen;</w:t>
      </w:r>
    </w:p>
    <w:p w:rsidR="00B913EF" w:rsidRPr="00D655FE" w:rsidRDefault="00B913EF" w:rsidP="00B913EF">
      <w:pPr>
        <w:spacing w:after="0" w:line="240" w:lineRule="auto"/>
        <w:jc w:val="both"/>
      </w:pPr>
      <w:r>
        <w:rPr>
          <w:i/>
        </w:rPr>
        <w:t>v)</w:t>
      </w:r>
      <w:r>
        <w:t xml:space="preserve"> Verdampfung, Heizfläche, Leistung und Brennstoff, sofern zutreffend;</w:t>
      </w:r>
    </w:p>
    <w:p w:rsidR="00B913EF" w:rsidRPr="00D655FE" w:rsidRDefault="00B913EF" w:rsidP="00B913EF">
      <w:pPr>
        <w:spacing w:after="0" w:line="240" w:lineRule="auto"/>
        <w:jc w:val="both"/>
      </w:pPr>
    </w:p>
    <w:p w:rsidR="00EB6FD0" w:rsidRPr="00D655FE" w:rsidRDefault="00EB6FD0" w:rsidP="0046525F">
      <w:pPr>
        <w:spacing w:after="0" w:line="240" w:lineRule="auto"/>
        <w:jc w:val="both"/>
      </w:pPr>
      <w:r>
        <w:t xml:space="preserve">d) Angabe des Einbauorts; </w:t>
      </w:r>
    </w:p>
    <w:p w:rsidR="00EB6FD0" w:rsidRPr="00D655FE" w:rsidRDefault="00EB6FD0" w:rsidP="0046525F">
      <w:pPr>
        <w:spacing w:after="0" w:line="240" w:lineRule="auto"/>
        <w:jc w:val="both"/>
      </w:pPr>
      <w:r>
        <w:t>e) Verweis auf anwendbare Baunormen oder -vorschriften;</w:t>
      </w:r>
    </w:p>
    <w:p w:rsidR="00EB6FD0" w:rsidRPr="00D655FE" w:rsidRDefault="00EB6FD0" w:rsidP="0046525F">
      <w:pPr>
        <w:spacing w:after="0" w:line="240" w:lineRule="auto"/>
        <w:jc w:val="both"/>
      </w:pPr>
      <w:r>
        <w:t>f) ordnungsgemäß durch die Inspektionsstelle validiertes und beglaubigtes Original des Entwurfs.</w:t>
      </w:r>
    </w:p>
    <w:p w:rsidR="00EB6FD0" w:rsidRPr="00D655FE" w:rsidRDefault="00EB6FD0" w:rsidP="0046525F">
      <w:pPr>
        <w:spacing w:after="0" w:line="240" w:lineRule="auto"/>
        <w:jc w:val="both"/>
      </w:pPr>
      <w:r>
        <w:t>3. Für das Reparatur- oder Änderungsverfahren müssen mindestens folgende Informationen und Dokumente beigefügt sein:</w:t>
      </w:r>
    </w:p>
    <w:p w:rsidR="00EB6FD0" w:rsidRPr="00D655FE" w:rsidRDefault="00EB6FD0" w:rsidP="0046525F">
      <w:pPr>
        <w:spacing w:after="0" w:line="240" w:lineRule="auto"/>
        <w:jc w:val="both"/>
      </w:pPr>
      <w:r>
        <w:t>a) Entwurfsgenehmigungsbescheinigung für die Reparatur oder Änderung nach dem vorhergehenden Absatz;</w:t>
      </w:r>
    </w:p>
    <w:p w:rsidR="00EB6FD0" w:rsidRPr="00D655FE" w:rsidRDefault="00EB6FD0" w:rsidP="0046525F">
      <w:pPr>
        <w:spacing w:after="0" w:line="240" w:lineRule="auto"/>
        <w:jc w:val="both"/>
      </w:pPr>
      <w:r>
        <w:t>b) Inspektionsbericht zu der Reparatur oder Änderung der Inspektionsstelle mit positivem Ergebnis mit Angabe der Kennnummer des Behälters oder Geräts, näheren Angaben zum Nutzer, zum Eigentümer und zum Reparaturunternehmen und Angabe der durchgeführten Kontrollen und Versuche unter Beifügung folgender Elemente:</w:t>
      </w:r>
    </w:p>
    <w:p w:rsidR="00EB6FD0" w:rsidRPr="00D655FE" w:rsidRDefault="00EB6FD0" w:rsidP="0046525F">
      <w:pPr>
        <w:spacing w:after="0" w:line="240" w:lineRule="auto"/>
        <w:jc w:val="both"/>
      </w:pPr>
      <w:r>
        <w:rPr>
          <w:i/>
        </w:rPr>
        <w:t>i)</w:t>
      </w:r>
      <w:r>
        <w:t xml:space="preserve"> Nachweis der Erfüllung des Inspektions- und Prüfplans;</w:t>
      </w:r>
    </w:p>
    <w:p w:rsidR="00EB6FD0" w:rsidRPr="00D655FE" w:rsidRDefault="00EB6FD0" w:rsidP="0046525F">
      <w:pPr>
        <w:spacing w:after="0" w:line="240" w:lineRule="auto"/>
        <w:jc w:val="both"/>
      </w:pPr>
      <w:r>
        <w:rPr>
          <w:i/>
        </w:rPr>
        <w:lastRenderedPageBreak/>
        <w:t>ii)</w:t>
      </w:r>
      <w:r>
        <w:t xml:space="preserve"> durch eine vom IPAC, I.P., zugelassene oder anerkannte Personenzertifizierungsstelle ausgestellte Qualifizierungsnachweise der Schweißer;</w:t>
      </w:r>
    </w:p>
    <w:p w:rsidR="00EB6FD0" w:rsidRPr="00D655FE" w:rsidRDefault="00EB6FD0" w:rsidP="0046525F">
      <w:pPr>
        <w:spacing w:after="0" w:line="240" w:lineRule="auto"/>
        <w:jc w:val="both"/>
      </w:pPr>
      <w:r>
        <w:rPr>
          <w:i/>
        </w:rPr>
        <w:t>iii)</w:t>
      </w:r>
      <w:r>
        <w:t xml:space="preserve"> Bescheinigungen über verwendete Werkstoffe;</w:t>
      </w:r>
    </w:p>
    <w:p w:rsidR="00EB6FD0" w:rsidRPr="00D655FE" w:rsidRDefault="00EB6FD0" w:rsidP="0046525F">
      <w:pPr>
        <w:spacing w:after="0" w:line="240" w:lineRule="auto"/>
        <w:jc w:val="both"/>
      </w:pPr>
      <w:r>
        <w:t>c) durch die Inspektionsstelle ausgestellte Bauzulassungsbescheinigung für die Reparatur oder Änderung des Behälters oder Geräts.</w:t>
      </w:r>
    </w:p>
    <w:p w:rsidR="007E1897" w:rsidRPr="00D655FE" w:rsidRDefault="007E1897" w:rsidP="00280262">
      <w:pPr>
        <w:jc w:val="center"/>
      </w:pPr>
    </w:p>
    <w:p w:rsidR="001B2B09" w:rsidRPr="00D655FE" w:rsidRDefault="001B2B09" w:rsidP="009D71C3">
      <w:pPr>
        <w:keepNext/>
        <w:jc w:val="center"/>
      </w:pPr>
      <w:r>
        <w:t>ANHANG XI</w:t>
      </w:r>
    </w:p>
    <w:p w:rsidR="0046525F" w:rsidRPr="00D655FE" w:rsidRDefault="0046525F" w:rsidP="009D71C3">
      <w:pPr>
        <w:keepNext/>
        <w:jc w:val="center"/>
        <w:rPr>
          <w:i/>
        </w:rPr>
      </w:pPr>
      <w:r>
        <w:rPr>
          <w:i/>
        </w:rPr>
        <w:t>(auf den sich Artikel 17 Absatz 4 bezieht)</w:t>
      </w:r>
    </w:p>
    <w:p w:rsidR="001B2B09" w:rsidRPr="00D655FE" w:rsidRDefault="001B2B09" w:rsidP="009D71C3">
      <w:pPr>
        <w:keepNext/>
        <w:jc w:val="center"/>
        <w:rPr>
          <w:b/>
        </w:rPr>
      </w:pPr>
      <w:r>
        <w:rPr>
          <w:b/>
        </w:rPr>
        <w:t>Kleine Reparatur</w:t>
      </w:r>
    </w:p>
    <w:p w:rsidR="001B2B09" w:rsidRPr="00D655FE" w:rsidRDefault="001B2B09" w:rsidP="0046525F">
      <w:pPr>
        <w:spacing w:after="0" w:line="240" w:lineRule="auto"/>
        <w:jc w:val="both"/>
      </w:pPr>
      <w:r>
        <w:t>Das Verfahren der kleinen Reparatur umfasst einen Bericht der Inspektionsstelle mit positivem Ergebnis, der die durchgeführten Prüfungen und Versuche beschreibt und dem folgende Elemente beigefügt sind:</w:t>
      </w:r>
    </w:p>
    <w:p w:rsidR="001B2B09" w:rsidRPr="00D655FE" w:rsidRDefault="001B2B09" w:rsidP="0046525F">
      <w:pPr>
        <w:spacing w:after="0" w:line="240" w:lineRule="auto"/>
        <w:jc w:val="both"/>
      </w:pPr>
      <w:r>
        <w:t>a) Beschreibung mit durch die Inspektionsstelle validiertem vereinfachtem Plan;</w:t>
      </w:r>
    </w:p>
    <w:p w:rsidR="001B2B09" w:rsidRPr="00D655FE" w:rsidRDefault="001B2B09" w:rsidP="0046525F">
      <w:pPr>
        <w:spacing w:after="0" w:line="240" w:lineRule="auto"/>
        <w:jc w:val="both"/>
      </w:pPr>
      <w:r>
        <w:t>b) Haftungserklärung des Unternehmens, das den Eingriff ausgeführt hat;</w:t>
      </w:r>
    </w:p>
    <w:p w:rsidR="001B2B09" w:rsidRPr="00D655FE" w:rsidRDefault="001B2B09" w:rsidP="0046525F">
      <w:pPr>
        <w:spacing w:after="0" w:line="240" w:lineRule="auto"/>
        <w:jc w:val="both"/>
      </w:pPr>
      <w:r>
        <w:t>c) durch eine vom IPAC, I.P., zugelassene oder anerkannte Personenzertifizierungsstelle ausgestellte Qualifizierungsnachweise der Schweißer;</w:t>
      </w:r>
    </w:p>
    <w:p w:rsidR="001B2B09" w:rsidRPr="00D655FE" w:rsidRDefault="001B2B09" w:rsidP="0046525F">
      <w:pPr>
        <w:spacing w:after="0" w:line="240" w:lineRule="auto"/>
        <w:jc w:val="both"/>
      </w:pPr>
      <w:r>
        <w:t>d) Bescheinigungen über verwendete Werkstoffe.</w:t>
      </w:r>
    </w:p>
    <w:p w:rsidR="001B2B09" w:rsidRPr="00D655FE" w:rsidRDefault="001B2B09" w:rsidP="001B2B09">
      <w:pPr>
        <w:jc w:val="center"/>
      </w:pPr>
    </w:p>
    <w:p w:rsidR="001B2B09" w:rsidRPr="00D655FE" w:rsidRDefault="001B2B09" w:rsidP="005A23E3">
      <w:pPr>
        <w:keepNext/>
        <w:jc w:val="center"/>
      </w:pPr>
      <w:r>
        <w:t>ANHANG XII</w:t>
      </w:r>
    </w:p>
    <w:p w:rsidR="0046525F" w:rsidRPr="00D655FE" w:rsidRDefault="0046525F" w:rsidP="005A23E3">
      <w:pPr>
        <w:keepNext/>
        <w:jc w:val="center"/>
        <w:rPr>
          <w:i/>
        </w:rPr>
      </w:pPr>
      <w:r>
        <w:rPr>
          <w:i/>
        </w:rPr>
        <w:t>(auf den sich Artikel 18 bezieht)</w:t>
      </w:r>
    </w:p>
    <w:p w:rsidR="001B2B09" w:rsidRPr="00D655FE" w:rsidRDefault="001B2B09" w:rsidP="005A23E3">
      <w:pPr>
        <w:keepNext/>
        <w:jc w:val="center"/>
      </w:pPr>
      <w:r>
        <w:rPr>
          <w:b/>
        </w:rPr>
        <w:t>Einbau und Betrieb unter vorläufigen Bedingungen</w:t>
      </w:r>
    </w:p>
    <w:p w:rsidR="0046525F" w:rsidRPr="00D655FE" w:rsidRDefault="0046525F" w:rsidP="0046525F">
      <w:pPr>
        <w:spacing w:after="0" w:line="240" w:lineRule="auto"/>
        <w:jc w:val="both"/>
      </w:pPr>
      <w:r>
        <w:t>Dem Antrag auf Einbau- und Betriebsvalidierung für Druckgeräte unter vorläufigen Bedingungen müssen folgende Informationen und Dokumente beigefügt sein:</w:t>
      </w:r>
    </w:p>
    <w:p w:rsidR="001B2B09" w:rsidRPr="00D655FE" w:rsidRDefault="001B2B09" w:rsidP="0046525F">
      <w:pPr>
        <w:spacing w:after="0" w:line="240" w:lineRule="auto"/>
        <w:jc w:val="both"/>
      </w:pPr>
      <w:r>
        <w:t xml:space="preserve">a) Firmenbezeichnung, Steuernummer, Telefonnummer und </w:t>
      </w:r>
      <w:r>
        <w:rPr>
          <w:i/>
        </w:rPr>
        <w:t>E-Mail</w:t>
      </w:r>
      <w:r>
        <w:t>-Adresse des Eigentümers oder gesetzlich bevollmächtigten Nutzers;</w:t>
      </w:r>
    </w:p>
    <w:p w:rsidR="001B2B09" w:rsidRPr="00D655FE" w:rsidRDefault="001B2B09" w:rsidP="0046525F">
      <w:pPr>
        <w:spacing w:after="0" w:line="240" w:lineRule="auto"/>
        <w:jc w:val="both"/>
      </w:pPr>
      <w:r>
        <w:t>b) Name des Nutzers und Anschrift des Anlagenstandorts einschließlich Postleitzahl, Gemeinde, Kommune, Bezirk und GPS-Koordinaten;</w:t>
      </w:r>
    </w:p>
    <w:p w:rsidR="001B2B09" w:rsidRPr="00D655FE" w:rsidRDefault="001B2B09" w:rsidP="0046525F">
      <w:pPr>
        <w:spacing w:after="0" w:line="240" w:lineRule="auto"/>
        <w:jc w:val="both"/>
      </w:pPr>
      <w:r>
        <w:t>c) Kennnummer (Registernummer) des Druckgeräts, sofern zutreffend;</w:t>
      </w:r>
    </w:p>
    <w:p w:rsidR="001B2B09" w:rsidRPr="00D655FE" w:rsidRDefault="001B2B09" w:rsidP="0046525F">
      <w:pPr>
        <w:spacing w:after="0" w:line="240" w:lineRule="auto"/>
        <w:jc w:val="both"/>
      </w:pPr>
      <w:r>
        <w:t xml:space="preserve">d) Eigenschaften des Druckgeräts: </w:t>
      </w:r>
    </w:p>
    <w:p w:rsidR="001B2B09" w:rsidRPr="00D655FE" w:rsidRDefault="001B2B09" w:rsidP="0046525F">
      <w:pPr>
        <w:spacing w:after="0" w:line="240" w:lineRule="auto"/>
        <w:jc w:val="both"/>
      </w:pPr>
      <w:r>
        <w:rPr>
          <w:i/>
        </w:rPr>
        <w:t>i)</w:t>
      </w:r>
      <w:r>
        <w:t xml:space="preserve"> Firmenbezeichnung des Herstellers mit Angabe des Landes;</w:t>
      </w:r>
    </w:p>
    <w:p w:rsidR="001B2B09" w:rsidRPr="00D655FE" w:rsidRDefault="001B2B09" w:rsidP="0046525F">
      <w:pPr>
        <w:spacing w:after="0" w:line="240" w:lineRule="auto"/>
        <w:jc w:val="both"/>
      </w:pPr>
      <w:r>
        <w:rPr>
          <w:i/>
        </w:rPr>
        <w:t>ii)</w:t>
      </w:r>
      <w:r>
        <w:t xml:space="preserve"> Bauart;</w:t>
      </w:r>
    </w:p>
    <w:p w:rsidR="001B2B09" w:rsidRPr="00D655FE" w:rsidRDefault="001B2B09" w:rsidP="0046525F">
      <w:pPr>
        <w:spacing w:after="0" w:line="240" w:lineRule="auto"/>
        <w:jc w:val="both"/>
      </w:pPr>
      <w:r>
        <w:rPr>
          <w:i/>
        </w:rPr>
        <w:t>iii)</w:t>
      </w:r>
      <w:r>
        <w:t xml:space="preserve"> Baujahr und Fertigungsnummer;</w:t>
      </w:r>
    </w:p>
    <w:p w:rsidR="001B2B09" w:rsidRPr="00D655FE" w:rsidRDefault="001B2B09" w:rsidP="0046525F">
      <w:pPr>
        <w:spacing w:after="0" w:line="240" w:lineRule="auto"/>
        <w:jc w:val="both"/>
      </w:pPr>
      <w:r>
        <w:rPr>
          <w:i/>
        </w:rPr>
        <w:t>iv)</w:t>
      </w:r>
      <w:r>
        <w:t xml:space="preserve"> Anzahl der Kammern, sofern zutreffend, und entsprechende Werte für PS, Volumen, Fluid und Mindest- und Höchsttemperaturen;</w:t>
      </w:r>
    </w:p>
    <w:p w:rsidR="00B913EF" w:rsidRPr="00D655FE" w:rsidRDefault="00B913EF" w:rsidP="00B913EF">
      <w:pPr>
        <w:spacing w:after="0" w:line="240" w:lineRule="auto"/>
        <w:jc w:val="both"/>
      </w:pPr>
      <w:r>
        <w:rPr>
          <w:i/>
        </w:rPr>
        <w:t>v)</w:t>
      </w:r>
      <w:r>
        <w:t xml:space="preserve"> Verdampfung, Heizfläche, Leistung und Brennstoff, sofern zutreffend;</w:t>
      </w:r>
    </w:p>
    <w:p w:rsidR="001B2B09" w:rsidRPr="00D655FE" w:rsidRDefault="001B2B09" w:rsidP="0046525F">
      <w:pPr>
        <w:spacing w:after="0" w:line="240" w:lineRule="auto"/>
        <w:jc w:val="both"/>
      </w:pPr>
      <w:r>
        <w:t>e) Sonderinspektionsbericht der Inspektionsstelle mit positivem Ergebnis, der die Anlage, das Druckgerät und die Sicherheits- und Kontrolleinrichtungen umfasst;</w:t>
      </w:r>
    </w:p>
    <w:p w:rsidR="001B2B09" w:rsidRPr="00D655FE" w:rsidRDefault="001B2B09" w:rsidP="0046525F">
      <w:pPr>
        <w:spacing w:after="0" w:line="240" w:lineRule="auto"/>
        <w:jc w:val="both"/>
      </w:pPr>
      <w:r>
        <w:t>f) Inspektionsbericht der letzten Neubewertung der Konformität, sofern zutreffend;</w:t>
      </w:r>
    </w:p>
    <w:p w:rsidR="001B2B09" w:rsidRPr="00D655FE" w:rsidRDefault="001B2B09" w:rsidP="0046525F">
      <w:pPr>
        <w:spacing w:after="0" w:line="240" w:lineRule="auto"/>
        <w:jc w:val="both"/>
      </w:pPr>
      <w:r>
        <w:t>g) Projektbeschreibung und Begründung, die den Einbauort für das Druckgerät, die Konstruktionsart des Gebäudes oder des abgegrenzten Bereichs und die Sicherheitsabstände gemäß Verordnung und anwendbarer ITC beschreibt;</w:t>
      </w:r>
    </w:p>
    <w:p w:rsidR="001B2B09" w:rsidRPr="00D655FE" w:rsidRDefault="001B2B09" w:rsidP="0046525F">
      <w:pPr>
        <w:spacing w:after="0" w:line="240" w:lineRule="auto"/>
        <w:jc w:val="both"/>
      </w:pPr>
      <w:r>
        <w:t>h) vereinfachter Anlagenplan.</w:t>
      </w:r>
    </w:p>
    <w:p w:rsidR="007E1897" w:rsidRPr="00D655FE" w:rsidRDefault="007E1897" w:rsidP="00280262">
      <w:pPr>
        <w:jc w:val="center"/>
      </w:pPr>
    </w:p>
    <w:p w:rsidR="009A68A9" w:rsidRPr="00D655FE" w:rsidRDefault="00F02834" w:rsidP="005A23E3">
      <w:pPr>
        <w:keepNext/>
        <w:jc w:val="center"/>
      </w:pPr>
      <w:r>
        <w:lastRenderedPageBreak/>
        <w:t>ANHANG XIII</w:t>
      </w:r>
    </w:p>
    <w:p w:rsidR="0046525F" w:rsidRPr="00D655FE" w:rsidRDefault="0046525F" w:rsidP="005A23E3">
      <w:pPr>
        <w:keepNext/>
        <w:jc w:val="center"/>
        <w:rPr>
          <w:i/>
        </w:rPr>
      </w:pPr>
      <w:r>
        <w:rPr>
          <w:i/>
        </w:rPr>
        <w:t>(auf den sich Artikel 20 Absatz 6 und Artikel 21 Buchstabe c beziehen)</w:t>
      </w:r>
    </w:p>
    <w:p w:rsidR="00C95680" w:rsidRPr="00D655FE" w:rsidRDefault="00C95680" w:rsidP="005A23E3">
      <w:pPr>
        <w:keepNext/>
        <w:jc w:val="center"/>
        <w:rPr>
          <w:b/>
        </w:rPr>
      </w:pPr>
      <w:r>
        <w:rPr>
          <w:b/>
        </w:rPr>
        <w:t>Inspektionsbericht</w:t>
      </w:r>
    </w:p>
    <w:p w:rsidR="00C95680" w:rsidRPr="00D655FE" w:rsidRDefault="00C95680" w:rsidP="0046525F">
      <w:pPr>
        <w:spacing w:after="0" w:line="240" w:lineRule="auto"/>
        <w:jc w:val="both"/>
      </w:pPr>
      <w:r>
        <w:t>1. Für die durch die Inspektionsstelle auszustellenden Erstinspektionsberichte und Berichte zu regelmäßigen Inspektionen gilt unbeschadet ergänzender Informationen folgender Bezugsinhalt:</w:t>
      </w:r>
    </w:p>
    <w:p w:rsidR="00C95680" w:rsidRPr="00D655FE" w:rsidRDefault="00C95680" w:rsidP="0046525F">
      <w:pPr>
        <w:spacing w:after="0" w:line="240" w:lineRule="auto"/>
        <w:jc w:val="both"/>
      </w:pPr>
      <w:r>
        <w:t>a) Art der Inspektion;</w:t>
      </w:r>
    </w:p>
    <w:p w:rsidR="00B80CA2" w:rsidRPr="00D655FE" w:rsidRDefault="00C95680" w:rsidP="0046525F">
      <w:pPr>
        <w:spacing w:after="0" w:line="240" w:lineRule="auto"/>
        <w:jc w:val="both"/>
      </w:pPr>
      <w:r>
        <w:t>b) Kennnummer des Behälters oder Geräts, sofern zutreffend;</w:t>
      </w:r>
    </w:p>
    <w:p w:rsidR="00C95680" w:rsidRPr="00D655FE" w:rsidRDefault="00B80CA2" w:rsidP="0046525F">
      <w:pPr>
        <w:spacing w:after="0" w:line="240" w:lineRule="auto"/>
        <w:jc w:val="both"/>
      </w:pPr>
      <w:r>
        <w:t>c) Behälter- oder Gerätetyp und ITC, sofern anwendbar;</w:t>
      </w:r>
    </w:p>
    <w:p w:rsidR="00C95680" w:rsidRPr="00D655FE" w:rsidRDefault="00A6564C" w:rsidP="0046525F">
      <w:pPr>
        <w:spacing w:after="0" w:line="240" w:lineRule="auto"/>
        <w:jc w:val="both"/>
      </w:pPr>
      <w:r>
        <w:t xml:space="preserve">d) Eigenschaften des Behälters oder Geräts: </w:t>
      </w:r>
    </w:p>
    <w:p w:rsidR="00C95680" w:rsidRPr="00D655FE" w:rsidRDefault="00E35B3A" w:rsidP="0046525F">
      <w:pPr>
        <w:spacing w:after="0" w:line="240" w:lineRule="auto"/>
        <w:jc w:val="both"/>
      </w:pPr>
      <w:r>
        <w:rPr>
          <w:i/>
        </w:rPr>
        <w:t>i)</w:t>
      </w:r>
      <w:r>
        <w:t xml:space="preserve"> Firmenbezeichnung des Herstellers mit Angabe des Landes;</w:t>
      </w:r>
    </w:p>
    <w:p w:rsidR="00C95680" w:rsidRPr="00D655FE" w:rsidRDefault="00E35B3A" w:rsidP="0046525F">
      <w:pPr>
        <w:spacing w:after="0" w:line="240" w:lineRule="auto"/>
        <w:jc w:val="both"/>
      </w:pPr>
      <w:r>
        <w:rPr>
          <w:i/>
        </w:rPr>
        <w:t>ii)</w:t>
      </w:r>
      <w:r>
        <w:t xml:space="preserve"> Bauart;</w:t>
      </w:r>
    </w:p>
    <w:p w:rsidR="00C95680" w:rsidRPr="00D655FE" w:rsidRDefault="00E35B3A" w:rsidP="0046525F">
      <w:pPr>
        <w:spacing w:after="0" w:line="240" w:lineRule="auto"/>
        <w:jc w:val="both"/>
      </w:pPr>
      <w:r>
        <w:rPr>
          <w:i/>
        </w:rPr>
        <w:t>iii)</w:t>
      </w:r>
      <w:r>
        <w:t xml:space="preserve"> Baujahr und Fertigungsnummer;</w:t>
      </w:r>
    </w:p>
    <w:p w:rsidR="00C95680" w:rsidRPr="00D655FE" w:rsidRDefault="00E35B3A" w:rsidP="0046525F">
      <w:pPr>
        <w:spacing w:after="0" w:line="240" w:lineRule="auto"/>
        <w:jc w:val="both"/>
      </w:pPr>
      <w:r>
        <w:rPr>
          <w:i/>
        </w:rPr>
        <w:t>iv</w:t>
      </w:r>
      <w:r>
        <w:t>) Anzahl der Kammern, PS, Volumen, Fluid, Mindest- und Höchsttemperaturen, Verdampfung, Heizfläche, Leistung und Brennstoff, sofern zutreffend;</w:t>
      </w:r>
    </w:p>
    <w:p w:rsidR="00B913EF" w:rsidRPr="00D655FE" w:rsidRDefault="00B913EF" w:rsidP="00B913EF">
      <w:pPr>
        <w:spacing w:after="0" w:line="240" w:lineRule="auto"/>
        <w:jc w:val="both"/>
      </w:pPr>
      <w:r>
        <w:rPr>
          <w:i/>
        </w:rPr>
        <w:t>v)</w:t>
      </w:r>
      <w:r>
        <w:t xml:space="preserve"> Verdampfung, Heizfläche, Leistung und Brennstoff, sofern zutreffend;</w:t>
      </w:r>
    </w:p>
    <w:p w:rsidR="008D67D2" w:rsidRPr="00D655FE" w:rsidRDefault="00C95680" w:rsidP="0046525F">
      <w:pPr>
        <w:spacing w:after="0" w:line="240" w:lineRule="auto"/>
        <w:jc w:val="both"/>
      </w:pPr>
      <w:r>
        <w:t>e) Ergebnisse der Überprüfung des Sicherheitsventils oder entsprechender Einrichtungen und sonstiger ergänzender Einrichtungen;</w:t>
      </w:r>
    </w:p>
    <w:p w:rsidR="00C95680" w:rsidRPr="00D655FE" w:rsidRDefault="008D67D2" w:rsidP="0046525F">
      <w:pPr>
        <w:spacing w:after="0" w:line="240" w:lineRule="auto"/>
        <w:jc w:val="both"/>
      </w:pPr>
      <w:r>
        <w:t>f) je nach Anwendbarkeit Überprüfung der messtechnischen Kontrolle oder Eichung der Druckmessgeräte und ihrer Eignung für den Behälter oder das Gerät;</w:t>
      </w:r>
    </w:p>
    <w:p w:rsidR="00C95680" w:rsidRPr="00D655FE" w:rsidRDefault="004A5B94" w:rsidP="0046525F">
      <w:pPr>
        <w:spacing w:after="0" w:line="240" w:lineRule="auto"/>
        <w:jc w:val="both"/>
      </w:pPr>
      <w:r>
        <w:t>g) allgemeiner Zustand des Behälters oder Geräts, der Stützen und möglicher Schutzverkleidungen;</w:t>
      </w:r>
    </w:p>
    <w:p w:rsidR="00C95680" w:rsidRPr="00D655FE" w:rsidRDefault="004A5B94" w:rsidP="0046525F">
      <w:pPr>
        <w:spacing w:after="0" w:line="240" w:lineRule="auto"/>
        <w:jc w:val="both"/>
      </w:pPr>
      <w:r>
        <w:t>h) Ergebnisse des Druckversuchs oder gleichwertiger alternativer Prüfungen, sofern zutreffend;</w:t>
      </w:r>
    </w:p>
    <w:p w:rsidR="00C95680" w:rsidRPr="00D655FE" w:rsidRDefault="004A5B94" w:rsidP="0046525F">
      <w:pPr>
        <w:spacing w:after="0" w:line="240" w:lineRule="auto"/>
        <w:jc w:val="both"/>
      </w:pPr>
      <w:r>
        <w:t xml:space="preserve">i) Ergebnisse ergänzender </w:t>
      </w:r>
      <w:proofErr w:type="spellStart"/>
      <w:r>
        <w:t>ZfP</w:t>
      </w:r>
      <w:proofErr w:type="spellEnd"/>
      <w:r>
        <w:t xml:space="preserve"> und Neuberechnung, sofern zutreffend;</w:t>
      </w:r>
    </w:p>
    <w:p w:rsidR="008847F6" w:rsidRPr="00D655FE" w:rsidRDefault="004A5B94" w:rsidP="0046525F">
      <w:pPr>
        <w:spacing w:after="0" w:line="240" w:lineRule="auto"/>
        <w:jc w:val="both"/>
      </w:pPr>
      <w:r>
        <w:t>j) Überprüfung des Befeuerungssystems, sofern zutreffend;</w:t>
      </w:r>
    </w:p>
    <w:p w:rsidR="00C95680" w:rsidRPr="00D655FE" w:rsidRDefault="004A5B94" w:rsidP="0046525F">
      <w:pPr>
        <w:spacing w:after="0" w:line="240" w:lineRule="auto"/>
        <w:jc w:val="both"/>
      </w:pPr>
      <w:r>
        <w:t>k) Typ des Einbauorts;</w:t>
      </w:r>
    </w:p>
    <w:p w:rsidR="00C95680" w:rsidRPr="00D655FE" w:rsidRDefault="004A5B94" w:rsidP="0046525F">
      <w:pPr>
        <w:spacing w:after="0" w:line="240" w:lineRule="auto"/>
        <w:jc w:val="both"/>
      </w:pPr>
      <w:r>
        <w:t>l) Angaben zur Gebäudeumgebung, zu den Zugängen, zur Belüftung sowie zu weiteren Druckbehältern oder ergänzenden Geräten;</w:t>
      </w:r>
    </w:p>
    <w:p w:rsidR="00C95680" w:rsidRPr="00D655FE" w:rsidRDefault="004A5B94" w:rsidP="0046525F">
      <w:pPr>
        <w:spacing w:after="0" w:line="240" w:lineRule="auto"/>
        <w:jc w:val="both"/>
      </w:pPr>
      <w:r>
        <w:t xml:space="preserve">m) Sicherheitsabstände und ihre Einhaltung; </w:t>
      </w:r>
    </w:p>
    <w:p w:rsidR="00C95680" w:rsidRPr="00D655FE" w:rsidRDefault="004A5B94" w:rsidP="0046525F">
      <w:pPr>
        <w:spacing w:after="0" w:line="240" w:lineRule="auto"/>
        <w:jc w:val="both"/>
      </w:pPr>
      <w:r>
        <w:t>n) verwendete oder gespeicherte Brennstoffe;</w:t>
      </w:r>
    </w:p>
    <w:p w:rsidR="00203208" w:rsidRPr="00D655FE" w:rsidRDefault="00626595" w:rsidP="0046525F">
      <w:pPr>
        <w:spacing w:after="0" w:line="240" w:lineRule="auto"/>
        <w:jc w:val="both"/>
      </w:pPr>
      <w:r>
        <w:t>o) sonstige Informationen gemäß entsprechender ITC;</w:t>
      </w:r>
    </w:p>
    <w:p w:rsidR="00286F7C" w:rsidRPr="00D655FE" w:rsidRDefault="004A5B94" w:rsidP="0046525F">
      <w:pPr>
        <w:spacing w:after="0" w:line="240" w:lineRule="auto"/>
        <w:jc w:val="both"/>
      </w:pPr>
      <w:r>
        <w:t>p) abschließende Bewertung:</w:t>
      </w:r>
    </w:p>
    <w:p w:rsidR="00C95680" w:rsidRPr="00D655FE" w:rsidRDefault="00286F7C" w:rsidP="0046525F">
      <w:pPr>
        <w:spacing w:after="0" w:line="240" w:lineRule="auto"/>
        <w:jc w:val="both"/>
      </w:pPr>
      <w:r>
        <w:rPr>
          <w:i/>
        </w:rPr>
        <w:t>i</w:t>
      </w:r>
      <w:r>
        <w:t>) festgestellte Nichtkonformitäten, sofern zutreffend;</w:t>
      </w:r>
    </w:p>
    <w:p w:rsidR="00C95680" w:rsidRPr="00D655FE" w:rsidRDefault="00286F7C" w:rsidP="0046525F">
      <w:pPr>
        <w:spacing w:after="0" w:line="240" w:lineRule="auto"/>
        <w:jc w:val="both"/>
      </w:pPr>
      <w:r>
        <w:rPr>
          <w:i/>
        </w:rPr>
        <w:t>ii</w:t>
      </w:r>
      <w:r>
        <w:t>) Entscheidung über die Konformität der Anlage und die Betriebstauglichkeit des Behälters oder Geräts.</w:t>
      </w:r>
    </w:p>
    <w:p w:rsidR="0096716B" w:rsidRPr="00D655FE" w:rsidRDefault="0096716B" w:rsidP="0046525F">
      <w:pPr>
        <w:spacing w:after="0" w:line="240" w:lineRule="auto"/>
        <w:jc w:val="both"/>
      </w:pPr>
      <w:r>
        <w:t>2. Für die durch die Inspektionsstelle auszustellenden Zwischeninspektionsberichte gilt unbeschadet ergänzender Informationen folgender Bezugsinhalt:</w:t>
      </w:r>
    </w:p>
    <w:p w:rsidR="0096716B" w:rsidRPr="00D655FE" w:rsidRDefault="0096716B" w:rsidP="0046525F">
      <w:pPr>
        <w:spacing w:after="0" w:line="240" w:lineRule="auto"/>
        <w:jc w:val="both"/>
      </w:pPr>
      <w:r>
        <w:t>a) Art der Inspektion;</w:t>
      </w:r>
    </w:p>
    <w:p w:rsidR="0096716B" w:rsidRPr="00D655FE" w:rsidRDefault="0096716B" w:rsidP="0046525F">
      <w:pPr>
        <w:spacing w:after="0" w:line="240" w:lineRule="auto"/>
        <w:jc w:val="both"/>
      </w:pPr>
      <w:r>
        <w:t>b) Kennnummer des Behälters oder Geräts, sofern zutreffend;</w:t>
      </w:r>
    </w:p>
    <w:p w:rsidR="0096716B" w:rsidRPr="00D655FE" w:rsidRDefault="0096716B" w:rsidP="0046525F">
      <w:pPr>
        <w:spacing w:after="0" w:line="240" w:lineRule="auto"/>
        <w:jc w:val="both"/>
      </w:pPr>
      <w:r>
        <w:t>c) Behälter- oder Gerätetyp und ITC, sofern anwendbar;</w:t>
      </w:r>
    </w:p>
    <w:p w:rsidR="0096716B" w:rsidRPr="00D655FE" w:rsidRDefault="0096716B" w:rsidP="0046525F">
      <w:pPr>
        <w:spacing w:after="0" w:line="240" w:lineRule="auto"/>
        <w:jc w:val="both"/>
      </w:pPr>
      <w:r>
        <w:t xml:space="preserve">d) Eigenschaften des Behälters oder Geräts: </w:t>
      </w:r>
    </w:p>
    <w:p w:rsidR="0096716B" w:rsidRPr="00D655FE" w:rsidRDefault="0096716B" w:rsidP="0046525F">
      <w:pPr>
        <w:spacing w:after="0" w:line="240" w:lineRule="auto"/>
        <w:jc w:val="both"/>
      </w:pPr>
      <w:r>
        <w:rPr>
          <w:i/>
        </w:rPr>
        <w:t>i)</w:t>
      </w:r>
      <w:r>
        <w:t xml:space="preserve"> Firmenbezeichnung des Herstellers mit Angabe des Landes;</w:t>
      </w:r>
    </w:p>
    <w:p w:rsidR="0096716B" w:rsidRPr="00D655FE" w:rsidRDefault="0096716B" w:rsidP="0046525F">
      <w:pPr>
        <w:spacing w:after="0" w:line="240" w:lineRule="auto"/>
        <w:jc w:val="both"/>
      </w:pPr>
      <w:r>
        <w:rPr>
          <w:i/>
        </w:rPr>
        <w:t>ii)</w:t>
      </w:r>
      <w:r>
        <w:t xml:space="preserve"> Bauart;</w:t>
      </w:r>
    </w:p>
    <w:p w:rsidR="0096716B" w:rsidRPr="00D655FE" w:rsidRDefault="0096716B" w:rsidP="0046525F">
      <w:pPr>
        <w:spacing w:after="0" w:line="240" w:lineRule="auto"/>
        <w:jc w:val="both"/>
      </w:pPr>
      <w:r>
        <w:rPr>
          <w:i/>
        </w:rPr>
        <w:t>iii)</w:t>
      </w:r>
      <w:r>
        <w:t xml:space="preserve"> Baujahr und Fertigungsnummer;</w:t>
      </w:r>
    </w:p>
    <w:p w:rsidR="0096716B" w:rsidRPr="00D655FE" w:rsidRDefault="0096716B" w:rsidP="0046525F">
      <w:pPr>
        <w:spacing w:after="0" w:line="240" w:lineRule="auto"/>
        <w:jc w:val="both"/>
      </w:pPr>
      <w:r>
        <w:rPr>
          <w:i/>
        </w:rPr>
        <w:t>iv</w:t>
      </w:r>
      <w:r>
        <w:t>) Anzahl der Kammern, PS, Volumen, Fluid, Mindest- und Höchsttemperaturen, Verdampfung, Heizfläche, Leistung und Brennstoff, sofern zutreffend;</w:t>
      </w:r>
    </w:p>
    <w:p w:rsidR="00B913EF" w:rsidRPr="00D655FE" w:rsidRDefault="00B913EF" w:rsidP="00B913EF">
      <w:pPr>
        <w:spacing w:after="0" w:line="240" w:lineRule="auto"/>
        <w:jc w:val="both"/>
      </w:pPr>
      <w:r>
        <w:rPr>
          <w:i/>
        </w:rPr>
        <w:t>v)</w:t>
      </w:r>
      <w:r>
        <w:t xml:space="preserve"> Verdampfung, Heizfläche, Leistung und Brennstoff, sofern zutreffend;</w:t>
      </w:r>
    </w:p>
    <w:p w:rsidR="0096716B" w:rsidRPr="00D655FE" w:rsidRDefault="0096716B" w:rsidP="0046525F">
      <w:pPr>
        <w:spacing w:after="0" w:line="240" w:lineRule="auto"/>
        <w:jc w:val="both"/>
      </w:pPr>
      <w:r>
        <w:t>e) Ergebnisse der Überprüfung des Sicherheitsventils und sonstiger ergänzender Einrichtungen;</w:t>
      </w:r>
    </w:p>
    <w:p w:rsidR="0096716B" w:rsidRPr="00D655FE" w:rsidRDefault="0096716B" w:rsidP="0046525F">
      <w:pPr>
        <w:spacing w:after="0" w:line="240" w:lineRule="auto"/>
        <w:jc w:val="both"/>
      </w:pPr>
      <w:r>
        <w:t>f) Überprüfung der messtechnischen Kontrolle der Druckmessgeräte und ihrer Eignung für den Behälter oder das Gerät;</w:t>
      </w:r>
    </w:p>
    <w:p w:rsidR="0096716B" w:rsidRPr="00D655FE" w:rsidRDefault="0096716B" w:rsidP="0046525F">
      <w:pPr>
        <w:spacing w:after="0" w:line="240" w:lineRule="auto"/>
        <w:jc w:val="both"/>
      </w:pPr>
      <w:r>
        <w:lastRenderedPageBreak/>
        <w:t>g) allgemeiner Zustand des Behälters oder Geräts, der Stützen und möglicher Schutzverkleidungen;</w:t>
      </w:r>
    </w:p>
    <w:p w:rsidR="0096716B" w:rsidRPr="00D655FE" w:rsidRDefault="00C55C4E" w:rsidP="0046525F">
      <w:pPr>
        <w:spacing w:after="0" w:line="240" w:lineRule="auto"/>
        <w:jc w:val="both"/>
      </w:pPr>
      <w:r>
        <w:t xml:space="preserve">h) </w:t>
      </w:r>
      <w:proofErr w:type="spellStart"/>
      <w:r>
        <w:t>ZfP</w:t>
      </w:r>
      <w:proofErr w:type="spellEnd"/>
      <w:r>
        <w:t>-Ergebnisse, sofern zutreffend und in der ITC vorgesehen;</w:t>
      </w:r>
    </w:p>
    <w:p w:rsidR="0096716B" w:rsidRPr="00D655FE" w:rsidRDefault="00C55C4E" w:rsidP="0046525F">
      <w:pPr>
        <w:spacing w:after="0" w:line="240" w:lineRule="auto"/>
        <w:jc w:val="both"/>
      </w:pPr>
      <w:r>
        <w:t>i) Überprüfung des Befeuerungssystems, sofern zutreffend;</w:t>
      </w:r>
    </w:p>
    <w:p w:rsidR="0096716B" w:rsidRPr="00D655FE" w:rsidRDefault="00C55C4E" w:rsidP="0046525F">
      <w:pPr>
        <w:spacing w:after="0" w:line="240" w:lineRule="auto"/>
        <w:jc w:val="both"/>
      </w:pPr>
      <w:r>
        <w:t>j) Typ des Einbauorts;</w:t>
      </w:r>
    </w:p>
    <w:p w:rsidR="0096716B" w:rsidRPr="00D655FE" w:rsidRDefault="00274062" w:rsidP="0046525F">
      <w:pPr>
        <w:spacing w:after="0" w:line="240" w:lineRule="auto"/>
        <w:jc w:val="both"/>
      </w:pPr>
      <w:r>
        <w:t>k) verwendete oder gespeicherte Brennstoffe;</w:t>
      </w:r>
    </w:p>
    <w:p w:rsidR="0096716B" w:rsidRPr="00D655FE" w:rsidRDefault="00274062" w:rsidP="0046525F">
      <w:pPr>
        <w:spacing w:after="0" w:line="240" w:lineRule="auto"/>
        <w:jc w:val="both"/>
      </w:pPr>
      <w:r>
        <w:t>l) sonstige Informationen gemäß entsprechender ITC;</w:t>
      </w:r>
    </w:p>
    <w:p w:rsidR="0096716B" w:rsidRPr="00D655FE" w:rsidRDefault="00274062" w:rsidP="0046525F">
      <w:pPr>
        <w:spacing w:after="0" w:line="240" w:lineRule="auto"/>
        <w:jc w:val="both"/>
      </w:pPr>
      <w:r>
        <w:t>m) abschließende Bewertung:</w:t>
      </w:r>
    </w:p>
    <w:p w:rsidR="0096716B" w:rsidRPr="00D655FE" w:rsidRDefault="0096716B" w:rsidP="0046525F">
      <w:pPr>
        <w:spacing w:after="0" w:line="240" w:lineRule="auto"/>
        <w:jc w:val="both"/>
      </w:pPr>
      <w:r>
        <w:rPr>
          <w:i/>
        </w:rPr>
        <w:t>i</w:t>
      </w:r>
      <w:r>
        <w:t>) festgestellte Nichtkonformitäten, sofern zutreffend;</w:t>
      </w:r>
    </w:p>
    <w:p w:rsidR="0096716B" w:rsidRPr="00D655FE" w:rsidRDefault="0096716B" w:rsidP="0046525F">
      <w:pPr>
        <w:spacing w:after="0" w:line="240" w:lineRule="auto"/>
        <w:jc w:val="both"/>
      </w:pPr>
      <w:r>
        <w:rPr>
          <w:i/>
        </w:rPr>
        <w:t>ii</w:t>
      </w:r>
      <w:r>
        <w:t>) Entscheidung über die Konformität der Anlage und die Betriebstauglichkeit des Behälters oder Geräts;</w:t>
      </w:r>
    </w:p>
    <w:p w:rsidR="008B428F" w:rsidRPr="00D655FE" w:rsidRDefault="0096716B" w:rsidP="0046525F">
      <w:pPr>
        <w:spacing w:after="0" w:line="240" w:lineRule="auto"/>
        <w:jc w:val="both"/>
      </w:pPr>
      <w:r>
        <w:t>3. Dem Inspektionsbericht sind die Bescheinigungen über die messtechnische Kontrolle der Druckmessgeräte des Behälters oder Geräts beizufügen.</w:t>
      </w:r>
    </w:p>
    <w:sectPr w:rsidR="008B428F" w:rsidRPr="00D655FE" w:rsidSect="000F2A40">
      <w:footerReference w:type="default" r:id="rId12"/>
      <w:pgSz w:w="11906" w:h="16838"/>
      <w:pgMar w:top="1417" w:right="1701" w:bottom="568"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6FD629" w16cid:durableId="1E7E6003"/>
  <w16cid:commentId w16cid:paraId="0273477E" w16cid:durableId="1E7E648F"/>
  <w16cid:commentId w16cid:paraId="785C7774" w16cid:durableId="1E7E683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2AD" w:rsidRDefault="005602AD" w:rsidP="00C85444">
      <w:pPr>
        <w:spacing w:after="0" w:line="240" w:lineRule="auto"/>
      </w:pPr>
      <w:r>
        <w:separator/>
      </w:r>
    </w:p>
  </w:endnote>
  <w:endnote w:type="continuationSeparator" w:id="0">
    <w:p w:rsidR="005602AD" w:rsidRDefault="005602AD" w:rsidP="00C85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3123422"/>
      <w:docPartObj>
        <w:docPartGallery w:val="Page Numbers (Bottom of Page)"/>
        <w:docPartUnique/>
      </w:docPartObj>
    </w:sdtPr>
    <w:sdtEndPr/>
    <w:sdtContent>
      <w:p w:rsidR="00887DA7" w:rsidRDefault="00887DA7">
        <w:pPr>
          <w:pStyle w:val="Footer"/>
          <w:jc w:val="right"/>
        </w:pPr>
        <w:r>
          <w:fldChar w:fldCharType="begin"/>
        </w:r>
        <w:r>
          <w:instrText xml:space="preserve"> PAGE   \* MERGEFORMAT </w:instrText>
        </w:r>
        <w:r>
          <w:fldChar w:fldCharType="separate"/>
        </w:r>
        <w:r w:rsidR="000B11F5">
          <w:rPr>
            <w:noProof/>
          </w:rPr>
          <w:t>22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2AD" w:rsidRDefault="005602AD" w:rsidP="00C85444">
      <w:pPr>
        <w:spacing w:after="0" w:line="240" w:lineRule="auto"/>
      </w:pPr>
      <w:r>
        <w:separator/>
      </w:r>
    </w:p>
  </w:footnote>
  <w:footnote w:type="continuationSeparator" w:id="0">
    <w:p w:rsidR="005602AD" w:rsidRDefault="005602AD" w:rsidP="00C854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E1B59"/>
    <w:multiLevelType w:val="hybridMultilevel"/>
    <w:tmpl w:val="0C269408"/>
    <w:lvl w:ilvl="0" w:tplc="400A25D0">
      <w:start w:val="2"/>
      <w:numFmt w:val="bullet"/>
      <w:lvlText w:val=""/>
      <w:lvlJc w:val="left"/>
      <w:pPr>
        <w:ind w:left="720" w:hanging="360"/>
      </w:pPr>
      <w:rPr>
        <w:rFonts w:ascii="Wingdings" w:eastAsiaTheme="minorEastAsia" w:hAnsi="Wingdings" w:cstheme="minorBid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32786EED"/>
    <w:multiLevelType w:val="hybridMultilevel"/>
    <w:tmpl w:val="07AEFFF0"/>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54517AA9"/>
    <w:multiLevelType w:val="hybridMultilevel"/>
    <w:tmpl w:val="9D24D7F6"/>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5ACA3B4E"/>
    <w:multiLevelType w:val="hybridMultilevel"/>
    <w:tmpl w:val="6102FE3A"/>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A66"/>
    <w:rsid w:val="0000007B"/>
    <w:rsid w:val="00000388"/>
    <w:rsid w:val="0000073C"/>
    <w:rsid w:val="00003F11"/>
    <w:rsid w:val="00004DCB"/>
    <w:rsid w:val="00004F0E"/>
    <w:rsid w:val="000051ED"/>
    <w:rsid w:val="00005209"/>
    <w:rsid w:val="000054DE"/>
    <w:rsid w:val="000054FF"/>
    <w:rsid w:val="00006888"/>
    <w:rsid w:val="00006B7F"/>
    <w:rsid w:val="00010D96"/>
    <w:rsid w:val="0001237E"/>
    <w:rsid w:val="00013915"/>
    <w:rsid w:val="00013A52"/>
    <w:rsid w:val="00014060"/>
    <w:rsid w:val="0001446D"/>
    <w:rsid w:val="00016B49"/>
    <w:rsid w:val="00017666"/>
    <w:rsid w:val="000177ED"/>
    <w:rsid w:val="00020034"/>
    <w:rsid w:val="00020471"/>
    <w:rsid w:val="00021CB4"/>
    <w:rsid w:val="0002341E"/>
    <w:rsid w:val="00023CFB"/>
    <w:rsid w:val="000242E3"/>
    <w:rsid w:val="000247D6"/>
    <w:rsid w:val="00024EE3"/>
    <w:rsid w:val="00025248"/>
    <w:rsid w:val="00026C83"/>
    <w:rsid w:val="00027202"/>
    <w:rsid w:val="00027581"/>
    <w:rsid w:val="00027F10"/>
    <w:rsid w:val="00030B9B"/>
    <w:rsid w:val="00030D89"/>
    <w:rsid w:val="00031400"/>
    <w:rsid w:val="00032EF2"/>
    <w:rsid w:val="000332B3"/>
    <w:rsid w:val="0003342A"/>
    <w:rsid w:val="000359B5"/>
    <w:rsid w:val="00036F3C"/>
    <w:rsid w:val="000379FD"/>
    <w:rsid w:val="000420E9"/>
    <w:rsid w:val="000424D2"/>
    <w:rsid w:val="00042583"/>
    <w:rsid w:val="00043991"/>
    <w:rsid w:val="00044746"/>
    <w:rsid w:val="00044B59"/>
    <w:rsid w:val="000452A3"/>
    <w:rsid w:val="00045F3B"/>
    <w:rsid w:val="00046FEE"/>
    <w:rsid w:val="000475E0"/>
    <w:rsid w:val="000476AE"/>
    <w:rsid w:val="00047749"/>
    <w:rsid w:val="00047C96"/>
    <w:rsid w:val="00047EE5"/>
    <w:rsid w:val="000505CF"/>
    <w:rsid w:val="00050651"/>
    <w:rsid w:val="00050C1D"/>
    <w:rsid w:val="00051524"/>
    <w:rsid w:val="0005199A"/>
    <w:rsid w:val="000519FC"/>
    <w:rsid w:val="00052D1E"/>
    <w:rsid w:val="00053958"/>
    <w:rsid w:val="00053E1D"/>
    <w:rsid w:val="00053FD3"/>
    <w:rsid w:val="00054131"/>
    <w:rsid w:val="000546E6"/>
    <w:rsid w:val="0005590B"/>
    <w:rsid w:val="00055D3D"/>
    <w:rsid w:val="00056396"/>
    <w:rsid w:val="00056E2B"/>
    <w:rsid w:val="0005756D"/>
    <w:rsid w:val="000627BA"/>
    <w:rsid w:val="0006497B"/>
    <w:rsid w:val="00064D1D"/>
    <w:rsid w:val="00065CFE"/>
    <w:rsid w:val="00066422"/>
    <w:rsid w:val="00066EC9"/>
    <w:rsid w:val="00067E6E"/>
    <w:rsid w:val="000700A4"/>
    <w:rsid w:val="000701E2"/>
    <w:rsid w:val="00070F2F"/>
    <w:rsid w:val="00070FD9"/>
    <w:rsid w:val="0007143C"/>
    <w:rsid w:val="000715BC"/>
    <w:rsid w:val="000725D8"/>
    <w:rsid w:val="00072D0D"/>
    <w:rsid w:val="00073839"/>
    <w:rsid w:val="000750F8"/>
    <w:rsid w:val="00075748"/>
    <w:rsid w:val="00077394"/>
    <w:rsid w:val="0008041D"/>
    <w:rsid w:val="0008053D"/>
    <w:rsid w:val="0008201A"/>
    <w:rsid w:val="00082606"/>
    <w:rsid w:val="00082764"/>
    <w:rsid w:val="0008293E"/>
    <w:rsid w:val="00084FB3"/>
    <w:rsid w:val="00085119"/>
    <w:rsid w:val="000862FA"/>
    <w:rsid w:val="00087281"/>
    <w:rsid w:val="00087892"/>
    <w:rsid w:val="00087AE8"/>
    <w:rsid w:val="00090061"/>
    <w:rsid w:val="0009020D"/>
    <w:rsid w:val="000908BF"/>
    <w:rsid w:val="00092235"/>
    <w:rsid w:val="00092AA3"/>
    <w:rsid w:val="000930FA"/>
    <w:rsid w:val="00093233"/>
    <w:rsid w:val="00095C5B"/>
    <w:rsid w:val="00096B37"/>
    <w:rsid w:val="00097F84"/>
    <w:rsid w:val="00097FAD"/>
    <w:rsid w:val="000A0FBE"/>
    <w:rsid w:val="000A110D"/>
    <w:rsid w:val="000A12FC"/>
    <w:rsid w:val="000A1850"/>
    <w:rsid w:val="000A18EE"/>
    <w:rsid w:val="000A3085"/>
    <w:rsid w:val="000A356B"/>
    <w:rsid w:val="000A35AD"/>
    <w:rsid w:val="000A38B3"/>
    <w:rsid w:val="000A5A34"/>
    <w:rsid w:val="000A5C8B"/>
    <w:rsid w:val="000A74AA"/>
    <w:rsid w:val="000B003A"/>
    <w:rsid w:val="000B11F5"/>
    <w:rsid w:val="000B3DE3"/>
    <w:rsid w:val="000B4458"/>
    <w:rsid w:val="000B4F73"/>
    <w:rsid w:val="000B5148"/>
    <w:rsid w:val="000B519D"/>
    <w:rsid w:val="000B562D"/>
    <w:rsid w:val="000B5A27"/>
    <w:rsid w:val="000B660F"/>
    <w:rsid w:val="000B7FEE"/>
    <w:rsid w:val="000C1C66"/>
    <w:rsid w:val="000C22D1"/>
    <w:rsid w:val="000C2339"/>
    <w:rsid w:val="000C294F"/>
    <w:rsid w:val="000C361F"/>
    <w:rsid w:val="000C46C3"/>
    <w:rsid w:val="000C6561"/>
    <w:rsid w:val="000D0AE3"/>
    <w:rsid w:val="000D0B5B"/>
    <w:rsid w:val="000D241B"/>
    <w:rsid w:val="000D25FB"/>
    <w:rsid w:val="000D3930"/>
    <w:rsid w:val="000D4313"/>
    <w:rsid w:val="000D6E7F"/>
    <w:rsid w:val="000D7F93"/>
    <w:rsid w:val="000E0763"/>
    <w:rsid w:val="000E22D7"/>
    <w:rsid w:val="000E32CF"/>
    <w:rsid w:val="000E3483"/>
    <w:rsid w:val="000E3D26"/>
    <w:rsid w:val="000E3EC0"/>
    <w:rsid w:val="000E6378"/>
    <w:rsid w:val="000E6A33"/>
    <w:rsid w:val="000F0FF2"/>
    <w:rsid w:val="000F2A40"/>
    <w:rsid w:val="000F2D1D"/>
    <w:rsid w:val="000F2F15"/>
    <w:rsid w:val="000F33F3"/>
    <w:rsid w:val="000F662D"/>
    <w:rsid w:val="00100B46"/>
    <w:rsid w:val="0010153E"/>
    <w:rsid w:val="001025A9"/>
    <w:rsid w:val="0010343A"/>
    <w:rsid w:val="00105E8E"/>
    <w:rsid w:val="00106068"/>
    <w:rsid w:val="00106484"/>
    <w:rsid w:val="00111065"/>
    <w:rsid w:val="00112ED6"/>
    <w:rsid w:val="00113532"/>
    <w:rsid w:val="00113711"/>
    <w:rsid w:val="0011460D"/>
    <w:rsid w:val="001161F0"/>
    <w:rsid w:val="00116BF3"/>
    <w:rsid w:val="00122B9C"/>
    <w:rsid w:val="0012397C"/>
    <w:rsid w:val="00123A55"/>
    <w:rsid w:val="00123B09"/>
    <w:rsid w:val="00124D1C"/>
    <w:rsid w:val="001253B1"/>
    <w:rsid w:val="00125A30"/>
    <w:rsid w:val="00125FF3"/>
    <w:rsid w:val="00126200"/>
    <w:rsid w:val="00127AAE"/>
    <w:rsid w:val="001301C5"/>
    <w:rsid w:val="00131C01"/>
    <w:rsid w:val="001358E9"/>
    <w:rsid w:val="00135A67"/>
    <w:rsid w:val="00136345"/>
    <w:rsid w:val="001368AB"/>
    <w:rsid w:val="001372DB"/>
    <w:rsid w:val="00137FB5"/>
    <w:rsid w:val="0014083B"/>
    <w:rsid w:val="00142356"/>
    <w:rsid w:val="00142FF0"/>
    <w:rsid w:val="00143E57"/>
    <w:rsid w:val="00144E34"/>
    <w:rsid w:val="00144F2D"/>
    <w:rsid w:val="001466E8"/>
    <w:rsid w:val="00146F0D"/>
    <w:rsid w:val="001473CC"/>
    <w:rsid w:val="00147B3A"/>
    <w:rsid w:val="001512BA"/>
    <w:rsid w:val="00151A7D"/>
    <w:rsid w:val="001522DB"/>
    <w:rsid w:val="00153A4B"/>
    <w:rsid w:val="00154987"/>
    <w:rsid w:val="00154A5B"/>
    <w:rsid w:val="00154C7E"/>
    <w:rsid w:val="00154F46"/>
    <w:rsid w:val="00154F75"/>
    <w:rsid w:val="0015528B"/>
    <w:rsid w:val="0015594E"/>
    <w:rsid w:val="00155A4A"/>
    <w:rsid w:val="00155E9A"/>
    <w:rsid w:val="00155F33"/>
    <w:rsid w:val="00156480"/>
    <w:rsid w:val="00157A19"/>
    <w:rsid w:val="001603AA"/>
    <w:rsid w:val="00160609"/>
    <w:rsid w:val="001625A0"/>
    <w:rsid w:val="001626AC"/>
    <w:rsid w:val="00162BCF"/>
    <w:rsid w:val="001630C7"/>
    <w:rsid w:val="00164489"/>
    <w:rsid w:val="001656E2"/>
    <w:rsid w:val="001656F2"/>
    <w:rsid w:val="001659EC"/>
    <w:rsid w:val="00165B2F"/>
    <w:rsid w:val="001664C5"/>
    <w:rsid w:val="00166DA7"/>
    <w:rsid w:val="0016716C"/>
    <w:rsid w:val="001673AB"/>
    <w:rsid w:val="0017060A"/>
    <w:rsid w:val="0017113A"/>
    <w:rsid w:val="001729DA"/>
    <w:rsid w:val="00172EFD"/>
    <w:rsid w:val="00173045"/>
    <w:rsid w:val="00173E85"/>
    <w:rsid w:val="00174753"/>
    <w:rsid w:val="001760C6"/>
    <w:rsid w:val="00176182"/>
    <w:rsid w:val="00177ED5"/>
    <w:rsid w:val="0018009A"/>
    <w:rsid w:val="0018198D"/>
    <w:rsid w:val="00181BE5"/>
    <w:rsid w:val="001837FA"/>
    <w:rsid w:val="00183CF3"/>
    <w:rsid w:val="00183FAF"/>
    <w:rsid w:val="00184E31"/>
    <w:rsid w:val="00186695"/>
    <w:rsid w:val="00186B17"/>
    <w:rsid w:val="001872B6"/>
    <w:rsid w:val="001875F8"/>
    <w:rsid w:val="00190C1D"/>
    <w:rsid w:val="00191033"/>
    <w:rsid w:val="001916D7"/>
    <w:rsid w:val="00191C6C"/>
    <w:rsid w:val="00192457"/>
    <w:rsid w:val="001926C6"/>
    <w:rsid w:val="001931AF"/>
    <w:rsid w:val="00194CAB"/>
    <w:rsid w:val="00194E60"/>
    <w:rsid w:val="00194F2D"/>
    <w:rsid w:val="00195400"/>
    <w:rsid w:val="00195698"/>
    <w:rsid w:val="0019712F"/>
    <w:rsid w:val="00197E48"/>
    <w:rsid w:val="001A002E"/>
    <w:rsid w:val="001A01CC"/>
    <w:rsid w:val="001A1509"/>
    <w:rsid w:val="001A1C48"/>
    <w:rsid w:val="001A3A37"/>
    <w:rsid w:val="001A44D2"/>
    <w:rsid w:val="001A456C"/>
    <w:rsid w:val="001A752C"/>
    <w:rsid w:val="001B01F7"/>
    <w:rsid w:val="001B054E"/>
    <w:rsid w:val="001B0D42"/>
    <w:rsid w:val="001B2B09"/>
    <w:rsid w:val="001B44A6"/>
    <w:rsid w:val="001B49B7"/>
    <w:rsid w:val="001B4D36"/>
    <w:rsid w:val="001B5068"/>
    <w:rsid w:val="001B6097"/>
    <w:rsid w:val="001B6519"/>
    <w:rsid w:val="001B6A00"/>
    <w:rsid w:val="001B7643"/>
    <w:rsid w:val="001C03CE"/>
    <w:rsid w:val="001C0494"/>
    <w:rsid w:val="001C05E2"/>
    <w:rsid w:val="001C19AD"/>
    <w:rsid w:val="001C2EA4"/>
    <w:rsid w:val="001C3641"/>
    <w:rsid w:val="001C490B"/>
    <w:rsid w:val="001C577F"/>
    <w:rsid w:val="001C62E6"/>
    <w:rsid w:val="001C72A8"/>
    <w:rsid w:val="001D08CB"/>
    <w:rsid w:val="001D306B"/>
    <w:rsid w:val="001D3650"/>
    <w:rsid w:val="001D518E"/>
    <w:rsid w:val="001D53E1"/>
    <w:rsid w:val="001D627E"/>
    <w:rsid w:val="001D63A3"/>
    <w:rsid w:val="001D7753"/>
    <w:rsid w:val="001D7BB7"/>
    <w:rsid w:val="001E2B6D"/>
    <w:rsid w:val="001E3882"/>
    <w:rsid w:val="001E3B38"/>
    <w:rsid w:val="001E3B3B"/>
    <w:rsid w:val="001E4B8E"/>
    <w:rsid w:val="001E4CC5"/>
    <w:rsid w:val="001E5B15"/>
    <w:rsid w:val="001E622D"/>
    <w:rsid w:val="001E6D31"/>
    <w:rsid w:val="001E7A0D"/>
    <w:rsid w:val="001F0149"/>
    <w:rsid w:val="001F22C7"/>
    <w:rsid w:val="001F285D"/>
    <w:rsid w:val="001F2AFB"/>
    <w:rsid w:val="001F440A"/>
    <w:rsid w:val="001F4929"/>
    <w:rsid w:val="001F4F6E"/>
    <w:rsid w:val="001F6154"/>
    <w:rsid w:val="001F6305"/>
    <w:rsid w:val="001F6432"/>
    <w:rsid w:val="001F78D7"/>
    <w:rsid w:val="001F7DEF"/>
    <w:rsid w:val="002014BF"/>
    <w:rsid w:val="002017FD"/>
    <w:rsid w:val="00203208"/>
    <w:rsid w:val="00203B90"/>
    <w:rsid w:val="00203D24"/>
    <w:rsid w:val="00204250"/>
    <w:rsid w:val="0020486A"/>
    <w:rsid w:val="00205220"/>
    <w:rsid w:val="00205508"/>
    <w:rsid w:val="00206319"/>
    <w:rsid w:val="00207692"/>
    <w:rsid w:val="00207A1C"/>
    <w:rsid w:val="0021026E"/>
    <w:rsid w:val="002112B8"/>
    <w:rsid w:val="002117B2"/>
    <w:rsid w:val="002128D7"/>
    <w:rsid w:val="0021340D"/>
    <w:rsid w:val="002135DF"/>
    <w:rsid w:val="00213715"/>
    <w:rsid w:val="00213D80"/>
    <w:rsid w:val="002143EC"/>
    <w:rsid w:val="00216211"/>
    <w:rsid w:val="002162CE"/>
    <w:rsid w:val="0021793F"/>
    <w:rsid w:val="002201EF"/>
    <w:rsid w:val="00221ACC"/>
    <w:rsid w:val="00222C0C"/>
    <w:rsid w:val="002237B1"/>
    <w:rsid w:val="00223CA1"/>
    <w:rsid w:val="00224440"/>
    <w:rsid w:val="0022461F"/>
    <w:rsid w:val="002255FD"/>
    <w:rsid w:val="00225788"/>
    <w:rsid w:val="00225BA6"/>
    <w:rsid w:val="00225C93"/>
    <w:rsid w:val="002263F6"/>
    <w:rsid w:val="00226CBC"/>
    <w:rsid w:val="00226E8A"/>
    <w:rsid w:val="002271AB"/>
    <w:rsid w:val="00227547"/>
    <w:rsid w:val="00227A4B"/>
    <w:rsid w:val="00227E23"/>
    <w:rsid w:val="00230769"/>
    <w:rsid w:val="00230A68"/>
    <w:rsid w:val="00231349"/>
    <w:rsid w:val="00231FAE"/>
    <w:rsid w:val="00232282"/>
    <w:rsid w:val="0023247B"/>
    <w:rsid w:val="00233AF3"/>
    <w:rsid w:val="00233C20"/>
    <w:rsid w:val="00234DBF"/>
    <w:rsid w:val="002358C8"/>
    <w:rsid w:val="00235B5E"/>
    <w:rsid w:val="00235F18"/>
    <w:rsid w:val="0023760C"/>
    <w:rsid w:val="002421C7"/>
    <w:rsid w:val="00242468"/>
    <w:rsid w:val="002426B1"/>
    <w:rsid w:val="00242C77"/>
    <w:rsid w:val="002432F9"/>
    <w:rsid w:val="0024349D"/>
    <w:rsid w:val="00243AF5"/>
    <w:rsid w:val="00244ACB"/>
    <w:rsid w:val="00244D2A"/>
    <w:rsid w:val="00244F61"/>
    <w:rsid w:val="00245B23"/>
    <w:rsid w:val="00246265"/>
    <w:rsid w:val="00250399"/>
    <w:rsid w:val="0025551C"/>
    <w:rsid w:val="00257722"/>
    <w:rsid w:val="0025787C"/>
    <w:rsid w:val="00257E51"/>
    <w:rsid w:val="00257F13"/>
    <w:rsid w:val="00260ADB"/>
    <w:rsid w:val="0026132F"/>
    <w:rsid w:val="00261C23"/>
    <w:rsid w:val="00261DC2"/>
    <w:rsid w:val="002621E3"/>
    <w:rsid w:val="00262914"/>
    <w:rsid w:val="00262D90"/>
    <w:rsid w:val="002637FE"/>
    <w:rsid w:val="00264EF3"/>
    <w:rsid w:val="002653F6"/>
    <w:rsid w:val="00265514"/>
    <w:rsid w:val="00265B7A"/>
    <w:rsid w:val="00265F24"/>
    <w:rsid w:val="002666C9"/>
    <w:rsid w:val="00267467"/>
    <w:rsid w:val="00267EAB"/>
    <w:rsid w:val="002710F2"/>
    <w:rsid w:val="002714D3"/>
    <w:rsid w:val="00271A9B"/>
    <w:rsid w:val="00271F31"/>
    <w:rsid w:val="002726B2"/>
    <w:rsid w:val="00274062"/>
    <w:rsid w:val="00275913"/>
    <w:rsid w:val="00276F4E"/>
    <w:rsid w:val="00277431"/>
    <w:rsid w:val="00277452"/>
    <w:rsid w:val="00280262"/>
    <w:rsid w:val="00280821"/>
    <w:rsid w:val="002817B9"/>
    <w:rsid w:val="00281B92"/>
    <w:rsid w:val="00282498"/>
    <w:rsid w:val="002829DF"/>
    <w:rsid w:val="00283F64"/>
    <w:rsid w:val="0028456C"/>
    <w:rsid w:val="0028536A"/>
    <w:rsid w:val="00286003"/>
    <w:rsid w:val="00286AC2"/>
    <w:rsid w:val="00286F7C"/>
    <w:rsid w:val="00287459"/>
    <w:rsid w:val="00287775"/>
    <w:rsid w:val="00287C18"/>
    <w:rsid w:val="00287DD6"/>
    <w:rsid w:val="002915EA"/>
    <w:rsid w:val="00291B49"/>
    <w:rsid w:val="002927D7"/>
    <w:rsid w:val="00292A27"/>
    <w:rsid w:val="00293526"/>
    <w:rsid w:val="00294554"/>
    <w:rsid w:val="00295EDC"/>
    <w:rsid w:val="002A02F4"/>
    <w:rsid w:val="002A0CBC"/>
    <w:rsid w:val="002A0F3F"/>
    <w:rsid w:val="002A120A"/>
    <w:rsid w:val="002A2E57"/>
    <w:rsid w:val="002A33DB"/>
    <w:rsid w:val="002A38C8"/>
    <w:rsid w:val="002A3DF5"/>
    <w:rsid w:val="002A401B"/>
    <w:rsid w:val="002A6364"/>
    <w:rsid w:val="002A63C6"/>
    <w:rsid w:val="002A7A12"/>
    <w:rsid w:val="002B094B"/>
    <w:rsid w:val="002B0BD6"/>
    <w:rsid w:val="002B40CB"/>
    <w:rsid w:val="002B50A2"/>
    <w:rsid w:val="002B64A0"/>
    <w:rsid w:val="002B673E"/>
    <w:rsid w:val="002B7EC1"/>
    <w:rsid w:val="002C0264"/>
    <w:rsid w:val="002C10AD"/>
    <w:rsid w:val="002C1479"/>
    <w:rsid w:val="002C1DCD"/>
    <w:rsid w:val="002C23AF"/>
    <w:rsid w:val="002C2965"/>
    <w:rsid w:val="002C42E4"/>
    <w:rsid w:val="002C455C"/>
    <w:rsid w:val="002C55FB"/>
    <w:rsid w:val="002D0E34"/>
    <w:rsid w:val="002D44B9"/>
    <w:rsid w:val="002D5696"/>
    <w:rsid w:val="002D6494"/>
    <w:rsid w:val="002D6FAA"/>
    <w:rsid w:val="002D7120"/>
    <w:rsid w:val="002E04FF"/>
    <w:rsid w:val="002E0824"/>
    <w:rsid w:val="002E1807"/>
    <w:rsid w:val="002E1AB0"/>
    <w:rsid w:val="002E2361"/>
    <w:rsid w:val="002E3194"/>
    <w:rsid w:val="002E3E34"/>
    <w:rsid w:val="002E3F46"/>
    <w:rsid w:val="002E524B"/>
    <w:rsid w:val="002E5876"/>
    <w:rsid w:val="002E61C0"/>
    <w:rsid w:val="002E6341"/>
    <w:rsid w:val="002E6EF2"/>
    <w:rsid w:val="002E7305"/>
    <w:rsid w:val="002E7ABD"/>
    <w:rsid w:val="002E7C2C"/>
    <w:rsid w:val="002F0E09"/>
    <w:rsid w:val="002F155A"/>
    <w:rsid w:val="002F15F5"/>
    <w:rsid w:val="002F3B2A"/>
    <w:rsid w:val="002F4000"/>
    <w:rsid w:val="002F5F11"/>
    <w:rsid w:val="002F675D"/>
    <w:rsid w:val="002F7BBC"/>
    <w:rsid w:val="002F7F74"/>
    <w:rsid w:val="002F7FC3"/>
    <w:rsid w:val="002F7FEB"/>
    <w:rsid w:val="00300DB0"/>
    <w:rsid w:val="00301DF8"/>
    <w:rsid w:val="00302AA6"/>
    <w:rsid w:val="003030D2"/>
    <w:rsid w:val="0030442E"/>
    <w:rsid w:val="0030545F"/>
    <w:rsid w:val="00307993"/>
    <w:rsid w:val="00307B11"/>
    <w:rsid w:val="0031009A"/>
    <w:rsid w:val="00310680"/>
    <w:rsid w:val="00310781"/>
    <w:rsid w:val="0031115C"/>
    <w:rsid w:val="003118F8"/>
    <w:rsid w:val="003130B7"/>
    <w:rsid w:val="003135A6"/>
    <w:rsid w:val="00313F9A"/>
    <w:rsid w:val="0031421B"/>
    <w:rsid w:val="003142BC"/>
    <w:rsid w:val="003148CB"/>
    <w:rsid w:val="0031605C"/>
    <w:rsid w:val="003179EA"/>
    <w:rsid w:val="003209AA"/>
    <w:rsid w:val="00320CDA"/>
    <w:rsid w:val="00321EBA"/>
    <w:rsid w:val="0032390A"/>
    <w:rsid w:val="00324BC6"/>
    <w:rsid w:val="0032583D"/>
    <w:rsid w:val="00325A99"/>
    <w:rsid w:val="00326314"/>
    <w:rsid w:val="00326509"/>
    <w:rsid w:val="003278EA"/>
    <w:rsid w:val="00327DAA"/>
    <w:rsid w:val="00330663"/>
    <w:rsid w:val="003308E1"/>
    <w:rsid w:val="00330D46"/>
    <w:rsid w:val="00330F63"/>
    <w:rsid w:val="00331680"/>
    <w:rsid w:val="00332287"/>
    <w:rsid w:val="00332B87"/>
    <w:rsid w:val="003331EF"/>
    <w:rsid w:val="00333C3E"/>
    <w:rsid w:val="0033476F"/>
    <w:rsid w:val="00335DA4"/>
    <w:rsid w:val="0033622B"/>
    <w:rsid w:val="00336D39"/>
    <w:rsid w:val="00340317"/>
    <w:rsid w:val="003409D1"/>
    <w:rsid w:val="00341112"/>
    <w:rsid w:val="00341D7A"/>
    <w:rsid w:val="0034322C"/>
    <w:rsid w:val="00343B9C"/>
    <w:rsid w:val="00343E59"/>
    <w:rsid w:val="00343E88"/>
    <w:rsid w:val="0034490D"/>
    <w:rsid w:val="00345821"/>
    <w:rsid w:val="0034592D"/>
    <w:rsid w:val="00350542"/>
    <w:rsid w:val="003516CC"/>
    <w:rsid w:val="00353AFD"/>
    <w:rsid w:val="00353D02"/>
    <w:rsid w:val="003556AC"/>
    <w:rsid w:val="00357042"/>
    <w:rsid w:val="003570CA"/>
    <w:rsid w:val="00357ED8"/>
    <w:rsid w:val="0036088D"/>
    <w:rsid w:val="00360CFD"/>
    <w:rsid w:val="00361905"/>
    <w:rsid w:val="00363375"/>
    <w:rsid w:val="003645A0"/>
    <w:rsid w:val="00364C1E"/>
    <w:rsid w:val="00364DEC"/>
    <w:rsid w:val="003676A3"/>
    <w:rsid w:val="003706E9"/>
    <w:rsid w:val="0037070C"/>
    <w:rsid w:val="00371D78"/>
    <w:rsid w:val="00372036"/>
    <w:rsid w:val="0037276A"/>
    <w:rsid w:val="003730D2"/>
    <w:rsid w:val="00373B26"/>
    <w:rsid w:val="00373B5C"/>
    <w:rsid w:val="003754AD"/>
    <w:rsid w:val="00375C55"/>
    <w:rsid w:val="003767D1"/>
    <w:rsid w:val="00376E48"/>
    <w:rsid w:val="003779C4"/>
    <w:rsid w:val="003800C9"/>
    <w:rsid w:val="00380757"/>
    <w:rsid w:val="0038147C"/>
    <w:rsid w:val="00382846"/>
    <w:rsid w:val="00382AAF"/>
    <w:rsid w:val="003831FC"/>
    <w:rsid w:val="00385657"/>
    <w:rsid w:val="0038606B"/>
    <w:rsid w:val="00386713"/>
    <w:rsid w:val="00386E81"/>
    <w:rsid w:val="00386F83"/>
    <w:rsid w:val="00391130"/>
    <w:rsid w:val="00391845"/>
    <w:rsid w:val="00392B2B"/>
    <w:rsid w:val="00393CFC"/>
    <w:rsid w:val="00396DC1"/>
    <w:rsid w:val="00396F2A"/>
    <w:rsid w:val="0039700C"/>
    <w:rsid w:val="003973F9"/>
    <w:rsid w:val="00397A52"/>
    <w:rsid w:val="00397AC4"/>
    <w:rsid w:val="003A037E"/>
    <w:rsid w:val="003A1417"/>
    <w:rsid w:val="003A2040"/>
    <w:rsid w:val="003A370B"/>
    <w:rsid w:val="003A3F83"/>
    <w:rsid w:val="003A5396"/>
    <w:rsid w:val="003A656E"/>
    <w:rsid w:val="003A7318"/>
    <w:rsid w:val="003B0C98"/>
    <w:rsid w:val="003B19CF"/>
    <w:rsid w:val="003B1C22"/>
    <w:rsid w:val="003B1C33"/>
    <w:rsid w:val="003B201A"/>
    <w:rsid w:val="003B2C5A"/>
    <w:rsid w:val="003B2C7A"/>
    <w:rsid w:val="003B44FA"/>
    <w:rsid w:val="003B4539"/>
    <w:rsid w:val="003B7AB8"/>
    <w:rsid w:val="003C04A5"/>
    <w:rsid w:val="003C0E10"/>
    <w:rsid w:val="003C1951"/>
    <w:rsid w:val="003C1C70"/>
    <w:rsid w:val="003C25E2"/>
    <w:rsid w:val="003C3978"/>
    <w:rsid w:val="003C3F4D"/>
    <w:rsid w:val="003C5640"/>
    <w:rsid w:val="003C643A"/>
    <w:rsid w:val="003C73DA"/>
    <w:rsid w:val="003C7FD6"/>
    <w:rsid w:val="003D00D3"/>
    <w:rsid w:val="003D0D24"/>
    <w:rsid w:val="003D0EB4"/>
    <w:rsid w:val="003D150F"/>
    <w:rsid w:val="003D354E"/>
    <w:rsid w:val="003D42B5"/>
    <w:rsid w:val="003D46B7"/>
    <w:rsid w:val="003D4FE0"/>
    <w:rsid w:val="003D522D"/>
    <w:rsid w:val="003D5241"/>
    <w:rsid w:val="003D5F1B"/>
    <w:rsid w:val="003D693C"/>
    <w:rsid w:val="003E076F"/>
    <w:rsid w:val="003E084B"/>
    <w:rsid w:val="003E1248"/>
    <w:rsid w:val="003E1416"/>
    <w:rsid w:val="003E7BCD"/>
    <w:rsid w:val="003E7E59"/>
    <w:rsid w:val="003F1AF7"/>
    <w:rsid w:val="003F1DAD"/>
    <w:rsid w:val="003F20AF"/>
    <w:rsid w:val="003F32B5"/>
    <w:rsid w:val="003F378B"/>
    <w:rsid w:val="003F3AAD"/>
    <w:rsid w:val="003F57A8"/>
    <w:rsid w:val="003F5CBE"/>
    <w:rsid w:val="003F6913"/>
    <w:rsid w:val="004003A1"/>
    <w:rsid w:val="00400406"/>
    <w:rsid w:val="00400DD0"/>
    <w:rsid w:val="00401A3B"/>
    <w:rsid w:val="00402370"/>
    <w:rsid w:val="004024EF"/>
    <w:rsid w:val="00404017"/>
    <w:rsid w:val="0040401A"/>
    <w:rsid w:val="004044B1"/>
    <w:rsid w:val="00405E38"/>
    <w:rsid w:val="00407769"/>
    <w:rsid w:val="00407775"/>
    <w:rsid w:val="00407E2D"/>
    <w:rsid w:val="004109F2"/>
    <w:rsid w:val="00410B07"/>
    <w:rsid w:val="00411B98"/>
    <w:rsid w:val="00412369"/>
    <w:rsid w:val="00412D5B"/>
    <w:rsid w:val="00412E70"/>
    <w:rsid w:val="0041362B"/>
    <w:rsid w:val="00413894"/>
    <w:rsid w:val="0041407B"/>
    <w:rsid w:val="0041451C"/>
    <w:rsid w:val="0041454F"/>
    <w:rsid w:val="00414EB4"/>
    <w:rsid w:val="00415073"/>
    <w:rsid w:val="004152B7"/>
    <w:rsid w:val="004158A4"/>
    <w:rsid w:val="00416123"/>
    <w:rsid w:val="00416B66"/>
    <w:rsid w:val="00417264"/>
    <w:rsid w:val="00417641"/>
    <w:rsid w:val="00417953"/>
    <w:rsid w:val="00417EDB"/>
    <w:rsid w:val="00420F33"/>
    <w:rsid w:val="004213A4"/>
    <w:rsid w:val="004218D2"/>
    <w:rsid w:val="0042191C"/>
    <w:rsid w:val="00421C94"/>
    <w:rsid w:val="00421E83"/>
    <w:rsid w:val="004222C5"/>
    <w:rsid w:val="00422F11"/>
    <w:rsid w:val="004238D7"/>
    <w:rsid w:val="00424749"/>
    <w:rsid w:val="00424D56"/>
    <w:rsid w:val="0042556A"/>
    <w:rsid w:val="00425762"/>
    <w:rsid w:val="00425CF8"/>
    <w:rsid w:val="00425F34"/>
    <w:rsid w:val="004262C9"/>
    <w:rsid w:val="004267F1"/>
    <w:rsid w:val="00426B31"/>
    <w:rsid w:val="00426E6D"/>
    <w:rsid w:val="00427BE0"/>
    <w:rsid w:val="0043016E"/>
    <w:rsid w:val="00430227"/>
    <w:rsid w:val="0043142F"/>
    <w:rsid w:val="004315ED"/>
    <w:rsid w:val="004330F8"/>
    <w:rsid w:val="004340EE"/>
    <w:rsid w:val="004351B7"/>
    <w:rsid w:val="00436274"/>
    <w:rsid w:val="00436C02"/>
    <w:rsid w:val="00437E58"/>
    <w:rsid w:val="00440217"/>
    <w:rsid w:val="00440617"/>
    <w:rsid w:val="00440808"/>
    <w:rsid w:val="00441665"/>
    <w:rsid w:val="00441DDB"/>
    <w:rsid w:val="0044234F"/>
    <w:rsid w:val="00442A64"/>
    <w:rsid w:val="00442BF0"/>
    <w:rsid w:val="00443B73"/>
    <w:rsid w:val="00445467"/>
    <w:rsid w:val="00446011"/>
    <w:rsid w:val="004469D7"/>
    <w:rsid w:val="00447158"/>
    <w:rsid w:val="00447BEC"/>
    <w:rsid w:val="00447EFF"/>
    <w:rsid w:val="00451B2C"/>
    <w:rsid w:val="00451ED4"/>
    <w:rsid w:val="004523F9"/>
    <w:rsid w:val="0045288E"/>
    <w:rsid w:val="004534C1"/>
    <w:rsid w:val="00454D14"/>
    <w:rsid w:val="00455028"/>
    <w:rsid w:val="004558AA"/>
    <w:rsid w:val="00455C7F"/>
    <w:rsid w:val="0045645B"/>
    <w:rsid w:val="00456461"/>
    <w:rsid w:val="00456C16"/>
    <w:rsid w:val="00457245"/>
    <w:rsid w:val="004577F5"/>
    <w:rsid w:val="00457A71"/>
    <w:rsid w:val="004601C6"/>
    <w:rsid w:val="004612EB"/>
    <w:rsid w:val="00461CC8"/>
    <w:rsid w:val="00462D2D"/>
    <w:rsid w:val="00462DCD"/>
    <w:rsid w:val="004637A9"/>
    <w:rsid w:val="00463BBA"/>
    <w:rsid w:val="0046464B"/>
    <w:rsid w:val="00464E1D"/>
    <w:rsid w:val="0046525F"/>
    <w:rsid w:val="004661F9"/>
    <w:rsid w:val="0046626D"/>
    <w:rsid w:val="004670F0"/>
    <w:rsid w:val="00467212"/>
    <w:rsid w:val="00467E93"/>
    <w:rsid w:val="0047048E"/>
    <w:rsid w:val="00470F2F"/>
    <w:rsid w:val="0047288B"/>
    <w:rsid w:val="00472E3E"/>
    <w:rsid w:val="004741EC"/>
    <w:rsid w:val="00474DE9"/>
    <w:rsid w:val="0047555F"/>
    <w:rsid w:val="00475D39"/>
    <w:rsid w:val="00475F62"/>
    <w:rsid w:val="00477B6D"/>
    <w:rsid w:val="00480C0C"/>
    <w:rsid w:val="00481368"/>
    <w:rsid w:val="00481C09"/>
    <w:rsid w:val="00482BF0"/>
    <w:rsid w:val="004847F3"/>
    <w:rsid w:val="00484CBE"/>
    <w:rsid w:val="00485738"/>
    <w:rsid w:val="004860B6"/>
    <w:rsid w:val="00490149"/>
    <w:rsid w:val="004908DB"/>
    <w:rsid w:val="00491754"/>
    <w:rsid w:val="004917EB"/>
    <w:rsid w:val="004918B4"/>
    <w:rsid w:val="00492AD9"/>
    <w:rsid w:val="00494E3F"/>
    <w:rsid w:val="00495A66"/>
    <w:rsid w:val="00495C6F"/>
    <w:rsid w:val="00496106"/>
    <w:rsid w:val="004A0DFA"/>
    <w:rsid w:val="004A0EF0"/>
    <w:rsid w:val="004A0F99"/>
    <w:rsid w:val="004A1076"/>
    <w:rsid w:val="004A23F1"/>
    <w:rsid w:val="004A3177"/>
    <w:rsid w:val="004A49C5"/>
    <w:rsid w:val="004A5B94"/>
    <w:rsid w:val="004A5E46"/>
    <w:rsid w:val="004B1AAA"/>
    <w:rsid w:val="004B4564"/>
    <w:rsid w:val="004B6170"/>
    <w:rsid w:val="004C0347"/>
    <w:rsid w:val="004C03ED"/>
    <w:rsid w:val="004C12BA"/>
    <w:rsid w:val="004C2C59"/>
    <w:rsid w:val="004C3464"/>
    <w:rsid w:val="004C3EEA"/>
    <w:rsid w:val="004C7776"/>
    <w:rsid w:val="004D0271"/>
    <w:rsid w:val="004D07CD"/>
    <w:rsid w:val="004D0FE1"/>
    <w:rsid w:val="004D133B"/>
    <w:rsid w:val="004D2686"/>
    <w:rsid w:val="004D3AA2"/>
    <w:rsid w:val="004D5778"/>
    <w:rsid w:val="004D5E94"/>
    <w:rsid w:val="004D6286"/>
    <w:rsid w:val="004D71B2"/>
    <w:rsid w:val="004E0124"/>
    <w:rsid w:val="004E16DA"/>
    <w:rsid w:val="004E1C1D"/>
    <w:rsid w:val="004E3927"/>
    <w:rsid w:val="004E3E80"/>
    <w:rsid w:val="004E53AD"/>
    <w:rsid w:val="004E651E"/>
    <w:rsid w:val="004F12AE"/>
    <w:rsid w:val="004F2276"/>
    <w:rsid w:val="004F37CE"/>
    <w:rsid w:val="004F393F"/>
    <w:rsid w:val="004F39E1"/>
    <w:rsid w:val="004F3F2D"/>
    <w:rsid w:val="004F466B"/>
    <w:rsid w:val="004F4A1A"/>
    <w:rsid w:val="004F4A81"/>
    <w:rsid w:val="004F5741"/>
    <w:rsid w:val="004F6FC7"/>
    <w:rsid w:val="00500410"/>
    <w:rsid w:val="005004D4"/>
    <w:rsid w:val="00500B64"/>
    <w:rsid w:val="00500DDA"/>
    <w:rsid w:val="005017A6"/>
    <w:rsid w:val="0050218A"/>
    <w:rsid w:val="00503B85"/>
    <w:rsid w:val="00503CE3"/>
    <w:rsid w:val="0050496F"/>
    <w:rsid w:val="00504DE5"/>
    <w:rsid w:val="0050569E"/>
    <w:rsid w:val="005060E8"/>
    <w:rsid w:val="00506C71"/>
    <w:rsid w:val="00507783"/>
    <w:rsid w:val="00510BFB"/>
    <w:rsid w:val="00512356"/>
    <w:rsid w:val="00513E55"/>
    <w:rsid w:val="005150B2"/>
    <w:rsid w:val="00515C4B"/>
    <w:rsid w:val="005164B8"/>
    <w:rsid w:val="00516CA5"/>
    <w:rsid w:val="005202E0"/>
    <w:rsid w:val="00522FE4"/>
    <w:rsid w:val="00523283"/>
    <w:rsid w:val="00524054"/>
    <w:rsid w:val="005243F4"/>
    <w:rsid w:val="005244C2"/>
    <w:rsid w:val="00524A17"/>
    <w:rsid w:val="00524B95"/>
    <w:rsid w:val="00525593"/>
    <w:rsid w:val="0052669E"/>
    <w:rsid w:val="005266D4"/>
    <w:rsid w:val="00526A20"/>
    <w:rsid w:val="00527292"/>
    <w:rsid w:val="00527C2B"/>
    <w:rsid w:val="00527F15"/>
    <w:rsid w:val="00530739"/>
    <w:rsid w:val="00531D94"/>
    <w:rsid w:val="00531ECD"/>
    <w:rsid w:val="00532255"/>
    <w:rsid w:val="00532A67"/>
    <w:rsid w:val="00535C8D"/>
    <w:rsid w:val="00536486"/>
    <w:rsid w:val="00536E93"/>
    <w:rsid w:val="00537439"/>
    <w:rsid w:val="005374C8"/>
    <w:rsid w:val="005378A3"/>
    <w:rsid w:val="00540350"/>
    <w:rsid w:val="00540C89"/>
    <w:rsid w:val="005416F4"/>
    <w:rsid w:val="005422E1"/>
    <w:rsid w:val="005428D0"/>
    <w:rsid w:val="00542E91"/>
    <w:rsid w:val="00543CC4"/>
    <w:rsid w:val="00543FD6"/>
    <w:rsid w:val="005440DF"/>
    <w:rsid w:val="005444EF"/>
    <w:rsid w:val="00545F6F"/>
    <w:rsid w:val="005470BF"/>
    <w:rsid w:val="00547B14"/>
    <w:rsid w:val="00550872"/>
    <w:rsid w:val="00550C15"/>
    <w:rsid w:val="005531E0"/>
    <w:rsid w:val="0055336C"/>
    <w:rsid w:val="00553D58"/>
    <w:rsid w:val="005547AE"/>
    <w:rsid w:val="0055715B"/>
    <w:rsid w:val="005573BF"/>
    <w:rsid w:val="005602AD"/>
    <w:rsid w:val="00560C13"/>
    <w:rsid w:val="00561D62"/>
    <w:rsid w:val="0056242B"/>
    <w:rsid w:val="00562A26"/>
    <w:rsid w:val="00566396"/>
    <w:rsid w:val="005715E3"/>
    <w:rsid w:val="00571CB8"/>
    <w:rsid w:val="005738C9"/>
    <w:rsid w:val="00573DF8"/>
    <w:rsid w:val="005745C0"/>
    <w:rsid w:val="00574737"/>
    <w:rsid w:val="00574771"/>
    <w:rsid w:val="00574AB8"/>
    <w:rsid w:val="005771A2"/>
    <w:rsid w:val="005773E9"/>
    <w:rsid w:val="00577E4A"/>
    <w:rsid w:val="005811C0"/>
    <w:rsid w:val="00581957"/>
    <w:rsid w:val="0058217A"/>
    <w:rsid w:val="005873E1"/>
    <w:rsid w:val="0058764A"/>
    <w:rsid w:val="0059101B"/>
    <w:rsid w:val="00591074"/>
    <w:rsid w:val="005915C1"/>
    <w:rsid w:val="00594F75"/>
    <w:rsid w:val="00595289"/>
    <w:rsid w:val="00595632"/>
    <w:rsid w:val="0059605D"/>
    <w:rsid w:val="005961B6"/>
    <w:rsid w:val="005A191D"/>
    <w:rsid w:val="005A23E3"/>
    <w:rsid w:val="005A23FE"/>
    <w:rsid w:val="005A30F2"/>
    <w:rsid w:val="005A3648"/>
    <w:rsid w:val="005A365B"/>
    <w:rsid w:val="005A3A19"/>
    <w:rsid w:val="005A5738"/>
    <w:rsid w:val="005A5E06"/>
    <w:rsid w:val="005A6009"/>
    <w:rsid w:val="005A6068"/>
    <w:rsid w:val="005A752F"/>
    <w:rsid w:val="005A7618"/>
    <w:rsid w:val="005A768F"/>
    <w:rsid w:val="005B08EC"/>
    <w:rsid w:val="005B0CBA"/>
    <w:rsid w:val="005B0F64"/>
    <w:rsid w:val="005B2010"/>
    <w:rsid w:val="005B24B2"/>
    <w:rsid w:val="005B3364"/>
    <w:rsid w:val="005B4912"/>
    <w:rsid w:val="005B54BD"/>
    <w:rsid w:val="005B66AE"/>
    <w:rsid w:val="005B6EDF"/>
    <w:rsid w:val="005B73A9"/>
    <w:rsid w:val="005B7467"/>
    <w:rsid w:val="005B7F3B"/>
    <w:rsid w:val="005C39DF"/>
    <w:rsid w:val="005C3F39"/>
    <w:rsid w:val="005C43D1"/>
    <w:rsid w:val="005C4A7B"/>
    <w:rsid w:val="005C5C1C"/>
    <w:rsid w:val="005C5CF4"/>
    <w:rsid w:val="005C5DFE"/>
    <w:rsid w:val="005D0110"/>
    <w:rsid w:val="005D01BB"/>
    <w:rsid w:val="005D09A1"/>
    <w:rsid w:val="005D0BBF"/>
    <w:rsid w:val="005D0D4F"/>
    <w:rsid w:val="005D2262"/>
    <w:rsid w:val="005D2E5A"/>
    <w:rsid w:val="005D3BAA"/>
    <w:rsid w:val="005D40CE"/>
    <w:rsid w:val="005D48AC"/>
    <w:rsid w:val="005D5C97"/>
    <w:rsid w:val="005D6282"/>
    <w:rsid w:val="005E0078"/>
    <w:rsid w:val="005E2AFF"/>
    <w:rsid w:val="005E3E9B"/>
    <w:rsid w:val="005E6DC2"/>
    <w:rsid w:val="005E7555"/>
    <w:rsid w:val="005F0236"/>
    <w:rsid w:val="005F040A"/>
    <w:rsid w:val="005F2D83"/>
    <w:rsid w:val="005F3226"/>
    <w:rsid w:val="005F34BC"/>
    <w:rsid w:val="005F387F"/>
    <w:rsid w:val="005F62B6"/>
    <w:rsid w:val="005F64CE"/>
    <w:rsid w:val="005F6A66"/>
    <w:rsid w:val="005F7041"/>
    <w:rsid w:val="005F7841"/>
    <w:rsid w:val="00600533"/>
    <w:rsid w:val="00600F9C"/>
    <w:rsid w:val="006015F0"/>
    <w:rsid w:val="00601B52"/>
    <w:rsid w:val="0060250F"/>
    <w:rsid w:val="006029EC"/>
    <w:rsid w:val="00602F97"/>
    <w:rsid w:val="006033E1"/>
    <w:rsid w:val="0060496E"/>
    <w:rsid w:val="00606236"/>
    <w:rsid w:val="006063F7"/>
    <w:rsid w:val="006063FA"/>
    <w:rsid w:val="00606E14"/>
    <w:rsid w:val="00606F91"/>
    <w:rsid w:val="006108FC"/>
    <w:rsid w:val="006110BB"/>
    <w:rsid w:val="00611553"/>
    <w:rsid w:val="00611573"/>
    <w:rsid w:val="00612083"/>
    <w:rsid w:val="0061267E"/>
    <w:rsid w:val="00612945"/>
    <w:rsid w:val="00614D25"/>
    <w:rsid w:val="00617310"/>
    <w:rsid w:val="006179C6"/>
    <w:rsid w:val="006223F7"/>
    <w:rsid w:val="0062363B"/>
    <w:rsid w:val="006249D1"/>
    <w:rsid w:val="00625DBE"/>
    <w:rsid w:val="00626595"/>
    <w:rsid w:val="00626EAB"/>
    <w:rsid w:val="006278CC"/>
    <w:rsid w:val="00627A21"/>
    <w:rsid w:val="00627FB1"/>
    <w:rsid w:val="00630848"/>
    <w:rsid w:val="00631868"/>
    <w:rsid w:val="00633794"/>
    <w:rsid w:val="006360BE"/>
    <w:rsid w:val="00636692"/>
    <w:rsid w:val="00637595"/>
    <w:rsid w:val="0064046F"/>
    <w:rsid w:val="00641413"/>
    <w:rsid w:val="00641E98"/>
    <w:rsid w:val="006420EB"/>
    <w:rsid w:val="00642595"/>
    <w:rsid w:val="00642787"/>
    <w:rsid w:val="00643E20"/>
    <w:rsid w:val="00644538"/>
    <w:rsid w:val="00647D98"/>
    <w:rsid w:val="00650EA4"/>
    <w:rsid w:val="0065183F"/>
    <w:rsid w:val="00652E7E"/>
    <w:rsid w:val="00654071"/>
    <w:rsid w:val="006542D4"/>
    <w:rsid w:val="00654918"/>
    <w:rsid w:val="00654C6F"/>
    <w:rsid w:val="00655A68"/>
    <w:rsid w:val="00656320"/>
    <w:rsid w:val="006567CB"/>
    <w:rsid w:val="006605CB"/>
    <w:rsid w:val="0066425C"/>
    <w:rsid w:val="006644BC"/>
    <w:rsid w:val="00667110"/>
    <w:rsid w:val="00667468"/>
    <w:rsid w:val="00667BD6"/>
    <w:rsid w:val="00670708"/>
    <w:rsid w:val="00672CD1"/>
    <w:rsid w:val="00672DE3"/>
    <w:rsid w:val="0067364D"/>
    <w:rsid w:val="00673907"/>
    <w:rsid w:val="00673CB3"/>
    <w:rsid w:val="00674ECA"/>
    <w:rsid w:val="00675E6D"/>
    <w:rsid w:val="00676CAC"/>
    <w:rsid w:val="00676E90"/>
    <w:rsid w:val="00677D9C"/>
    <w:rsid w:val="00677F2E"/>
    <w:rsid w:val="0068004C"/>
    <w:rsid w:val="00680865"/>
    <w:rsid w:val="00683C95"/>
    <w:rsid w:val="0068402B"/>
    <w:rsid w:val="0068531B"/>
    <w:rsid w:val="006859F9"/>
    <w:rsid w:val="00687F2C"/>
    <w:rsid w:val="00690327"/>
    <w:rsid w:val="006920C2"/>
    <w:rsid w:val="006924E9"/>
    <w:rsid w:val="00692B9D"/>
    <w:rsid w:val="00693ED1"/>
    <w:rsid w:val="006943DB"/>
    <w:rsid w:val="00695B81"/>
    <w:rsid w:val="00696C6A"/>
    <w:rsid w:val="00697667"/>
    <w:rsid w:val="006A1B2B"/>
    <w:rsid w:val="006A2288"/>
    <w:rsid w:val="006A2553"/>
    <w:rsid w:val="006A3E48"/>
    <w:rsid w:val="006A4016"/>
    <w:rsid w:val="006A47F5"/>
    <w:rsid w:val="006A4CD7"/>
    <w:rsid w:val="006A5394"/>
    <w:rsid w:val="006A60A7"/>
    <w:rsid w:val="006A795B"/>
    <w:rsid w:val="006B04EF"/>
    <w:rsid w:val="006B3A21"/>
    <w:rsid w:val="006B3C01"/>
    <w:rsid w:val="006B50F8"/>
    <w:rsid w:val="006B5872"/>
    <w:rsid w:val="006B5A31"/>
    <w:rsid w:val="006B5F56"/>
    <w:rsid w:val="006B6CDD"/>
    <w:rsid w:val="006B7D73"/>
    <w:rsid w:val="006C0261"/>
    <w:rsid w:val="006C1070"/>
    <w:rsid w:val="006C2217"/>
    <w:rsid w:val="006C2732"/>
    <w:rsid w:val="006C49DE"/>
    <w:rsid w:val="006C50D3"/>
    <w:rsid w:val="006C5179"/>
    <w:rsid w:val="006C5268"/>
    <w:rsid w:val="006C611F"/>
    <w:rsid w:val="006C63E8"/>
    <w:rsid w:val="006C664C"/>
    <w:rsid w:val="006C66C0"/>
    <w:rsid w:val="006C6BBF"/>
    <w:rsid w:val="006C6CFB"/>
    <w:rsid w:val="006C75D8"/>
    <w:rsid w:val="006D0159"/>
    <w:rsid w:val="006D036F"/>
    <w:rsid w:val="006D1C2E"/>
    <w:rsid w:val="006D3163"/>
    <w:rsid w:val="006D481F"/>
    <w:rsid w:val="006D4D15"/>
    <w:rsid w:val="006D5C85"/>
    <w:rsid w:val="006D6C48"/>
    <w:rsid w:val="006D6CDD"/>
    <w:rsid w:val="006D6D25"/>
    <w:rsid w:val="006E0084"/>
    <w:rsid w:val="006E05B6"/>
    <w:rsid w:val="006E172A"/>
    <w:rsid w:val="006E367E"/>
    <w:rsid w:val="006E3B6E"/>
    <w:rsid w:val="006E3F5B"/>
    <w:rsid w:val="006E5828"/>
    <w:rsid w:val="006E5BBB"/>
    <w:rsid w:val="006E5E81"/>
    <w:rsid w:val="006E5F5C"/>
    <w:rsid w:val="006E66CF"/>
    <w:rsid w:val="006E6CC8"/>
    <w:rsid w:val="006E6CF7"/>
    <w:rsid w:val="006E7371"/>
    <w:rsid w:val="006E7664"/>
    <w:rsid w:val="006F3561"/>
    <w:rsid w:val="006F3BCA"/>
    <w:rsid w:val="006F519B"/>
    <w:rsid w:val="006F5562"/>
    <w:rsid w:val="006F58F7"/>
    <w:rsid w:val="006F5FE7"/>
    <w:rsid w:val="006F66D4"/>
    <w:rsid w:val="006F6C2F"/>
    <w:rsid w:val="006F7AEB"/>
    <w:rsid w:val="00700CC4"/>
    <w:rsid w:val="00701DF4"/>
    <w:rsid w:val="007022DD"/>
    <w:rsid w:val="00702BFC"/>
    <w:rsid w:val="00702FC0"/>
    <w:rsid w:val="00704AB1"/>
    <w:rsid w:val="007070FC"/>
    <w:rsid w:val="00710412"/>
    <w:rsid w:val="007112E3"/>
    <w:rsid w:val="00712A8F"/>
    <w:rsid w:val="00712FCC"/>
    <w:rsid w:val="00715490"/>
    <w:rsid w:val="00715E59"/>
    <w:rsid w:val="00716049"/>
    <w:rsid w:val="00716254"/>
    <w:rsid w:val="00717281"/>
    <w:rsid w:val="007177FD"/>
    <w:rsid w:val="00720AA6"/>
    <w:rsid w:val="00721426"/>
    <w:rsid w:val="00721BEE"/>
    <w:rsid w:val="00721ECE"/>
    <w:rsid w:val="00721F9C"/>
    <w:rsid w:val="00722196"/>
    <w:rsid w:val="007227C6"/>
    <w:rsid w:val="00722A2B"/>
    <w:rsid w:val="0072436F"/>
    <w:rsid w:val="007248B0"/>
    <w:rsid w:val="00725E6E"/>
    <w:rsid w:val="00725F0B"/>
    <w:rsid w:val="007260CD"/>
    <w:rsid w:val="007266D2"/>
    <w:rsid w:val="00726AFF"/>
    <w:rsid w:val="007275CB"/>
    <w:rsid w:val="007324D6"/>
    <w:rsid w:val="00732EDB"/>
    <w:rsid w:val="007335A2"/>
    <w:rsid w:val="00733F8E"/>
    <w:rsid w:val="007346D2"/>
    <w:rsid w:val="007349DC"/>
    <w:rsid w:val="00737543"/>
    <w:rsid w:val="0073785D"/>
    <w:rsid w:val="00737EB6"/>
    <w:rsid w:val="0074005E"/>
    <w:rsid w:val="007402D7"/>
    <w:rsid w:val="00740F08"/>
    <w:rsid w:val="0074127E"/>
    <w:rsid w:val="007427AD"/>
    <w:rsid w:val="007445EB"/>
    <w:rsid w:val="007449B2"/>
    <w:rsid w:val="00744FE2"/>
    <w:rsid w:val="0074742B"/>
    <w:rsid w:val="007518AC"/>
    <w:rsid w:val="00751A50"/>
    <w:rsid w:val="00751E24"/>
    <w:rsid w:val="00752121"/>
    <w:rsid w:val="0075220A"/>
    <w:rsid w:val="0075251B"/>
    <w:rsid w:val="00753BE3"/>
    <w:rsid w:val="00753EE0"/>
    <w:rsid w:val="007554F0"/>
    <w:rsid w:val="00756244"/>
    <w:rsid w:val="007573CD"/>
    <w:rsid w:val="007607AB"/>
    <w:rsid w:val="00763254"/>
    <w:rsid w:val="00763494"/>
    <w:rsid w:val="00763C49"/>
    <w:rsid w:val="007645DB"/>
    <w:rsid w:val="00765311"/>
    <w:rsid w:val="007659DC"/>
    <w:rsid w:val="00765BE5"/>
    <w:rsid w:val="00766429"/>
    <w:rsid w:val="007671D5"/>
    <w:rsid w:val="00767267"/>
    <w:rsid w:val="00771538"/>
    <w:rsid w:val="007716B0"/>
    <w:rsid w:val="00771E56"/>
    <w:rsid w:val="0077376A"/>
    <w:rsid w:val="00773D33"/>
    <w:rsid w:val="00773FE0"/>
    <w:rsid w:val="00774917"/>
    <w:rsid w:val="00774AC4"/>
    <w:rsid w:val="00781A46"/>
    <w:rsid w:val="00783D7E"/>
    <w:rsid w:val="00786768"/>
    <w:rsid w:val="00786ABE"/>
    <w:rsid w:val="00786FDF"/>
    <w:rsid w:val="00787DE2"/>
    <w:rsid w:val="00790DDA"/>
    <w:rsid w:val="007912C4"/>
    <w:rsid w:val="00791368"/>
    <w:rsid w:val="007913D8"/>
    <w:rsid w:val="00791700"/>
    <w:rsid w:val="00792724"/>
    <w:rsid w:val="0079287E"/>
    <w:rsid w:val="00793C3B"/>
    <w:rsid w:val="00794FB8"/>
    <w:rsid w:val="00795730"/>
    <w:rsid w:val="007967EB"/>
    <w:rsid w:val="00797579"/>
    <w:rsid w:val="007977D7"/>
    <w:rsid w:val="00797F88"/>
    <w:rsid w:val="007A0036"/>
    <w:rsid w:val="007A235C"/>
    <w:rsid w:val="007A441E"/>
    <w:rsid w:val="007A457D"/>
    <w:rsid w:val="007A4D08"/>
    <w:rsid w:val="007A6ABD"/>
    <w:rsid w:val="007A736E"/>
    <w:rsid w:val="007B0B16"/>
    <w:rsid w:val="007B29C6"/>
    <w:rsid w:val="007B38A2"/>
    <w:rsid w:val="007B46D3"/>
    <w:rsid w:val="007B4BBC"/>
    <w:rsid w:val="007B4E1F"/>
    <w:rsid w:val="007B5358"/>
    <w:rsid w:val="007B60F7"/>
    <w:rsid w:val="007B654A"/>
    <w:rsid w:val="007B67F3"/>
    <w:rsid w:val="007C0A1F"/>
    <w:rsid w:val="007C1DA4"/>
    <w:rsid w:val="007C3002"/>
    <w:rsid w:val="007C5C9C"/>
    <w:rsid w:val="007C6E17"/>
    <w:rsid w:val="007C75DC"/>
    <w:rsid w:val="007C7B3B"/>
    <w:rsid w:val="007D0820"/>
    <w:rsid w:val="007D08C8"/>
    <w:rsid w:val="007D132F"/>
    <w:rsid w:val="007D1C6B"/>
    <w:rsid w:val="007D228A"/>
    <w:rsid w:val="007D22A3"/>
    <w:rsid w:val="007D3716"/>
    <w:rsid w:val="007D3ED5"/>
    <w:rsid w:val="007E0481"/>
    <w:rsid w:val="007E1041"/>
    <w:rsid w:val="007E1670"/>
    <w:rsid w:val="007E1897"/>
    <w:rsid w:val="007E1A46"/>
    <w:rsid w:val="007E1CD1"/>
    <w:rsid w:val="007E1DF2"/>
    <w:rsid w:val="007E21BC"/>
    <w:rsid w:val="007E2454"/>
    <w:rsid w:val="007E2934"/>
    <w:rsid w:val="007E2F6D"/>
    <w:rsid w:val="007E3A5F"/>
    <w:rsid w:val="007E44C9"/>
    <w:rsid w:val="007E4C1A"/>
    <w:rsid w:val="007E4CF5"/>
    <w:rsid w:val="007E4F43"/>
    <w:rsid w:val="007E50EA"/>
    <w:rsid w:val="007E6DD7"/>
    <w:rsid w:val="007E7DBE"/>
    <w:rsid w:val="007F0ABC"/>
    <w:rsid w:val="007F0D95"/>
    <w:rsid w:val="007F13AD"/>
    <w:rsid w:val="007F166C"/>
    <w:rsid w:val="007F3BCE"/>
    <w:rsid w:val="007F4037"/>
    <w:rsid w:val="007F4458"/>
    <w:rsid w:val="007F5A02"/>
    <w:rsid w:val="007F6053"/>
    <w:rsid w:val="007F65B6"/>
    <w:rsid w:val="008004F2"/>
    <w:rsid w:val="00800FE1"/>
    <w:rsid w:val="008013FF"/>
    <w:rsid w:val="00802291"/>
    <w:rsid w:val="00805018"/>
    <w:rsid w:val="00805C4C"/>
    <w:rsid w:val="008067AC"/>
    <w:rsid w:val="00806F00"/>
    <w:rsid w:val="008073EC"/>
    <w:rsid w:val="00810152"/>
    <w:rsid w:val="0081042D"/>
    <w:rsid w:val="00810EA3"/>
    <w:rsid w:val="00811AB7"/>
    <w:rsid w:val="00811F76"/>
    <w:rsid w:val="00812DCE"/>
    <w:rsid w:val="008130DF"/>
    <w:rsid w:val="00813832"/>
    <w:rsid w:val="00813E6A"/>
    <w:rsid w:val="00814083"/>
    <w:rsid w:val="00814ED5"/>
    <w:rsid w:val="008155F7"/>
    <w:rsid w:val="00815A4F"/>
    <w:rsid w:val="00815C29"/>
    <w:rsid w:val="00816F4A"/>
    <w:rsid w:val="00817912"/>
    <w:rsid w:val="00820135"/>
    <w:rsid w:val="008226C2"/>
    <w:rsid w:val="00822E10"/>
    <w:rsid w:val="00824106"/>
    <w:rsid w:val="00824BD6"/>
    <w:rsid w:val="00827C97"/>
    <w:rsid w:val="00831D95"/>
    <w:rsid w:val="00831FC0"/>
    <w:rsid w:val="00832C5E"/>
    <w:rsid w:val="008336DF"/>
    <w:rsid w:val="008352D4"/>
    <w:rsid w:val="00835C85"/>
    <w:rsid w:val="008369EB"/>
    <w:rsid w:val="00840232"/>
    <w:rsid w:val="00840543"/>
    <w:rsid w:val="00840EF1"/>
    <w:rsid w:val="008429F2"/>
    <w:rsid w:val="00842DC3"/>
    <w:rsid w:val="0084302C"/>
    <w:rsid w:val="008430CA"/>
    <w:rsid w:val="00843134"/>
    <w:rsid w:val="008432F9"/>
    <w:rsid w:val="008436A7"/>
    <w:rsid w:val="00843C47"/>
    <w:rsid w:val="0084427C"/>
    <w:rsid w:val="008443B4"/>
    <w:rsid w:val="00844DD3"/>
    <w:rsid w:val="00845822"/>
    <w:rsid w:val="008478D3"/>
    <w:rsid w:val="0084795E"/>
    <w:rsid w:val="00850E51"/>
    <w:rsid w:val="008522E9"/>
    <w:rsid w:val="00852F0E"/>
    <w:rsid w:val="0085362F"/>
    <w:rsid w:val="0085438F"/>
    <w:rsid w:val="00854451"/>
    <w:rsid w:val="00854480"/>
    <w:rsid w:val="00855A7E"/>
    <w:rsid w:val="00856879"/>
    <w:rsid w:val="00856D90"/>
    <w:rsid w:val="00857360"/>
    <w:rsid w:val="00857C7F"/>
    <w:rsid w:val="00857D77"/>
    <w:rsid w:val="0086108A"/>
    <w:rsid w:val="00861BBA"/>
    <w:rsid w:val="00861D03"/>
    <w:rsid w:val="00861DF7"/>
    <w:rsid w:val="00862CDF"/>
    <w:rsid w:val="00863A6C"/>
    <w:rsid w:val="0086508C"/>
    <w:rsid w:val="00866577"/>
    <w:rsid w:val="008669B9"/>
    <w:rsid w:val="00866C4F"/>
    <w:rsid w:val="00870FD3"/>
    <w:rsid w:val="00871319"/>
    <w:rsid w:val="00872AD7"/>
    <w:rsid w:val="00873202"/>
    <w:rsid w:val="00873E25"/>
    <w:rsid w:val="00873EE5"/>
    <w:rsid w:val="00877A45"/>
    <w:rsid w:val="00877CE7"/>
    <w:rsid w:val="0088042F"/>
    <w:rsid w:val="00880611"/>
    <w:rsid w:val="00881419"/>
    <w:rsid w:val="00881B63"/>
    <w:rsid w:val="00882031"/>
    <w:rsid w:val="0088277D"/>
    <w:rsid w:val="00884312"/>
    <w:rsid w:val="008847F6"/>
    <w:rsid w:val="00884D7F"/>
    <w:rsid w:val="008866F9"/>
    <w:rsid w:val="00886889"/>
    <w:rsid w:val="0088739C"/>
    <w:rsid w:val="00887865"/>
    <w:rsid w:val="00887B95"/>
    <w:rsid w:val="00887DA7"/>
    <w:rsid w:val="00887F04"/>
    <w:rsid w:val="00892215"/>
    <w:rsid w:val="00892319"/>
    <w:rsid w:val="00892A30"/>
    <w:rsid w:val="00892DCF"/>
    <w:rsid w:val="00892DD8"/>
    <w:rsid w:val="00893206"/>
    <w:rsid w:val="008934AF"/>
    <w:rsid w:val="00893F3D"/>
    <w:rsid w:val="008950C9"/>
    <w:rsid w:val="00895987"/>
    <w:rsid w:val="00895F37"/>
    <w:rsid w:val="008A08DB"/>
    <w:rsid w:val="008A2CDA"/>
    <w:rsid w:val="008A3215"/>
    <w:rsid w:val="008A3279"/>
    <w:rsid w:val="008A3A3E"/>
    <w:rsid w:val="008A44F4"/>
    <w:rsid w:val="008A4512"/>
    <w:rsid w:val="008A6268"/>
    <w:rsid w:val="008A6CFB"/>
    <w:rsid w:val="008A6D3C"/>
    <w:rsid w:val="008A7090"/>
    <w:rsid w:val="008B0CC5"/>
    <w:rsid w:val="008B18C0"/>
    <w:rsid w:val="008B1916"/>
    <w:rsid w:val="008B281A"/>
    <w:rsid w:val="008B2BBC"/>
    <w:rsid w:val="008B39BC"/>
    <w:rsid w:val="008B41A2"/>
    <w:rsid w:val="008B4247"/>
    <w:rsid w:val="008B428F"/>
    <w:rsid w:val="008B5789"/>
    <w:rsid w:val="008B7397"/>
    <w:rsid w:val="008B7C56"/>
    <w:rsid w:val="008C0530"/>
    <w:rsid w:val="008C11D1"/>
    <w:rsid w:val="008C4E9F"/>
    <w:rsid w:val="008C5751"/>
    <w:rsid w:val="008C59C0"/>
    <w:rsid w:val="008C6DE3"/>
    <w:rsid w:val="008C7440"/>
    <w:rsid w:val="008C7720"/>
    <w:rsid w:val="008C7ABB"/>
    <w:rsid w:val="008D0294"/>
    <w:rsid w:val="008D0717"/>
    <w:rsid w:val="008D144B"/>
    <w:rsid w:val="008D1C68"/>
    <w:rsid w:val="008D28E2"/>
    <w:rsid w:val="008D2AAB"/>
    <w:rsid w:val="008D2C15"/>
    <w:rsid w:val="008D2F12"/>
    <w:rsid w:val="008D4055"/>
    <w:rsid w:val="008D47F8"/>
    <w:rsid w:val="008D5C8D"/>
    <w:rsid w:val="008D5CE0"/>
    <w:rsid w:val="008D5CED"/>
    <w:rsid w:val="008D67D2"/>
    <w:rsid w:val="008D72A2"/>
    <w:rsid w:val="008E0086"/>
    <w:rsid w:val="008E14D2"/>
    <w:rsid w:val="008E33CA"/>
    <w:rsid w:val="008E3D9A"/>
    <w:rsid w:val="008E4BFD"/>
    <w:rsid w:val="008E50E9"/>
    <w:rsid w:val="008E5223"/>
    <w:rsid w:val="008E6A0D"/>
    <w:rsid w:val="008E7C38"/>
    <w:rsid w:val="008E7FF2"/>
    <w:rsid w:val="008F3182"/>
    <w:rsid w:val="008F3612"/>
    <w:rsid w:val="008F5CE1"/>
    <w:rsid w:val="008F5E81"/>
    <w:rsid w:val="008F62A8"/>
    <w:rsid w:val="008F6F72"/>
    <w:rsid w:val="0090075B"/>
    <w:rsid w:val="00902391"/>
    <w:rsid w:val="00902C94"/>
    <w:rsid w:val="00903EA3"/>
    <w:rsid w:val="00903FEF"/>
    <w:rsid w:val="00904297"/>
    <w:rsid w:val="00905BE4"/>
    <w:rsid w:val="00906D85"/>
    <w:rsid w:val="00906E88"/>
    <w:rsid w:val="009076B8"/>
    <w:rsid w:val="009122D0"/>
    <w:rsid w:val="00914F8A"/>
    <w:rsid w:val="00916627"/>
    <w:rsid w:val="009166CD"/>
    <w:rsid w:val="00917B49"/>
    <w:rsid w:val="00921F35"/>
    <w:rsid w:val="009238CB"/>
    <w:rsid w:val="00923F46"/>
    <w:rsid w:val="00924233"/>
    <w:rsid w:val="00924362"/>
    <w:rsid w:val="0092496F"/>
    <w:rsid w:val="00925BC6"/>
    <w:rsid w:val="00926379"/>
    <w:rsid w:val="00926F56"/>
    <w:rsid w:val="009271EC"/>
    <w:rsid w:val="00927E37"/>
    <w:rsid w:val="00930D9F"/>
    <w:rsid w:val="009314A7"/>
    <w:rsid w:val="009314C4"/>
    <w:rsid w:val="00931FCB"/>
    <w:rsid w:val="0093243E"/>
    <w:rsid w:val="00932EEE"/>
    <w:rsid w:val="00933873"/>
    <w:rsid w:val="009344FE"/>
    <w:rsid w:val="009353D1"/>
    <w:rsid w:val="009363B7"/>
    <w:rsid w:val="00937FDA"/>
    <w:rsid w:val="00940B76"/>
    <w:rsid w:val="00943797"/>
    <w:rsid w:val="009440B9"/>
    <w:rsid w:val="00944583"/>
    <w:rsid w:val="00944D0F"/>
    <w:rsid w:val="00945BB6"/>
    <w:rsid w:val="00946148"/>
    <w:rsid w:val="00946261"/>
    <w:rsid w:val="00946918"/>
    <w:rsid w:val="00946C5F"/>
    <w:rsid w:val="00947235"/>
    <w:rsid w:val="009474D7"/>
    <w:rsid w:val="00950689"/>
    <w:rsid w:val="00950DC0"/>
    <w:rsid w:val="00953645"/>
    <w:rsid w:val="0095388D"/>
    <w:rsid w:val="00953A71"/>
    <w:rsid w:val="00954041"/>
    <w:rsid w:val="009549A7"/>
    <w:rsid w:val="0095514E"/>
    <w:rsid w:val="0095646B"/>
    <w:rsid w:val="00957B41"/>
    <w:rsid w:val="00960A07"/>
    <w:rsid w:val="009615A2"/>
    <w:rsid w:val="00961A5D"/>
    <w:rsid w:val="00961CC1"/>
    <w:rsid w:val="00962028"/>
    <w:rsid w:val="00962CC3"/>
    <w:rsid w:val="0096384F"/>
    <w:rsid w:val="0096481E"/>
    <w:rsid w:val="00965C8E"/>
    <w:rsid w:val="00966763"/>
    <w:rsid w:val="00966EBE"/>
    <w:rsid w:val="0096716B"/>
    <w:rsid w:val="00967BDF"/>
    <w:rsid w:val="0097026A"/>
    <w:rsid w:val="009705DA"/>
    <w:rsid w:val="009725CA"/>
    <w:rsid w:val="0097462E"/>
    <w:rsid w:val="00975CBA"/>
    <w:rsid w:val="009777E7"/>
    <w:rsid w:val="0097790E"/>
    <w:rsid w:val="00980F59"/>
    <w:rsid w:val="00981424"/>
    <w:rsid w:val="0098277F"/>
    <w:rsid w:val="009829D0"/>
    <w:rsid w:val="0098355B"/>
    <w:rsid w:val="00983EDC"/>
    <w:rsid w:val="009847D8"/>
    <w:rsid w:val="009862EF"/>
    <w:rsid w:val="00987A8D"/>
    <w:rsid w:val="0099043B"/>
    <w:rsid w:val="00991116"/>
    <w:rsid w:val="009918DF"/>
    <w:rsid w:val="009926CC"/>
    <w:rsid w:val="00992CF8"/>
    <w:rsid w:val="0099370C"/>
    <w:rsid w:val="00994A5F"/>
    <w:rsid w:val="00995CA7"/>
    <w:rsid w:val="009961E6"/>
    <w:rsid w:val="00996FA2"/>
    <w:rsid w:val="009972F5"/>
    <w:rsid w:val="0099742D"/>
    <w:rsid w:val="009A0FD2"/>
    <w:rsid w:val="009A12FF"/>
    <w:rsid w:val="009A1665"/>
    <w:rsid w:val="009A194D"/>
    <w:rsid w:val="009A1F66"/>
    <w:rsid w:val="009A1F68"/>
    <w:rsid w:val="009A31BD"/>
    <w:rsid w:val="009A33BF"/>
    <w:rsid w:val="009A3A14"/>
    <w:rsid w:val="009A3C65"/>
    <w:rsid w:val="009A4096"/>
    <w:rsid w:val="009A4228"/>
    <w:rsid w:val="009A65A2"/>
    <w:rsid w:val="009A68A9"/>
    <w:rsid w:val="009A6E3E"/>
    <w:rsid w:val="009A7534"/>
    <w:rsid w:val="009A7ABE"/>
    <w:rsid w:val="009A7B46"/>
    <w:rsid w:val="009A7C11"/>
    <w:rsid w:val="009B0250"/>
    <w:rsid w:val="009B1335"/>
    <w:rsid w:val="009B14A3"/>
    <w:rsid w:val="009B163D"/>
    <w:rsid w:val="009B1B22"/>
    <w:rsid w:val="009B2B36"/>
    <w:rsid w:val="009B3517"/>
    <w:rsid w:val="009B3691"/>
    <w:rsid w:val="009B3974"/>
    <w:rsid w:val="009B3FFA"/>
    <w:rsid w:val="009B4DA5"/>
    <w:rsid w:val="009B58B0"/>
    <w:rsid w:val="009B68B9"/>
    <w:rsid w:val="009B6C20"/>
    <w:rsid w:val="009B749B"/>
    <w:rsid w:val="009B7ACE"/>
    <w:rsid w:val="009B7CF3"/>
    <w:rsid w:val="009C0B29"/>
    <w:rsid w:val="009C0C94"/>
    <w:rsid w:val="009C0F04"/>
    <w:rsid w:val="009C0F52"/>
    <w:rsid w:val="009C3470"/>
    <w:rsid w:val="009C3CA3"/>
    <w:rsid w:val="009C4429"/>
    <w:rsid w:val="009C48FB"/>
    <w:rsid w:val="009C4C67"/>
    <w:rsid w:val="009C4FFD"/>
    <w:rsid w:val="009C539F"/>
    <w:rsid w:val="009C61F0"/>
    <w:rsid w:val="009C6446"/>
    <w:rsid w:val="009C6A07"/>
    <w:rsid w:val="009C6B71"/>
    <w:rsid w:val="009C735E"/>
    <w:rsid w:val="009C7AD1"/>
    <w:rsid w:val="009C7C15"/>
    <w:rsid w:val="009D1335"/>
    <w:rsid w:val="009D3155"/>
    <w:rsid w:val="009D3BF0"/>
    <w:rsid w:val="009D4E08"/>
    <w:rsid w:val="009D5275"/>
    <w:rsid w:val="009D5486"/>
    <w:rsid w:val="009D64CC"/>
    <w:rsid w:val="009D71C3"/>
    <w:rsid w:val="009D7F0A"/>
    <w:rsid w:val="009E1344"/>
    <w:rsid w:val="009E4DBE"/>
    <w:rsid w:val="009E5968"/>
    <w:rsid w:val="009E5B99"/>
    <w:rsid w:val="009E5C6E"/>
    <w:rsid w:val="009E6D94"/>
    <w:rsid w:val="009F003B"/>
    <w:rsid w:val="009F09B0"/>
    <w:rsid w:val="009F0A0D"/>
    <w:rsid w:val="009F0BF6"/>
    <w:rsid w:val="009F10BC"/>
    <w:rsid w:val="009F12EB"/>
    <w:rsid w:val="009F1D07"/>
    <w:rsid w:val="009F2A93"/>
    <w:rsid w:val="009F40BD"/>
    <w:rsid w:val="009F422D"/>
    <w:rsid w:val="009F478F"/>
    <w:rsid w:val="009F6DB3"/>
    <w:rsid w:val="00A01CFD"/>
    <w:rsid w:val="00A01E17"/>
    <w:rsid w:val="00A03277"/>
    <w:rsid w:val="00A03B7E"/>
    <w:rsid w:val="00A0635C"/>
    <w:rsid w:val="00A06691"/>
    <w:rsid w:val="00A072E9"/>
    <w:rsid w:val="00A0782E"/>
    <w:rsid w:val="00A109A9"/>
    <w:rsid w:val="00A10B63"/>
    <w:rsid w:val="00A10BAA"/>
    <w:rsid w:val="00A121BC"/>
    <w:rsid w:val="00A13ED7"/>
    <w:rsid w:val="00A13F5E"/>
    <w:rsid w:val="00A14944"/>
    <w:rsid w:val="00A15FFB"/>
    <w:rsid w:val="00A16478"/>
    <w:rsid w:val="00A169C4"/>
    <w:rsid w:val="00A1724B"/>
    <w:rsid w:val="00A17725"/>
    <w:rsid w:val="00A1790E"/>
    <w:rsid w:val="00A1795E"/>
    <w:rsid w:val="00A17ECB"/>
    <w:rsid w:val="00A220DF"/>
    <w:rsid w:val="00A23D8D"/>
    <w:rsid w:val="00A23F55"/>
    <w:rsid w:val="00A25E5C"/>
    <w:rsid w:val="00A25EDE"/>
    <w:rsid w:val="00A25F4F"/>
    <w:rsid w:val="00A26D40"/>
    <w:rsid w:val="00A31182"/>
    <w:rsid w:val="00A31E81"/>
    <w:rsid w:val="00A32C03"/>
    <w:rsid w:val="00A33414"/>
    <w:rsid w:val="00A342ED"/>
    <w:rsid w:val="00A34688"/>
    <w:rsid w:val="00A35E67"/>
    <w:rsid w:val="00A35FC2"/>
    <w:rsid w:val="00A35FF7"/>
    <w:rsid w:val="00A36860"/>
    <w:rsid w:val="00A37288"/>
    <w:rsid w:val="00A37CDD"/>
    <w:rsid w:val="00A40A49"/>
    <w:rsid w:val="00A40ED9"/>
    <w:rsid w:val="00A41651"/>
    <w:rsid w:val="00A41CFB"/>
    <w:rsid w:val="00A42AC5"/>
    <w:rsid w:val="00A45096"/>
    <w:rsid w:val="00A45417"/>
    <w:rsid w:val="00A4569B"/>
    <w:rsid w:val="00A475B3"/>
    <w:rsid w:val="00A50CF7"/>
    <w:rsid w:val="00A50F0A"/>
    <w:rsid w:val="00A5132D"/>
    <w:rsid w:val="00A523BF"/>
    <w:rsid w:val="00A52488"/>
    <w:rsid w:val="00A52533"/>
    <w:rsid w:val="00A52DCF"/>
    <w:rsid w:val="00A52E06"/>
    <w:rsid w:val="00A535A0"/>
    <w:rsid w:val="00A541FD"/>
    <w:rsid w:val="00A54315"/>
    <w:rsid w:val="00A54968"/>
    <w:rsid w:val="00A549E6"/>
    <w:rsid w:val="00A560A2"/>
    <w:rsid w:val="00A567B2"/>
    <w:rsid w:val="00A56ADF"/>
    <w:rsid w:val="00A56D2B"/>
    <w:rsid w:val="00A56D5B"/>
    <w:rsid w:val="00A57B20"/>
    <w:rsid w:val="00A6026B"/>
    <w:rsid w:val="00A60429"/>
    <w:rsid w:val="00A61B9E"/>
    <w:rsid w:val="00A62210"/>
    <w:rsid w:val="00A62419"/>
    <w:rsid w:val="00A62674"/>
    <w:rsid w:val="00A64321"/>
    <w:rsid w:val="00A6564C"/>
    <w:rsid w:val="00A65BD9"/>
    <w:rsid w:val="00A65BDD"/>
    <w:rsid w:val="00A6658B"/>
    <w:rsid w:val="00A66B64"/>
    <w:rsid w:val="00A703A7"/>
    <w:rsid w:val="00A716C0"/>
    <w:rsid w:val="00A718FE"/>
    <w:rsid w:val="00A71C5E"/>
    <w:rsid w:val="00A71F02"/>
    <w:rsid w:val="00A726B2"/>
    <w:rsid w:val="00A73722"/>
    <w:rsid w:val="00A73E28"/>
    <w:rsid w:val="00A74DF2"/>
    <w:rsid w:val="00A753F4"/>
    <w:rsid w:val="00A75D3F"/>
    <w:rsid w:val="00A76B4F"/>
    <w:rsid w:val="00A7788C"/>
    <w:rsid w:val="00A818F3"/>
    <w:rsid w:val="00A81965"/>
    <w:rsid w:val="00A83AF7"/>
    <w:rsid w:val="00A84280"/>
    <w:rsid w:val="00A849CF"/>
    <w:rsid w:val="00A85490"/>
    <w:rsid w:val="00A85CEA"/>
    <w:rsid w:val="00A86A19"/>
    <w:rsid w:val="00A878FE"/>
    <w:rsid w:val="00A91FAB"/>
    <w:rsid w:val="00A92026"/>
    <w:rsid w:val="00A92182"/>
    <w:rsid w:val="00A92689"/>
    <w:rsid w:val="00A9365A"/>
    <w:rsid w:val="00A95342"/>
    <w:rsid w:val="00A95DD7"/>
    <w:rsid w:val="00A964FF"/>
    <w:rsid w:val="00A970E2"/>
    <w:rsid w:val="00AA0C23"/>
    <w:rsid w:val="00AA19A4"/>
    <w:rsid w:val="00AA1CCE"/>
    <w:rsid w:val="00AA29D7"/>
    <w:rsid w:val="00AA2E81"/>
    <w:rsid w:val="00AA5278"/>
    <w:rsid w:val="00AA5467"/>
    <w:rsid w:val="00AA6293"/>
    <w:rsid w:val="00AA640D"/>
    <w:rsid w:val="00AA6D22"/>
    <w:rsid w:val="00AA70C9"/>
    <w:rsid w:val="00AA7682"/>
    <w:rsid w:val="00AA78F1"/>
    <w:rsid w:val="00AA7AD1"/>
    <w:rsid w:val="00AB16A7"/>
    <w:rsid w:val="00AB305E"/>
    <w:rsid w:val="00AB3485"/>
    <w:rsid w:val="00AB35A9"/>
    <w:rsid w:val="00AB3BA9"/>
    <w:rsid w:val="00AB64E9"/>
    <w:rsid w:val="00AB78E2"/>
    <w:rsid w:val="00AC0457"/>
    <w:rsid w:val="00AC125D"/>
    <w:rsid w:val="00AC19BC"/>
    <w:rsid w:val="00AC1AD3"/>
    <w:rsid w:val="00AC4A01"/>
    <w:rsid w:val="00AC4ADB"/>
    <w:rsid w:val="00AC59EC"/>
    <w:rsid w:val="00AC5C83"/>
    <w:rsid w:val="00AC6082"/>
    <w:rsid w:val="00AC7C97"/>
    <w:rsid w:val="00AC7D93"/>
    <w:rsid w:val="00AD03BE"/>
    <w:rsid w:val="00AD104D"/>
    <w:rsid w:val="00AD24BE"/>
    <w:rsid w:val="00AD4385"/>
    <w:rsid w:val="00AD5E57"/>
    <w:rsid w:val="00AD6C8A"/>
    <w:rsid w:val="00AD7032"/>
    <w:rsid w:val="00AD718F"/>
    <w:rsid w:val="00AD76F7"/>
    <w:rsid w:val="00AD7751"/>
    <w:rsid w:val="00AD7AAA"/>
    <w:rsid w:val="00AE033E"/>
    <w:rsid w:val="00AE1BD6"/>
    <w:rsid w:val="00AE2A85"/>
    <w:rsid w:val="00AE3145"/>
    <w:rsid w:val="00AE346D"/>
    <w:rsid w:val="00AE3BE5"/>
    <w:rsid w:val="00AE3DEB"/>
    <w:rsid w:val="00AE3FAD"/>
    <w:rsid w:val="00AE491E"/>
    <w:rsid w:val="00AE4AEC"/>
    <w:rsid w:val="00AE4B44"/>
    <w:rsid w:val="00AE4F4E"/>
    <w:rsid w:val="00AE57A7"/>
    <w:rsid w:val="00AE6303"/>
    <w:rsid w:val="00AE6E14"/>
    <w:rsid w:val="00AE7323"/>
    <w:rsid w:val="00AF0CEE"/>
    <w:rsid w:val="00AF0D11"/>
    <w:rsid w:val="00AF15F0"/>
    <w:rsid w:val="00AF2072"/>
    <w:rsid w:val="00AF30DE"/>
    <w:rsid w:val="00AF3316"/>
    <w:rsid w:val="00AF441A"/>
    <w:rsid w:val="00AF51F0"/>
    <w:rsid w:val="00AF53F7"/>
    <w:rsid w:val="00AF5952"/>
    <w:rsid w:val="00AF710D"/>
    <w:rsid w:val="00B01E9C"/>
    <w:rsid w:val="00B02A8E"/>
    <w:rsid w:val="00B0318D"/>
    <w:rsid w:val="00B071CC"/>
    <w:rsid w:val="00B0766E"/>
    <w:rsid w:val="00B13080"/>
    <w:rsid w:val="00B13E09"/>
    <w:rsid w:val="00B158AE"/>
    <w:rsid w:val="00B15E69"/>
    <w:rsid w:val="00B168E1"/>
    <w:rsid w:val="00B17BEA"/>
    <w:rsid w:val="00B21169"/>
    <w:rsid w:val="00B2146D"/>
    <w:rsid w:val="00B2149B"/>
    <w:rsid w:val="00B234E1"/>
    <w:rsid w:val="00B27FB0"/>
    <w:rsid w:val="00B30189"/>
    <w:rsid w:val="00B31BDF"/>
    <w:rsid w:val="00B32921"/>
    <w:rsid w:val="00B33BC6"/>
    <w:rsid w:val="00B33F39"/>
    <w:rsid w:val="00B3413B"/>
    <w:rsid w:val="00B347E5"/>
    <w:rsid w:val="00B34F6E"/>
    <w:rsid w:val="00B35DE5"/>
    <w:rsid w:val="00B371C9"/>
    <w:rsid w:val="00B404F2"/>
    <w:rsid w:val="00B405A8"/>
    <w:rsid w:val="00B408DA"/>
    <w:rsid w:val="00B42893"/>
    <w:rsid w:val="00B4346A"/>
    <w:rsid w:val="00B4385E"/>
    <w:rsid w:val="00B439CE"/>
    <w:rsid w:val="00B44005"/>
    <w:rsid w:val="00B44F04"/>
    <w:rsid w:val="00B4760B"/>
    <w:rsid w:val="00B47ECB"/>
    <w:rsid w:val="00B50429"/>
    <w:rsid w:val="00B530FD"/>
    <w:rsid w:val="00B531B1"/>
    <w:rsid w:val="00B54296"/>
    <w:rsid w:val="00B544B8"/>
    <w:rsid w:val="00B5499D"/>
    <w:rsid w:val="00B554EC"/>
    <w:rsid w:val="00B615D9"/>
    <w:rsid w:val="00B626C3"/>
    <w:rsid w:val="00B62CBB"/>
    <w:rsid w:val="00B6336D"/>
    <w:rsid w:val="00B633D5"/>
    <w:rsid w:val="00B63728"/>
    <w:rsid w:val="00B651A3"/>
    <w:rsid w:val="00B651ED"/>
    <w:rsid w:val="00B65CBA"/>
    <w:rsid w:val="00B700E1"/>
    <w:rsid w:val="00B70855"/>
    <w:rsid w:val="00B70A8D"/>
    <w:rsid w:val="00B70D31"/>
    <w:rsid w:val="00B71FE8"/>
    <w:rsid w:val="00B74AAA"/>
    <w:rsid w:val="00B75A8B"/>
    <w:rsid w:val="00B75AE0"/>
    <w:rsid w:val="00B76882"/>
    <w:rsid w:val="00B774EC"/>
    <w:rsid w:val="00B801B4"/>
    <w:rsid w:val="00B8056B"/>
    <w:rsid w:val="00B80CA2"/>
    <w:rsid w:val="00B80F01"/>
    <w:rsid w:val="00B81246"/>
    <w:rsid w:val="00B81675"/>
    <w:rsid w:val="00B85CF7"/>
    <w:rsid w:val="00B868A2"/>
    <w:rsid w:val="00B86C3D"/>
    <w:rsid w:val="00B913EF"/>
    <w:rsid w:val="00B921CF"/>
    <w:rsid w:val="00B949C1"/>
    <w:rsid w:val="00B9767B"/>
    <w:rsid w:val="00B97D69"/>
    <w:rsid w:val="00BA03BD"/>
    <w:rsid w:val="00BA0BDF"/>
    <w:rsid w:val="00BA0EC9"/>
    <w:rsid w:val="00BA128A"/>
    <w:rsid w:val="00BA1B82"/>
    <w:rsid w:val="00BA39E0"/>
    <w:rsid w:val="00BA3A49"/>
    <w:rsid w:val="00BA3DE9"/>
    <w:rsid w:val="00BA3E2F"/>
    <w:rsid w:val="00BA42AE"/>
    <w:rsid w:val="00BA4D5B"/>
    <w:rsid w:val="00BA6532"/>
    <w:rsid w:val="00BA7EBB"/>
    <w:rsid w:val="00BB0A7F"/>
    <w:rsid w:val="00BB152F"/>
    <w:rsid w:val="00BB1AC0"/>
    <w:rsid w:val="00BB28B7"/>
    <w:rsid w:val="00BB56BE"/>
    <w:rsid w:val="00BB5D5D"/>
    <w:rsid w:val="00BB65AC"/>
    <w:rsid w:val="00BC1874"/>
    <w:rsid w:val="00BC37A7"/>
    <w:rsid w:val="00BC4DAC"/>
    <w:rsid w:val="00BC4F3F"/>
    <w:rsid w:val="00BC506A"/>
    <w:rsid w:val="00BC5088"/>
    <w:rsid w:val="00BC52FC"/>
    <w:rsid w:val="00BC5910"/>
    <w:rsid w:val="00BC60D3"/>
    <w:rsid w:val="00BC6439"/>
    <w:rsid w:val="00BC671C"/>
    <w:rsid w:val="00BC69DB"/>
    <w:rsid w:val="00BC714D"/>
    <w:rsid w:val="00BC751A"/>
    <w:rsid w:val="00BD052B"/>
    <w:rsid w:val="00BD052E"/>
    <w:rsid w:val="00BD0B9C"/>
    <w:rsid w:val="00BD1105"/>
    <w:rsid w:val="00BD13BF"/>
    <w:rsid w:val="00BD15A6"/>
    <w:rsid w:val="00BD1645"/>
    <w:rsid w:val="00BD1B43"/>
    <w:rsid w:val="00BD4135"/>
    <w:rsid w:val="00BD5000"/>
    <w:rsid w:val="00BD5176"/>
    <w:rsid w:val="00BD5B48"/>
    <w:rsid w:val="00BD6228"/>
    <w:rsid w:val="00BD6A2D"/>
    <w:rsid w:val="00BD6B18"/>
    <w:rsid w:val="00BD7287"/>
    <w:rsid w:val="00BD742D"/>
    <w:rsid w:val="00BE22C8"/>
    <w:rsid w:val="00BE2C61"/>
    <w:rsid w:val="00BE3185"/>
    <w:rsid w:val="00BE3A07"/>
    <w:rsid w:val="00BE4625"/>
    <w:rsid w:val="00BE51E9"/>
    <w:rsid w:val="00BE51F5"/>
    <w:rsid w:val="00BE6B0D"/>
    <w:rsid w:val="00BE7167"/>
    <w:rsid w:val="00BF2EB4"/>
    <w:rsid w:val="00BF6372"/>
    <w:rsid w:val="00BF6483"/>
    <w:rsid w:val="00BF656D"/>
    <w:rsid w:val="00C02218"/>
    <w:rsid w:val="00C02A25"/>
    <w:rsid w:val="00C02C21"/>
    <w:rsid w:val="00C02FA0"/>
    <w:rsid w:val="00C03403"/>
    <w:rsid w:val="00C03C1C"/>
    <w:rsid w:val="00C03EE9"/>
    <w:rsid w:val="00C040EF"/>
    <w:rsid w:val="00C046B8"/>
    <w:rsid w:val="00C05372"/>
    <w:rsid w:val="00C0547E"/>
    <w:rsid w:val="00C058E3"/>
    <w:rsid w:val="00C05D4C"/>
    <w:rsid w:val="00C06902"/>
    <w:rsid w:val="00C0707E"/>
    <w:rsid w:val="00C103F7"/>
    <w:rsid w:val="00C11630"/>
    <w:rsid w:val="00C119BF"/>
    <w:rsid w:val="00C125EF"/>
    <w:rsid w:val="00C13788"/>
    <w:rsid w:val="00C13FBA"/>
    <w:rsid w:val="00C157A0"/>
    <w:rsid w:val="00C157BD"/>
    <w:rsid w:val="00C15A0D"/>
    <w:rsid w:val="00C16180"/>
    <w:rsid w:val="00C17040"/>
    <w:rsid w:val="00C176BD"/>
    <w:rsid w:val="00C21084"/>
    <w:rsid w:val="00C2339B"/>
    <w:rsid w:val="00C249AD"/>
    <w:rsid w:val="00C254BF"/>
    <w:rsid w:val="00C25A9C"/>
    <w:rsid w:val="00C262D2"/>
    <w:rsid w:val="00C2728D"/>
    <w:rsid w:val="00C2790E"/>
    <w:rsid w:val="00C30DC9"/>
    <w:rsid w:val="00C3107A"/>
    <w:rsid w:val="00C31C27"/>
    <w:rsid w:val="00C3280C"/>
    <w:rsid w:val="00C33EB7"/>
    <w:rsid w:val="00C36045"/>
    <w:rsid w:val="00C368FC"/>
    <w:rsid w:val="00C36AD7"/>
    <w:rsid w:val="00C36DB5"/>
    <w:rsid w:val="00C36EAB"/>
    <w:rsid w:val="00C37B22"/>
    <w:rsid w:val="00C37D83"/>
    <w:rsid w:val="00C4051E"/>
    <w:rsid w:val="00C40F06"/>
    <w:rsid w:val="00C4103B"/>
    <w:rsid w:val="00C417F7"/>
    <w:rsid w:val="00C41925"/>
    <w:rsid w:val="00C41A0A"/>
    <w:rsid w:val="00C42F6C"/>
    <w:rsid w:val="00C431AF"/>
    <w:rsid w:val="00C43428"/>
    <w:rsid w:val="00C43757"/>
    <w:rsid w:val="00C466ED"/>
    <w:rsid w:val="00C467AD"/>
    <w:rsid w:val="00C474B9"/>
    <w:rsid w:val="00C50559"/>
    <w:rsid w:val="00C505BA"/>
    <w:rsid w:val="00C50E4D"/>
    <w:rsid w:val="00C50ED2"/>
    <w:rsid w:val="00C511EF"/>
    <w:rsid w:val="00C524BC"/>
    <w:rsid w:val="00C55A37"/>
    <w:rsid w:val="00C55C4E"/>
    <w:rsid w:val="00C60DC9"/>
    <w:rsid w:val="00C60ED5"/>
    <w:rsid w:val="00C61CA4"/>
    <w:rsid w:val="00C61F99"/>
    <w:rsid w:val="00C62C83"/>
    <w:rsid w:val="00C63A8B"/>
    <w:rsid w:val="00C63EF7"/>
    <w:rsid w:val="00C643E2"/>
    <w:rsid w:val="00C649F8"/>
    <w:rsid w:val="00C650C0"/>
    <w:rsid w:val="00C65256"/>
    <w:rsid w:val="00C6676D"/>
    <w:rsid w:val="00C70CB1"/>
    <w:rsid w:val="00C70FE1"/>
    <w:rsid w:val="00C71FA4"/>
    <w:rsid w:val="00C72285"/>
    <w:rsid w:val="00C7252B"/>
    <w:rsid w:val="00C72A06"/>
    <w:rsid w:val="00C73723"/>
    <w:rsid w:val="00C744E6"/>
    <w:rsid w:val="00C76478"/>
    <w:rsid w:val="00C80925"/>
    <w:rsid w:val="00C81837"/>
    <w:rsid w:val="00C82744"/>
    <w:rsid w:val="00C83170"/>
    <w:rsid w:val="00C85444"/>
    <w:rsid w:val="00C85A56"/>
    <w:rsid w:val="00C8638B"/>
    <w:rsid w:val="00C86D50"/>
    <w:rsid w:val="00C87577"/>
    <w:rsid w:val="00C90146"/>
    <w:rsid w:val="00C94E62"/>
    <w:rsid w:val="00C95500"/>
    <w:rsid w:val="00C95611"/>
    <w:rsid w:val="00C95680"/>
    <w:rsid w:val="00C974F5"/>
    <w:rsid w:val="00C97570"/>
    <w:rsid w:val="00CA00EE"/>
    <w:rsid w:val="00CA1DA1"/>
    <w:rsid w:val="00CA1E07"/>
    <w:rsid w:val="00CA223E"/>
    <w:rsid w:val="00CA2AA7"/>
    <w:rsid w:val="00CA4270"/>
    <w:rsid w:val="00CA4CCB"/>
    <w:rsid w:val="00CA5693"/>
    <w:rsid w:val="00CA5B76"/>
    <w:rsid w:val="00CA62EF"/>
    <w:rsid w:val="00CA6908"/>
    <w:rsid w:val="00CA7806"/>
    <w:rsid w:val="00CA7EB3"/>
    <w:rsid w:val="00CB14A6"/>
    <w:rsid w:val="00CB2147"/>
    <w:rsid w:val="00CB28B8"/>
    <w:rsid w:val="00CB2B8E"/>
    <w:rsid w:val="00CB2FFC"/>
    <w:rsid w:val="00CB41D0"/>
    <w:rsid w:val="00CB4A84"/>
    <w:rsid w:val="00CC059C"/>
    <w:rsid w:val="00CC0774"/>
    <w:rsid w:val="00CC0AF2"/>
    <w:rsid w:val="00CC1415"/>
    <w:rsid w:val="00CC14F7"/>
    <w:rsid w:val="00CC1A10"/>
    <w:rsid w:val="00CC1B7A"/>
    <w:rsid w:val="00CC21F2"/>
    <w:rsid w:val="00CC29C6"/>
    <w:rsid w:val="00CC3436"/>
    <w:rsid w:val="00CC3484"/>
    <w:rsid w:val="00CC3F3F"/>
    <w:rsid w:val="00CC40C0"/>
    <w:rsid w:val="00CC4909"/>
    <w:rsid w:val="00CC52F2"/>
    <w:rsid w:val="00CC5B40"/>
    <w:rsid w:val="00CC7646"/>
    <w:rsid w:val="00CD0339"/>
    <w:rsid w:val="00CD03E2"/>
    <w:rsid w:val="00CD3F43"/>
    <w:rsid w:val="00CD461A"/>
    <w:rsid w:val="00CD48C1"/>
    <w:rsid w:val="00CD5088"/>
    <w:rsid w:val="00CD5988"/>
    <w:rsid w:val="00CD5CE0"/>
    <w:rsid w:val="00CD5E89"/>
    <w:rsid w:val="00CD6420"/>
    <w:rsid w:val="00CD78E6"/>
    <w:rsid w:val="00CD7B76"/>
    <w:rsid w:val="00CD7EF9"/>
    <w:rsid w:val="00CE01CE"/>
    <w:rsid w:val="00CE0FC5"/>
    <w:rsid w:val="00CE183A"/>
    <w:rsid w:val="00CE1CAF"/>
    <w:rsid w:val="00CE2412"/>
    <w:rsid w:val="00CE263A"/>
    <w:rsid w:val="00CE4040"/>
    <w:rsid w:val="00CE4303"/>
    <w:rsid w:val="00CE430E"/>
    <w:rsid w:val="00CE4E8D"/>
    <w:rsid w:val="00CE52CB"/>
    <w:rsid w:val="00CE6981"/>
    <w:rsid w:val="00CE7AD6"/>
    <w:rsid w:val="00CE7D4B"/>
    <w:rsid w:val="00CF2211"/>
    <w:rsid w:val="00CF2B4A"/>
    <w:rsid w:val="00CF2E95"/>
    <w:rsid w:val="00CF578D"/>
    <w:rsid w:val="00CF64BF"/>
    <w:rsid w:val="00CF6E0D"/>
    <w:rsid w:val="00CF7A32"/>
    <w:rsid w:val="00CF7E16"/>
    <w:rsid w:val="00D011FF"/>
    <w:rsid w:val="00D0270D"/>
    <w:rsid w:val="00D03713"/>
    <w:rsid w:val="00D053F2"/>
    <w:rsid w:val="00D05D42"/>
    <w:rsid w:val="00D06534"/>
    <w:rsid w:val="00D066CB"/>
    <w:rsid w:val="00D0732E"/>
    <w:rsid w:val="00D105DC"/>
    <w:rsid w:val="00D11795"/>
    <w:rsid w:val="00D11A92"/>
    <w:rsid w:val="00D1557F"/>
    <w:rsid w:val="00D16091"/>
    <w:rsid w:val="00D16878"/>
    <w:rsid w:val="00D16F5C"/>
    <w:rsid w:val="00D20646"/>
    <w:rsid w:val="00D2124B"/>
    <w:rsid w:val="00D22642"/>
    <w:rsid w:val="00D22B4D"/>
    <w:rsid w:val="00D23A8C"/>
    <w:rsid w:val="00D2422E"/>
    <w:rsid w:val="00D24AFC"/>
    <w:rsid w:val="00D25421"/>
    <w:rsid w:val="00D257AA"/>
    <w:rsid w:val="00D25C02"/>
    <w:rsid w:val="00D26CFF"/>
    <w:rsid w:val="00D26D9D"/>
    <w:rsid w:val="00D27285"/>
    <w:rsid w:val="00D27320"/>
    <w:rsid w:val="00D27629"/>
    <w:rsid w:val="00D2778A"/>
    <w:rsid w:val="00D27AEE"/>
    <w:rsid w:val="00D27F6C"/>
    <w:rsid w:val="00D30F33"/>
    <w:rsid w:val="00D32B2C"/>
    <w:rsid w:val="00D3488D"/>
    <w:rsid w:val="00D358FB"/>
    <w:rsid w:val="00D35F43"/>
    <w:rsid w:val="00D364C9"/>
    <w:rsid w:val="00D4047E"/>
    <w:rsid w:val="00D4064E"/>
    <w:rsid w:val="00D408A2"/>
    <w:rsid w:val="00D41BE3"/>
    <w:rsid w:val="00D424DE"/>
    <w:rsid w:val="00D431B2"/>
    <w:rsid w:val="00D437A7"/>
    <w:rsid w:val="00D43EF7"/>
    <w:rsid w:val="00D44C31"/>
    <w:rsid w:val="00D451FB"/>
    <w:rsid w:val="00D46694"/>
    <w:rsid w:val="00D4689A"/>
    <w:rsid w:val="00D46C06"/>
    <w:rsid w:val="00D47670"/>
    <w:rsid w:val="00D47E25"/>
    <w:rsid w:val="00D510C9"/>
    <w:rsid w:val="00D52565"/>
    <w:rsid w:val="00D52D18"/>
    <w:rsid w:val="00D5336D"/>
    <w:rsid w:val="00D568D0"/>
    <w:rsid w:val="00D56986"/>
    <w:rsid w:val="00D57276"/>
    <w:rsid w:val="00D57642"/>
    <w:rsid w:val="00D60FDA"/>
    <w:rsid w:val="00D61131"/>
    <w:rsid w:val="00D615F1"/>
    <w:rsid w:val="00D61600"/>
    <w:rsid w:val="00D62064"/>
    <w:rsid w:val="00D625B1"/>
    <w:rsid w:val="00D63456"/>
    <w:rsid w:val="00D63587"/>
    <w:rsid w:val="00D6362A"/>
    <w:rsid w:val="00D63F47"/>
    <w:rsid w:val="00D6451A"/>
    <w:rsid w:val="00D64644"/>
    <w:rsid w:val="00D646E3"/>
    <w:rsid w:val="00D64C61"/>
    <w:rsid w:val="00D6534E"/>
    <w:rsid w:val="00D655FE"/>
    <w:rsid w:val="00D6606A"/>
    <w:rsid w:val="00D6784E"/>
    <w:rsid w:val="00D67F75"/>
    <w:rsid w:val="00D7009B"/>
    <w:rsid w:val="00D701D2"/>
    <w:rsid w:val="00D71A59"/>
    <w:rsid w:val="00D7255E"/>
    <w:rsid w:val="00D73123"/>
    <w:rsid w:val="00D73161"/>
    <w:rsid w:val="00D7350C"/>
    <w:rsid w:val="00D74206"/>
    <w:rsid w:val="00D747E8"/>
    <w:rsid w:val="00D74A22"/>
    <w:rsid w:val="00D75100"/>
    <w:rsid w:val="00D75267"/>
    <w:rsid w:val="00D75B95"/>
    <w:rsid w:val="00D77F43"/>
    <w:rsid w:val="00D80145"/>
    <w:rsid w:val="00D8056F"/>
    <w:rsid w:val="00D8081E"/>
    <w:rsid w:val="00D81A93"/>
    <w:rsid w:val="00D81E28"/>
    <w:rsid w:val="00D82333"/>
    <w:rsid w:val="00D826C1"/>
    <w:rsid w:val="00D82898"/>
    <w:rsid w:val="00D83D3B"/>
    <w:rsid w:val="00D83E82"/>
    <w:rsid w:val="00D84388"/>
    <w:rsid w:val="00D85F70"/>
    <w:rsid w:val="00D87165"/>
    <w:rsid w:val="00D87968"/>
    <w:rsid w:val="00D87C91"/>
    <w:rsid w:val="00D90DD6"/>
    <w:rsid w:val="00D90E05"/>
    <w:rsid w:val="00D929AE"/>
    <w:rsid w:val="00D934B1"/>
    <w:rsid w:val="00D93BA3"/>
    <w:rsid w:val="00D94B3A"/>
    <w:rsid w:val="00D95104"/>
    <w:rsid w:val="00D95931"/>
    <w:rsid w:val="00D95D78"/>
    <w:rsid w:val="00D97E5E"/>
    <w:rsid w:val="00DA01E4"/>
    <w:rsid w:val="00DA13F9"/>
    <w:rsid w:val="00DA246F"/>
    <w:rsid w:val="00DA2C27"/>
    <w:rsid w:val="00DA2FF2"/>
    <w:rsid w:val="00DA304E"/>
    <w:rsid w:val="00DA502D"/>
    <w:rsid w:val="00DA5837"/>
    <w:rsid w:val="00DA6079"/>
    <w:rsid w:val="00DA7203"/>
    <w:rsid w:val="00DA7B84"/>
    <w:rsid w:val="00DA7FAD"/>
    <w:rsid w:val="00DB05F0"/>
    <w:rsid w:val="00DB0D5F"/>
    <w:rsid w:val="00DB1240"/>
    <w:rsid w:val="00DB12F0"/>
    <w:rsid w:val="00DB1402"/>
    <w:rsid w:val="00DB208A"/>
    <w:rsid w:val="00DB3267"/>
    <w:rsid w:val="00DB3412"/>
    <w:rsid w:val="00DB518C"/>
    <w:rsid w:val="00DB6173"/>
    <w:rsid w:val="00DB7108"/>
    <w:rsid w:val="00DC0248"/>
    <w:rsid w:val="00DC0EAF"/>
    <w:rsid w:val="00DC13B9"/>
    <w:rsid w:val="00DC1475"/>
    <w:rsid w:val="00DC1A72"/>
    <w:rsid w:val="00DC26CE"/>
    <w:rsid w:val="00DC2758"/>
    <w:rsid w:val="00DC29CB"/>
    <w:rsid w:val="00DC35E2"/>
    <w:rsid w:val="00DC40EB"/>
    <w:rsid w:val="00DC4928"/>
    <w:rsid w:val="00DC49F7"/>
    <w:rsid w:val="00DC6460"/>
    <w:rsid w:val="00DC7371"/>
    <w:rsid w:val="00DD098A"/>
    <w:rsid w:val="00DD10A1"/>
    <w:rsid w:val="00DD1DE0"/>
    <w:rsid w:val="00DD3447"/>
    <w:rsid w:val="00DD5360"/>
    <w:rsid w:val="00DD79F6"/>
    <w:rsid w:val="00DE045C"/>
    <w:rsid w:val="00DE1511"/>
    <w:rsid w:val="00DE192A"/>
    <w:rsid w:val="00DE1A48"/>
    <w:rsid w:val="00DE251A"/>
    <w:rsid w:val="00DE341A"/>
    <w:rsid w:val="00DE3AB1"/>
    <w:rsid w:val="00DE3F1B"/>
    <w:rsid w:val="00DE4731"/>
    <w:rsid w:val="00DE4B14"/>
    <w:rsid w:val="00DE57A1"/>
    <w:rsid w:val="00DE5E54"/>
    <w:rsid w:val="00DE5EDC"/>
    <w:rsid w:val="00DE6CF1"/>
    <w:rsid w:val="00DE731E"/>
    <w:rsid w:val="00DE7EE4"/>
    <w:rsid w:val="00DF02A7"/>
    <w:rsid w:val="00DF0456"/>
    <w:rsid w:val="00DF1F65"/>
    <w:rsid w:val="00DF2053"/>
    <w:rsid w:val="00DF33F2"/>
    <w:rsid w:val="00DF42F7"/>
    <w:rsid w:val="00DF49D5"/>
    <w:rsid w:val="00DF52B4"/>
    <w:rsid w:val="00DF5785"/>
    <w:rsid w:val="00DF5D0B"/>
    <w:rsid w:val="00DF6A27"/>
    <w:rsid w:val="00DF7509"/>
    <w:rsid w:val="00DF7896"/>
    <w:rsid w:val="00E00DBA"/>
    <w:rsid w:val="00E00FC8"/>
    <w:rsid w:val="00E0156E"/>
    <w:rsid w:val="00E0158D"/>
    <w:rsid w:val="00E02751"/>
    <w:rsid w:val="00E02D26"/>
    <w:rsid w:val="00E05F1F"/>
    <w:rsid w:val="00E0731E"/>
    <w:rsid w:val="00E07CBB"/>
    <w:rsid w:val="00E1042B"/>
    <w:rsid w:val="00E113F4"/>
    <w:rsid w:val="00E12A08"/>
    <w:rsid w:val="00E12B12"/>
    <w:rsid w:val="00E141EF"/>
    <w:rsid w:val="00E15E99"/>
    <w:rsid w:val="00E164D2"/>
    <w:rsid w:val="00E16F30"/>
    <w:rsid w:val="00E20271"/>
    <w:rsid w:val="00E2058B"/>
    <w:rsid w:val="00E20D04"/>
    <w:rsid w:val="00E20DE6"/>
    <w:rsid w:val="00E21449"/>
    <w:rsid w:val="00E21FAF"/>
    <w:rsid w:val="00E22617"/>
    <w:rsid w:val="00E22A84"/>
    <w:rsid w:val="00E25A01"/>
    <w:rsid w:val="00E25E6F"/>
    <w:rsid w:val="00E277B6"/>
    <w:rsid w:val="00E329F5"/>
    <w:rsid w:val="00E32E5B"/>
    <w:rsid w:val="00E34F1F"/>
    <w:rsid w:val="00E35B3A"/>
    <w:rsid w:val="00E35EDA"/>
    <w:rsid w:val="00E36EF6"/>
    <w:rsid w:val="00E37182"/>
    <w:rsid w:val="00E37BE4"/>
    <w:rsid w:val="00E37C54"/>
    <w:rsid w:val="00E40313"/>
    <w:rsid w:val="00E40A42"/>
    <w:rsid w:val="00E41F6A"/>
    <w:rsid w:val="00E423A2"/>
    <w:rsid w:val="00E42B57"/>
    <w:rsid w:val="00E448E2"/>
    <w:rsid w:val="00E4504D"/>
    <w:rsid w:val="00E45474"/>
    <w:rsid w:val="00E4593D"/>
    <w:rsid w:val="00E46A83"/>
    <w:rsid w:val="00E50292"/>
    <w:rsid w:val="00E50C34"/>
    <w:rsid w:val="00E515C3"/>
    <w:rsid w:val="00E51ACC"/>
    <w:rsid w:val="00E52067"/>
    <w:rsid w:val="00E53939"/>
    <w:rsid w:val="00E54024"/>
    <w:rsid w:val="00E547A5"/>
    <w:rsid w:val="00E564A3"/>
    <w:rsid w:val="00E56698"/>
    <w:rsid w:val="00E5761D"/>
    <w:rsid w:val="00E60A5F"/>
    <w:rsid w:val="00E610EE"/>
    <w:rsid w:val="00E647D9"/>
    <w:rsid w:val="00E6542B"/>
    <w:rsid w:val="00E65629"/>
    <w:rsid w:val="00E66F7F"/>
    <w:rsid w:val="00E712D1"/>
    <w:rsid w:val="00E72187"/>
    <w:rsid w:val="00E7232F"/>
    <w:rsid w:val="00E737F1"/>
    <w:rsid w:val="00E74467"/>
    <w:rsid w:val="00E74501"/>
    <w:rsid w:val="00E75341"/>
    <w:rsid w:val="00E76108"/>
    <w:rsid w:val="00E76897"/>
    <w:rsid w:val="00E76977"/>
    <w:rsid w:val="00E8106B"/>
    <w:rsid w:val="00E8114A"/>
    <w:rsid w:val="00E81440"/>
    <w:rsid w:val="00E82232"/>
    <w:rsid w:val="00E83AA0"/>
    <w:rsid w:val="00E84F9A"/>
    <w:rsid w:val="00E851A0"/>
    <w:rsid w:val="00E85864"/>
    <w:rsid w:val="00E87503"/>
    <w:rsid w:val="00E87C0C"/>
    <w:rsid w:val="00E87DE1"/>
    <w:rsid w:val="00E90076"/>
    <w:rsid w:val="00E915F0"/>
    <w:rsid w:val="00E91F36"/>
    <w:rsid w:val="00E92811"/>
    <w:rsid w:val="00E954EA"/>
    <w:rsid w:val="00E96B39"/>
    <w:rsid w:val="00EA0384"/>
    <w:rsid w:val="00EA142D"/>
    <w:rsid w:val="00EA1C37"/>
    <w:rsid w:val="00EA29AA"/>
    <w:rsid w:val="00EA2A52"/>
    <w:rsid w:val="00EA3205"/>
    <w:rsid w:val="00EA4A9F"/>
    <w:rsid w:val="00EA4EB7"/>
    <w:rsid w:val="00EA51DA"/>
    <w:rsid w:val="00EA598E"/>
    <w:rsid w:val="00EB032B"/>
    <w:rsid w:val="00EB16B6"/>
    <w:rsid w:val="00EB16CB"/>
    <w:rsid w:val="00EB1CBA"/>
    <w:rsid w:val="00EB1D34"/>
    <w:rsid w:val="00EB2B9E"/>
    <w:rsid w:val="00EB2EF8"/>
    <w:rsid w:val="00EB32FE"/>
    <w:rsid w:val="00EB34B1"/>
    <w:rsid w:val="00EB47C8"/>
    <w:rsid w:val="00EB55D3"/>
    <w:rsid w:val="00EB5F38"/>
    <w:rsid w:val="00EB63CF"/>
    <w:rsid w:val="00EB6FD0"/>
    <w:rsid w:val="00EB7784"/>
    <w:rsid w:val="00EC114D"/>
    <w:rsid w:val="00EC1894"/>
    <w:rsid w:val="00EC2479"/>
    <w:rsid w:val="00EC32D3"/>
    <w:rsid w:val="00EC3E34"/>
    <w:rsid w:val="00EC4B4C"/>
    <w:rsid w:val="00EC4EF8"/>
    <w:rsid w:val="00EC5B10"/>
    <w:rsid w:val="00EC7D93"/>
    <w:rsid w:val="00EC7E6D"/>
    <w:rsid w:val="00ED061A"/>
    <w:rsid w:val="00ED1C97"/>
    <w:rsid w:val="00ED35E7"/>
    <w:rsid w:val="00ED411F"/>
    <w:rsid w:val="00ED4F08"/>
    <w:rsid w:val="00ED6D41"/>
    <w:rsid w:val="00ED7609"/>
    <w:rsid w:val="00ED7DA1"/>
    <w:rsid w:val="00EE0433"/>
    <w:rsid w:val="00EE0669"/>
    <w:rsid w:val="00EE0F75"/>
    <w:rsid w:val="00EE1560"/>
    <w:rsid w:val="00EE2ACF"/>
    <w:rsid w:val="00EE2C6E"/>
    <w:rsid w:val="00EE2D8E"/>
    <w:rsid w:val="00EE31ED"/>
    <w:rsid w:val="00EE41B8"/>
    <w:rsid w:val="00EE587C"/>
    <w:rsid w:val="00EE7A34"/>
    <w:rsid w:val="00EF01EF"/>
    <w:rsid w:val="00EF02EC"/>
    <w:rsid w:val="00EF0EC8"/>
    <w:rsid w:val="00EF1A7B"/>
    <w:rsid w:val="00EF1FFD"/>
    <w:rsid w:val="00EF243A"/>
    <w:rsid w:val="00EF3967"/>
    <w:rsid w:val="00EF3F96"/>
    <w:rsid w:val="00EF7747"/>
    <w:rsid w:val="00F00AEB"/>
    <w:rsid w:val="00F01705"/>
    <w:rsid w:val="00F02834"/>
    <w:rsid w:val="00F03134"/>
    <w:rsid w:val="00F05CCA"/>
    <w:rsid w:val="00F101FF"/>
    <w:rsid w:val="00F10343"/>
    <w:rsid w:val="00F10DE7"/>
    <w:rsid w:val="00F117CB"/>
    <w:rsid w:val="00F11FB3"/>
    <w:rsid w:val="00F1215A"/>
    <w:rsid w:val="00F12B55"/>
    <w:rsid w:val="00F139F5"/>
    <w:rsid w:val="00F147F0"/>
    <w:rsid w:val="00F15DC6"/>
    <w:rsid w:val="00F16418"/>
    <w:rsid w:val="00F17114"/>
    <w:rsid w:val="00F21A7A"/>
    <w:rsid w:val="00F2264E"/>
    <w:rsid w:val="00F22E3E"/>
    <w:rsid w:val="00F23244"/>
    <w:rsid w:val="00F236E0"/>
    <w:rsid w:val="00F23954"/>
    <w:rsid w:val="00F24AC9"/>
    <w:rsid w:val="00F24CCD"/>
    <w:rsid w:val="00F25D74"/>
    <w:rsid w:val="00F27566"/>
    <w:rsid w:val="00F30015"/>
    <w:rsid w:val="00F31746"/>
    <w:rsid w:val="00F317A2"/>
    <w:rsid w:val="00F317BA"/>
    <w:rsid w:val="00F328F8"/>
    <w:rsid w:val="00F33344"/>
    <w:rsid w:val="00F33A2D"/>
    <w:rsid w:val="00F34C49"/>
    <w:rsid w:val="00F354F8"/>
    <w:rsid w:val="00F35D67"/>
    <w:rsid w:val="00F368D1"/>
    <w:rsid w:val="00F36E60"/>
    <w:rsid w:val="00F370A5"/>
    <w:rsid w:val="00F3745E"/>
    <w:rsid w:val="00F41DC0"/>
    <w:rsid w:val="00F420B8"/>
    <w:rsid w:val="00F42DDA"/>
    <w:rsid w:val="00F435C1"/>
    <w:rsid w:val="00F43706"/>
    <w:rsid w:val="00F43BD7"/>
    <w:rsid w:val="00F43F0E"/>
    <w:rsid w:val="00F46384"/>
    <w:rsid w:val="00F467E4"/>
    <w:rsid w:val="00F46B24"/>
    <w:rsid w:val="00F46C69"/>
    <w:rsid w:val="00F50955"/>
    <w:rsid w:val="00F52644"/>
    <w:rsid w:val="00F52AC0"/>
    <w:rsid w:val="00F53A8E"/>
    <w:rsid w:val="00F54ADA"/>
    <w:rsid w:val="00F54D96"/>
    <w:rsid w:val="00F5578E"/>
    <w:rsid w:val="00F55FCE"/>
    <w:rsid w:val="00F560CA"/>
    <w:rsid w:val="00F567AE"/>
    <w:rsid w:val="00F60B03"/>
    <w:rsid w:val="00F60F13"/>
    <w:rsid w:val="00F61802"/>
    <w:rsid w:val="00F61B7A"/>
    <w:rsid w:val="00F61F63"/>
    <w:rsid w:val="00F61FCD"/>
    <w:rsid w:val="00F622E7"/>
    <w:rsid w:val="00F6281A"/>
    <w:rsid w:val="00F628BF"/>
    <w:rsid w:val="00F62B10"/>
    <w:rsid w:val="00F644CF"/>
    <w:rsid w:val="00F65217"/>
    <w:rsid w:val="00F657F2"/>
    <w:rsid w:val="00F7096E"/>
    <w:rsid w:val="00F70FE7"/>
    <w:rsid w:val="00F714E8"/>
    <w:rsid w:val="00F72A4E"/>
    <w:rsid w:val="00F76ACA"/>
    <w:rsid w:val="00F772FB"/>
    <w:rsid w:val="00F77E54"/>
    <w:rsid w:val="00F80668"/>
    <w:rsid w:val="00F8121C"/>
    <w:rsid w:val="00F81DD3"/>
    <w:rsid w:val="00F81FC3"/>
    <w:rsid w:val="00F83A0D"/>
    <w:rsid w:val="00F84621"/>
    <w:rsid w:val="00F8493C"/>
    <w:rsid w:val="00F84CF7"/>
    <w:rsid w:val="00F85351"/>
    <w:rsid w:val="00F8733E"/>
    <w:rsid w:val="00F90089"/>
    <w:rsid w:val="00F90214"/>
    <w:rsid w:val="00F9047B"/>
    <w:rsid w:val="00F90864"/>
    <w:rsid w:val="00F90FDA"/>
    <w:rsid w:val="00F91ECF"/>
    <w:rsid w:val="00F92574"/>
    <w:rsid w:val="00F93001"/>
    <w:rsid w:val="00F93B7E"/>
    <w:rsid w:val="00F94D58"/>
    <w:rsid w:val="00F9556E"/>
    <w:rsid w:val="00FA0071"/>
    <w:rsid w:val="00FA0C50"/>
    <w:rsid w:val="00FA0FB2"/>
    <w:rsid w:val="00FA2B9C"/>
    <w:rsid w:val="00FA2EA6"/>
    <w:rsid w:val="00FA3016"/>
    <w:rsid w:val="00FA42C0"/>
    <w:rsid w:val="00FA431E"/>
    <w:rsid w:val="00FA474C"/>
    <w:rsid w:val="00FA5578"/>
    <w:rsid w:val="00FA568E"/>
    <w:rsid w:val="00FA6A98"/>
    <w:rsid w:val="00FA6ACE"/>
    <w:rsid w:val="00FA6CDB"/>
    <w:rsid w:val="00FB0CCA"/>
    <w:rsid w:val="00FB12CC"/>
    <w:rsid w:val="00FB150A"/>
    <w:rsid w:val="00FB1633"/>
    <w:rsid w:val="00FB16FE"/>
    <w:rsid w:val="00FB23B6"/>
    <w:rsid w:val="00FB26B8"/>
    <w:rsid w:val="00FB29C4"/>
    <w:rsid w:val="00FB440A"/>
    <w:rsid w:val="00FB4444"/>
    <w:rsid w:val="00FB444E"/>
    <w:rsid w:val="00FB4C27"/>
    <w:rsid w:val="00FB4C3E"/>
    <w:rsid w:val="00FB5212"/>
    <w:rsid w:val="00FB5F82"/>
    <w:rsid w:val="00FB6D98"/>
    <w:rsid w:val="00FC0427"/>
    <w:rsid w:val="00FC0A8E"/>
    <w:rsid w:val="00FC1D1C"/>
    <w:rsid w:val="00FC25A0"/>
    <w:rsid w:val="00FC2BF6"/>
    <w:rsid w:val="00FC4B8D"/>
    <w:rsid w:val="00FC51D8"/>
    <w:rsid w:val="00FC5E37"/>
    <w:rsid w:val="00FC5FA8"/>
    <w:rsid w:val="00FC664E"/>
    <w:rsid w:val="00FC676A"/>
    <w:rsid w:val="00FC67C7"/>
    <w:rsid w:val="00FC7DC1"/>
    <w:rsid w:val="00FD0EFE"/>
    <w:rsid w:val="00FD18ED"/>
    <w:rsid w:val="00FD1BA0"/>
    <w:rsid w:val="00FD1D28"/>
    <w:rsid w:val="00FD1EC9"/>
    <w:rsid w:val="00FD284A"/>
    <w:rsid w:val="00FD2AEB"/>
    <w:rsid w:val="00FD2ED9"/>
    <w:rsid w:val="00FD2F1A"/>
    <w:rsid w:val="00FD46D5"/>
    <w:rsid w:val="00FD488E"/>
    <w:rsid w:val="00FD5D35"/>
    <w:rsid w:val="00FD67D8"/>
    <w:rsid w:val="00FD7428"/>
    <w:rsid w:val="00FE133D"/>
    <w:rsid w:val="00FE1601"/>
    <w:rsid w:val="00FE1843"/>
    <w:rsid w:val="00FE23F6"/>
    <w:rsid w:val="00FE25BE"/>
    <w:rsid w:val="00FE26DF"/>
    <w:rsid w:val="00FE27FB"/>
    <w:rsid w:val="00FE2B47"/>
    <w:rsid w:val="00FE32AF"/>
    <w:rsid w:val="00FE33B2"/>
    <w:rsid w:val="00FE3F50"/>
    <w:rsid w:val="00FE4832"/>
    <w:rsid w:val="00FE4F54"/>
    <w:rsid w:val="00FF0110"/>
    <w:rsid w:val="00FF01CD"/>
    <w:rsid w:val="00FF09C5"/>
    <w:rsid w:val="00FF0D9D"/>
    <w:rsid w:val="00FF1A89"/>
    <w:rsid w:val="00FF1D63"/>
    <w:rsid w:val="00FF25E6"/>
    <w:rsid w:val="00FF28EA"/>
    <w:rsid w:val="00FF4669"/>
    <w:rsid w:val="00FF7B32"/>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7AE79785-F914-4269-BCC1-E0DB330BF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pt-P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763"/>
    <w:pPr>
      <w:ind w:left="720"/>
      <w:contextualSpacing/>
    </w:pPr>
    <w:rPr>
      <w:rFonts w:ascii="Trebuchet MS" w:hAnsi="Trebuchet MS"/>
      <w:sz w:val="24"/>
    </w:rPr>
  </w:style>
  <w:style w:type="paragraph" w:styleId="BalloonText">
    <w:name w:val="Balloon Text"/>
    <w:basedOn w:val="Normal"/>
    <w:link w:val="BalloonTextChar"/>
    <w:uiPriority w:val="99"/>
    <w:semiHidden/>
    <w:unhideWhenUsed/>
    <w:rsid w:val="004F24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422"/>
    <w:rPr>
      <w:rFonts w:ascii="Tahoma" w:hAnsi="Tahoma" w:cs="Tahoma"/>
      <w:sz w:val="16"/>
      <w:szCs w:val="16"/>
    </w:rPr>
  </w:style>
  <w:style w:type="character" w:styleId="CommentReference">
    <w:name w:val="annotation reference"/>
    <w:basedOn w:val="DefaultParagraphFont"/>
    <w:uiPriority w:val="99"/>
    <w:semiHidden/>
    <w:unhideWhenUsed/>
    <w:rsid w:val="004F2422"/>
    <w:rPr>
      <w:sz w:val="16"/>
      <w:szCs w:val="16"/>
    </w:rPr>
  </w:style>
  <w:style w:type="paragraph" w:styleId="CommentText">
    <w:name w:val="annotation text"/>
    <w:basedOn w:val="Normal"/>
    <w:link w:val="CommentTextChar"/>
    <w:uiPriority w:val="99"/>
    <w:unhideWhenUsed/>
    <w:rsid w:val="004F2422"/>
    <w:pPr>
      <w:spacing w:line="240" w:lineRule="auto"/>
    </w:pPr>
    <w:rPr>
      <w:sz w:val="20"/>
      <w:szCs w:val="20"/>
    </w:rPr>
  </w:style>
  <w:style w:type="character" w:customStyle="1" w:styleId="CommentTextChar">
    <w:name w:val="Comment Text Char"/>
    <w:basedOn w:val="DefaultParagraphFont"/>
    <w:link w:val="CommentText"/>
    <w:uiPriority w:val="99"/>
    <w:rsid w:val="004F2422"/>
    <w:rPr>
      <w:sz w:val="20"/>
      <w:szCs w:val="20"/>
    </w:rPr>
  </w:style>
  <w:style w:type="paragraph" w:styleId="CommentSubject">
    <w:name w:val="annotation subject"/>
    <w:basedOn w:val="CommentText"/>
    <w:next w:val="CommentText"/>
    <w:link w:val="CommentSubjectChar"/>
    <w:uiPriority w:val="99"/>
    <w:semiHidden/>
    <w:unhideWhenUsed/>
    <w:rsid w:val="004F2422"/>
    <w:rPr>
      <w:b/>
      <w:bCs/>
    </w:rPr>
  </w:style>
  <w:style w:type="character" w:customStyle="1" w:styleId="CommentSubjectChar">
    <w:name w:val="Comment Subject Char"/>
    <w:basedOn w:val="CommentTextChar"/>
    <w:link w:val="CommentSubject"/>
    <w:uiPriority w:val="99"/>
    <w:semiHidden/>
    <w:rsid w:val="004F2422"/>
    <w:rPr>
      <w:b/>
      <w:bCs/>
      <w:sz w:val="20"/>
      <w:szCs w:val="20"/>
    </w:rPr>
  </w:style>
  <w:style w:type="paragraph" w:customStyle="1" w:styleId="CM1">
    <w:name w:val="CM1"/>
    <w:basedOn w:val="Normal"/>
    <w:next w:val="Normal"/>
    <w:uiPriority w:val="99"/>
    <w:rsid w:val="00D80473"/>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rsid w:val="00D80473"/>
    <w:pPr>
      <w:autoSpaceDE w:val="0"/>
      <w:autoSpaceDN w:val="0"/>
      <w:adjustRightInd w:val="0"/>
      <w:spacing w:after="0" w:line="240" w:lineRule="auto"/>
    </w:pPr>
    <w:rPr>
      <w:rFonts w:ascii="EUAlbertina" w:hAnsi="EUAlbertina"/>
      <w:sz w:val="24"/>
      <w:szCs w:val="24"/>
    </w:rPr>
  </w:style>
  <w:style w:type="paragraph" w:customStyle="1" w:styleId="CM4">
    <w:name w:val="CM4"/>
    <w:basedOn w:val="Normal"/>
    <w:next w:val="Normal"/>
    <w:uiPriority w:val="99"/>
    <w:rsid w:val="00D80473"/>
    <w:pPr>
      <w:autoSpaceDE w:val="0"/>
      <w:autoSpaceDN w:val="0"/>
      <w:adjustRightInd w:val="0"/>
      <w:spacing w:after="0" w:line="240" w:lineRule="auto"/>
    </w:pPr>
    <w:rPr>
      <w:rFonts w:ascii="EUAlbertina" w:hAnsi="EUAlbertina"/>
      <w:sz w:val="24"/>
      <w:szCs w:val="24"/>
    </w:rPr>
  </w:style>
  <w:style w:type="paragraph" w:styleId="Header">
    <w:name w:val="header"/>
    <w:basedOn w:val="Normal"/>
    <w:link w:val="HeaderChar"/>
    <w:uiPriority w:val="99"/>
    <w:unhideWhenUsed/>
    <w:rsid w:val="006958C9"/>
    <w:pPr>
      <w:tabs>
        <w:tab w:val="center" w:pos="4252"/>
        <w:tab w:val="right" w:pos="8504"/>
      </w:tabs>
      <w:spacing w:after="0" w:line="240" w:lineRule="auto"/>
    </w:pPr>
  </w:style>
  <w:style w:type="character" w:customStyle="1" w:styleId="HeaderChar">
    <w:name w:val="Header Char"/>
    <w:basedOn w:val="DefaultParagraphFont"/>
    <w:link w:val="Header"/>
    <w:uiPriority w:val="99"/>
    <w:rsid w:val="006958C9"/>
  </w:style>
  <w:style w:type="paragraph" w:styleId="Footer">
    <w:name w:val="footer"/>
    <w:basedOn w:val="Normal"/>
    <w:link w:val="FooterChar"/>
    <w:uiPriority w:val="99"/>
    <w:unhideWhenUsed/>
    <w:rsid w:val="006958C9"/>
    <w:pPr>
      <w:tabs>
        <w:tab w:val="center" w:pos="4252"/>
        <w:tab w:val="right" w:pos="8504"/>
      </w:tabs>
      <w:spacing w:after="0" w:line="240" w:lineRule="auto"/>
    </w:pPr>
  </w:style>
  <w:style w:type="character" w:customStyle="1" w:styleId="FooterChar">
    <w:name w:val="Footer Char"/>
    <w:basedOn w:val="DefaultParagraphFont"/>
    <w:link w:val="Footer"/>
    <w:uiPriority w:val="99"/>
    <w:rsid w:val="006958C9"/>
  </w:style>
  <w:style w:type="paragraph" w:styleId="Revision">
    <w:name w:val="Revision"/>
    <w:hidden/>
    <w:uiPriority w:val="99"/>
    <w:semiHidden/>
    <w:rsid w:val="004F466B"/>
    <w:pPr>
      <w:spacing w:after="0" w:line="240" w:lineRule="auto"/>
    </w:pPr>
  </w:style>
  <w:style w:type="table" w:styleId="TableGrid">
    <w:name w:val="Table Grid"/>
    <w:basedOn w:val="TableNormal"/>
    <w:uiPriority w:val="59"/>
    <w:rsid w:val="007A7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D24A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24AFC"/>
    <w:rPr>
      <w:sz w:val="20"/>
      <w:szCs w:val="20"/>
    </w:rPr>
  </w:style>
  <w:style w:type="character" w:styleId="EndnoteReference">
    <w:name w:val="endnote reference"/>
    <w:basedOn w:val="DefaultParagraphFont"/>
    <w:uiPriority w:val="99"/>
    <w:semiHidden/>
    <w:unhideWhenUsed/>
    <w:rsid w:val="00D24AFC"/>
    <w:rPr>
      <w:vertAlign w:val="superscript"/>
    </w:rPr>
  </w:style>
  <w:style w:type="character" w:styleId="PlaceholderText">
    <w:name w:val="Placeholder Text"/>
    <w:basedOn w:val="DefaultParagraphFont"/>
    <w:uiPriority w:val="99"/>
    <w:semiHidden/>
    <w:rsid w:val="00FB4C3E"/>
    <w:rPr>
      <w:color w:val="808080"/>
    </w:rPr>
  </w:style>
  <w:style w:type="paragraph" w:styleId="NormalWeb">
    <w:name w:val="Normal (Web)"/>
    <w:basedOn w:val="Normal"/>
    <w:uiPriority w:val="99"/>
    <w:semiHidden/>
    <w:unhideWhenUsed/>
    <w:rsid w:val="009B16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015606">
      <w:bodyDiv w:val="1"/>
      <w:marLeft w:val="0"/>
      <w:marRight w:val="0"/>
      <w:marTop w:val="0"/>
      <w:marBottom w:val="0"/>
      <w:divBdr>
        <w:top w:val="none" w:sz="0" w:space="0" w:color="auto"/>
        <w:left w:val="none" w:sz="0" w:space="0" w:color="auto"/>
        <w:bottom w:val="none" w:sz="0" w:space="0" w:color="auto"/>
        <w:right w:val="none" w:sz="0" w:space="0" w:color="auto"/>
      </w:divBdr>
    </w:div>
    <w:div w:id="709720629">
      <w:bodyDiv w:val="1"/>
      <w:marLeft w:val="0"/>
      <w:marRight w:val="0"/>
      <w:marTop w:val="0"/>
      <w:marBottom w:val="0"/>
      <w:divBdr>
        <w:top w:val="none" w:sz="0" w:space="0" w:color="auto"/>
        <w:left w:val="none" w:sz="0" w:space="0" w:color="auto"/>
        <w:bottom w:val="none" w:sz="0" w:space="0" w:color="auto"/>
        <w:right w:val="none" w:sz="0" w:space="0" w:color="auto"/>
      </w:divBdr>
    </w:div>
    <w:div w:id="213216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9BD0D1E242BD84DAD06714739C3A1A0" ma:contentTypeVersion="4" ma:contentTypeDescription="Create a new document." ma:contentTypeScope="" ma:versionID="055346d4cc01b5ef665334b30b81b799">
  <xsd:schema xmlns:xsd="http://www.w3.org/2001/XMLSchema" xmlns:xs="http://www.w3.org/2001/XMLSchema" xmlns:p="http://schemas.microsoft.com/office/2006/metadata/properties" xmlns:ns2="716b16a7-de2f-47cc-9eaa-991bdb9199e1" targetNamespace="http://schemas.microsoft.com/office/2006/metadata/properties" ma:root="true" ma:fieldsID="8e9f0b2ccab4fb9ae99fd794bcfb2110" ns2:_="">
    <xsd:import namespace="716b16a7-de2f-47cc-9eaa-991bdb9199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b16a7-de2f-47cc-9eaa-991bdb9199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6b16a7-de2f-47cc-9eaa-991bdb9199e1">IPQDOC-510-63045</_dlc_DocId>
    <_dlc_DocIdUrl xmlns="716b16a7-de2f-47cc-9eaa-991bdb9199e1">
      <Url>http://intranet.ipq.local:9999/DAESPQ/_layouts/DocIdRedir.aspx?ID=IPQDOC-510-63045</Url>
      <Description>IPQDOC-510-63045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C7694-F32A-4FBB-B6CC-4530EBC4D61C}">
  <ds:schemaRefs>
    <ds:schemaRef ds:uri="http://schemas.microsoft.com/sharepoint/events"/>
  </ds:schemaRefs>
</ds:datastoreItem>
</file>

<file path=customXml/itemProps2.xml><?xml version="1.0" encoding="utf-8"?>
<ds:datastoreItem xmlns:ds="http://schemas.openxmlformats.org/officeDocument/2006/customXml" ds:itemID="{5EBC9D3A-60B3-463E-98C2-C4937E624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b16a7-de2f-47cc-9eaa-991bdb919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1D000D-158C-4D44-8D3E-CB379BCE756A}">
  <ds:schemaRefs>
    <ds:schemaRef ds:uri="http://schemas.microsoft.com/office/2006/metadata/properties"/>
    <ds:schemaRef ds:uri="http://schemas.microsoft.com/office/infopath/2007/PartnerControls"/>
    <ds:schemaRef ds:uri="716b16a7-de2f-47cc-9eaa-991bdb9199e1"/>
  </ds:schemaRefs>
</ds:datastoreItem>
</file>

<file path=customXml/itemProps4.xml><?xml version="1.0" encoding="utf-8"?>
<ds:datastoreItem xmlns:ds="http://schemas.openxmlformats.org/officeDocument/2006/customXml" ds:itemID="{D355C202-A0AF-4809-9E70-C928BB15756B}">
  <ds:schemaRefs>
    <ds:schemaRef ds:uri="http://schemas.microsoft.com/sharepoint/v3/contenttype/forms"/>
  </ds:schemaRefs>
</ds:datastoreItem>
</file>

<file path=customXml/itemProps5.xml><?xml version="1.0" encoding="utf-8"?>
<ds:datastoreItem xmlns:ds="http://schemas.openxmlformats.org/officeDocument/2006/customXml" ds:itemID="{9AD8DF56-B6BB-40FA-9D49-11B6F9CF5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10773</Words>
  <Characters>61412</Characters>
  <Application>Microsoft Office Word</Application>
  <DocSecurity>0</DocSecurity>
  <Lines>511</Lines>
  <Paragraphs>144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euroscript Deutschland GmbH</Company>
  <LinksUpToDate>false</LinksUpToDate>
  <CharactersWithSpaces>72041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Inês Judas</dc:creator>
  <cp:lastModifiedBy>Ke, Tingting</cp:lastModifiedBy>
  <cp:revision>8</cp:revision>
  <cp:lastPrinted>2017-11-23T14:14:00Z</cp:lastPrinted>
  <dcterms:created xsi:type="dcterms:W3CDTF">2018-05-29T06:56:00Z</dcterms:created>
  <dcterms:modified xsi:type="dcterms:W3CDTF">2018-06-15T13:37:00Z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23ba0c18-09da-4ee1-8a71-84bbc137f74c</vt:lpwstr>
  </property>
  <property fmtid="{D5CDD505-2E9C-101B-9397-08002B2CF9AE}" pid="3" name="ContentTypeId">
    <vt:lpwstr>0x01010029BD0D1E242BD84DAD06714739C3A1A0</vt:lpwstr>
  </property>
</Properties>
</file>