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14AD1" w14:textId="77777777" w:rsidR="00694BF3" w:rsidRDefault="00694BF3" w:rsidP="00F54ECB">
      <w:pPr>
        <w:jc w:val="both"/>
      </w:pPr>
    </w:p>
    <w:p w14:paraId="3A200FF0" w14:textId="77777777" w:rsidR="009C128D" w:rsidRDefault="009C128D" w:rsidP="00F54ECB">
      <w:pPr>
        <w:jc w:val="both"/>
      </w:pPr>
    </w:p>
    <w:p w14:paraId="7B10461F" w14:textId="77777777" w:rsidR="009C128D" w:rsidRDefault="009C128D" w:rsidP="00F54ECB">
      <w:pPr>
        <w:jc w:val="both"/>
        <w:rPr>
          <w:color w:val="000000"/>
          <w:rFonts w:ascii="Arial" w:hAnsi="Arial" w:cs="Arial"/>
        </w:rPr>
      </w:pPr>
      <w:r>
        <w:rPr>
          <w:color w:val="000000"/>
          <w:rFonts w:ascii="Arial" w:hAnsi="Arial"/>
        </w:rPr>
        <w:t xml:space="preserve">Proiectul de lege de consolidare a respectării principiilor Republicii</w:t>
      </w:r>
    </w:p>
    <w:p w14:paraId="3A5F0E98" w14:textId="77777777" w:rsidR="009C128D" w:rsidRDefault="009C128D" w:rsidP="00F54ECB">
      <w:pPr>
        <w:jc w:val="both"/>
        <w:rPr>
          <w:rFonts w:ascii="Arial" w:hAnsi="Arial" w:cs="Arial"/>
          <w:color w:val="000000"/>
        </w:rPr>
      </w:pPr>
    </w:p>
    <w:p w14:paraId="6BBFB675" w14:textId="77777777" w:rsidR="009C128D" w:rsidRDefault="009C128D" w:rsidP="00F54ECB">
      <w:pPr>
        <w:jc w:val="both"/>
        <w:rPr>
          <w:rFonts w:ascii="Arial" w:hAnsi="Arial" w:cs="Arial"/>
          <w:color w:val="000000"/>
        </w:rPr>
      </w:pPr>
    </w:p>
    <w:p w14:paraId="34C78D28" w14:textId="77777777" w:rsidR="009C128D" w:rsidRDefault="009C128D" w:rsidP="00F54ECB">
      <w:pPr>
        <w:autoSpaceDE w:val="0"/>
        <w:autoSpaceDN w:val="0"/>
        <w:adjustRightInd w:val="0"/>
        <w:spacing w:after="0" w:line="240" w:lineRule="auto"/>
        <w:jc w:val="both"/>
        <w:rPr>
          <w:b/>
          <w:bCs/>
          <w:sz w:val="21"/>
          <w:szCs w:val="21"/>
          <w:rFonts w:ascii="Times-Bold" w:hAnsi="Times-Bold" w:cs="Times-Bold"/>
        </w:rPr>
      </w:pPr>
      <w:r>
        <w:rPr>
          <w:b/>
          <w:sz w:val="21"/>
          <w:rFonts w:ascii="Times-Bold" w:hAnsi="Times-Bold"/>
        </w:rPr>
        <w:t xml:space="preserve">Articolul 19</w:t>
      </w:r>
    </w:p>
    <w:p w14:paraId="667F0BAC"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32EFC503" w14:textId="77777777"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Capitolul II din Titlul I al Legii nr. 2004-575 din 21 iunie 2004 privind încrederea în economia digitală se modifică după cum urmează:</w:t>
      </w:r>
    </w:p>
    <w:p w14:paraId="3365E3C6"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66DFFB0B" w14:textId="77777777" w:rsidR="001048BC" w:rsidRDefault="0001397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La începutul articolului 6 alineatul (I) punctul 8, cuvintele:</w:t>
      </w:r>
      <w:r>
        <w:rPr>
          <w:sz w:val="21"/>
          <w:rFonts w:ascii="Times-Roman" w:hAnsi="Times-Roman"/>
        </w:rPr>
        <w:t xml:space="preserve"> </w:t>
      </w:r>
      <w:r>
        <w:rPr>
          <w:sz w:val="21"/>
          <w:rFonts w:ascii="Times-Roman" w:hAnsi="Times-Roman"/>
        </w:rPr>
        <w:t xml:space="preserve">„Autoritatea judiciară poate impune ca măsură provizorie sau la cerere oricărei persoane menționate la punctul 2 sau, în lipsa acesteia, oricărei persoane menționate la punctul 1,” se înlocuiesc cu următorul text:</w:t>
      </w:r>
      <w:r>
        <w:rPr>
          <w:sz w:val="21"/>
          <w:rFonts w:ascii="Times-Roman" w:hAnsi="Times-Roman"/>
        </w:rPr>
        <w:t xml:space="preserve"> </w:t>
      </w:r>
      <w:r>
        <w:rPr>
          <w:sz w:val="21"/>
          <w:rFonts w:ascii="Times-Roman" w:hAnsi="Times-Roman"/>
        </w:rPr>
        <w:t xml:space="preserve">„Președintele instanței, în conformitate cu procedura accelerată pe fond, poate impune oricărei persoane susceptibile să contribuie la aceasta”;</w:t>
      </w:r>
      <w:r>
        <w:rPr>
          <w:sz w:val="21"/>
          <w:rFonts w:ascii="Times-Roman" w:hAnsi="Times-Roman"/>
        </w:rPr>
        <w:t xml:space="preserve"> </w:t>
      </w:r>
    </w:p>
    <w:p w14:paraId="39AEC637" w14:textId="77777777" w:rsidR="00742738" w:rsidRDefault="00742738" w:rsidP="00F54ECB">
      <w:pPr>
        <w:autoSpaceDE w:val="0"/>
        <w:autoSpaceDN w:val="0"/>
        <w:adjustRightInd w:val="0"/>
        <w:spacing w:after="0" w:line="240" w:lineRule="auto"/>
        <w:jc w:val="both"/>
        <w:rPr>
          <w:rFonts w:ascii="Times-Roman" w:hAnsi="Times-Roman" w:cs="Times-Roman"/>
          <w:sz w:val="21"/>
          <w:szCs w:val="21"/>
        </w:rPr>
      </w:pPr>
    </w:p>
    <w:p w14:paraId="00F6F112" w14:textId="77777777"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După articolul 6-2, astfel cum a fost modificat prin Legea nr. 2020-1266 din 19 octombrie 2020, care vizează reglementarea exploatării comerciale a imaginii copiilor sub șaisprezece ani pe platformele online, se introduc articolele 6-3 și 6-4 după cum urmează:</w:t>
      </w:r>
    </w:p>
    <w:p w14:paraId="1C8ADEC9"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1691950C"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w:t>
      </w:r>
      <w:r>
        <w:rPr>
          <w:sz w:val="21"/>
          <w:i/>
          <w:iCs/>
        </w:rPr>
        <w:t xml:space="preserve">Articolul 6-4.</w:t>
      </w:r>
      <w:r>
        <w:rPr>
          <w:sz w:val="21"/>
          <w:i/>
          <w:rFonts w:ascii="Times-Italic" w:hAnsi="Times-Italic"/>
        </w:rPr>
        <w:t xml:space="preserve"> </w:t>
      </w:r>
      <w:r>
        <w:rPr>
          <w:sz w:val="21"/>
          <w:rFonts w:ascii="Times-Roman" w:hAnsi="Times-Roman"/>
        </w:rPr>
        <w:t xml:space="preserve">— În cazul în care o hotărâre judecătorească executorie a dispus orice măsură de prevenire a accesului la un serviciu public de comunicații online al cărui conținut se încadrează în infracțiunile prevăzute la articolul 6 alineatul (I) punctul 7, autoritatea administrativă, în cazul în care i se va solicita de către orice persoană interesată, poate cere oricărei persoane susceptibile să contribuie la aceasta și pentru o perioadă care să nu depășească restul duratei măsurilor dispuse prin prezenta hotărârea judecătorească, să împiedice accesul la orice serviciu public de comunicații online care încorporează conținutul, integral sau parțial, al site-ului.</w:t>
      </w:r>
    </w:p>
    <w:p w14:paraId="6A0FAC09"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7647C014"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 aceleași condiții, autoritatea administrativă poate solicita, de asemenea, oricărui operator al unui motor de căutare, al unui director sau al unui alt serviciu de referință să înceteze corelarea adreselor web care oferă acces publicului la astfel de servicii de comunicații online.</w:t>
      </w:r>
    </w:p>
    <w:p w14:paraId="39A0A984"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6393F64E"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Autoritatea administrativă actualizează lista serviciilor de comunicații online menționate la primul paragraf din prezentul articol, care au făcut obiectul unei cereri de blocare a accesului în temeiul aceluiași prim paragraf, precum și a adreselor web care oferă acces la astfel de servicii și pune lista respectivă la dispoziția difuzorilor de publicitate, a agenților acestora și a serviciilor menționate la articolul 299 alineatul (II) punctul 2 din Codul fiscal general.</w:t>
      </w:r>
      <w:r>
        <w:rPr>
          <w:sz w:val="21"/>
          <w:rFonts w:ascii="Times-Roman" w:hAnsi="Times-Roman"/>
        </w:rPr>
        <w:t xml:space="preserve"> </w:t>
      </w:r>
      <w:r>
        <w:rPr>
          <w:sz w:val="21"/>
          <w:rFonts w:ascii="Times-Roman" w:hAnsi="Times-Roman"/>
        </w:rPr>
        <w:t xml:space="preserve">Aceste servicii sunt incluse în prezenta listă pentru restul duratei măsurilor dispuse de autoritatea judecătorească.</w:t>
      </w:r>
    </w:p>
    <w:p w14:paraId="3E5D07DF"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1203C151"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 cazul în care aceste servicii nu au fost blocate sau amânate în conformitate cu prezentul articol, președintele instanței, în conformitate cu procedura accelerată pe fond, poate impune orice măsură menită să pună capăt accesului la conținutul acestor servicii.”</w:t>
      </w:r>
      <w:r>
        <w:rPr>
          <w:sz w:val="21"/>
          <w:rFonts w:ascii="Times-Roman" w:hAnsi="Times-Roman"/>
        </w:rPr>
        <w:t xml:space="preserve"> </w:t>
      </w:r>
    </w:p>
    <w:p w14:paraId="351C08F5" w14:textId="77777777" w:rsidR="00317039" w:rsidRDefault="00317039" w:rsidP="00F54ECB">
      <w:pPr>
        <w:autoSpaceDE w:val="0"/>
        <w:autoSpaceDN w:val="0"/>
        <w:adjustRightInd w:val="0"/>
        <w:spacing w:after="0" w:line="240" w:lineRule="auto"/>
        <w:jc w:val="both"/>
        <w:rPr>
          <w:rFonts w:ascii="Times-Bold" w:hAnsi="Times-Bold" w:cs="Times-Bold"/>
          <w:b/>
          <w:bCs/>
          <w:sz w:val="21"/>
          <w:szCs w:val="21"/>
        </w:rPr>
      </w:pPr>
    </w:p>
    <w:p w14:paraId="0F907241" w14:textId="77777777" w:rsidR="001048BC" w:rsidRDefault="001048BC" w:rsidP="00F54ECB">
      <w:pPr>
        <w:autoSpaceDE w:val="0"/>
        <w:autoSpaceDN w:val="0"/>
        <w:adjustRightInd w:val="0"/>
        <w:spacing w:after="0" w:line="240" w:lineRule="auto"/>
        <w:jc w:val="both"/>
        <w:rPr>
          <w:rFonts w:ascii="Times-Bold" w:hAnsi="Times-Bold" w:cs="Times-Bold"/>
          <w:b/>
          <w:bCs/>
          <w:sz w:val="21"/>
          <w:szCs w:val="21"/>
        </w:rPr>
      </w:pPr>
    </w:p>
    <w:p w14:paraId="337BD386" w14:textId="77777777"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sz w:val="21"/>
          <w:rFonts w:ascii="Times-Bold" w:hAnsi="Times-Bold"/>
        </w:rPr>
        <w:t xml:space="preserve">Articolul 19 </w:t>
      </w:r>
      <w:r>
        <w:rPr>
          <w:b/>
          <w:sz w:val="21"/>
          <w:i/>
          <w:rFonts w:ascii="Times-BoldItalic" w:hAnsi="Times-BoldItalic"/>
        </w:rPr>
        <w:t xml:space="preserve">bis (nou)</w:t>
      </w:r>
    </w:p>
    <w:p w14:paraId="306E8017"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1A34C5FA"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 – Capitolul II din Titlul I din Legea nr. 2004-575 din 21 iunie 2004 privind încrederea în economia digitală se modifică după cum urmează:</w:t>
      </w:r>
    </w:p>
    <w:p w14:paraId="759BD691"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76837534"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Articolul 6 alineatul (I) punctele 7 și 4 se modifică după cum urmează:</w:t>
      </w:r>
    </w:p>
    <w:p w14:paraId="2C3447E6" w14:textId="77777777" w:rsidR="004E021A" w:rsidRDefault="004E021A" w:rsidP="00F54ECB">
      <w:pPr>
        <w:autoSpaceDE w:val="0"/>
        <w:autoSpaceDN w:val="0"/>
        <w:adjustRightInd w:val="0"/>
        <w:spacing w:after="0" w:line="240" w:lineRule="auto"/>
        <w:jc w:val="both"/>
        <w:rPr>
          <w:rFonts w:ascii="Times-Italic" w:hAnsi="Times-Italic" w:cs="Times-Italic"/>
          <w:i/>
          <w:iCs/>
          <w:sz w:val="21"/>
          <w:szCs w:val="21"/>
        </w:rPr>
      </w:pPr>
    </w:p>
    <w:p w14:paraId="6CB70DB5"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a)</w:t>
      </w:r>
      <w:r>
        <w:rPr>
          <w:sz w:val="21"/>
        </w:rPr>
        <w:t xml:space="preserve"> Prima teză se completează cu cuvintele:</w:t>
      </w:r>
      <w:r>
        <w:rPr>
          <w:sz w:val="21"/>
          <w:rFonts w:ascii="Times-Roman" w:hAnsi="Times-Roman"/>
        </w:rPr>
        <w:t xml:space="preserve"> </w:t>
      </w:r>
      <w:r>
        <w:rPr>
          <w:sz w:val="21"/>
          <w:rFonts w:ascii="Times-Roman" w:hAnsi="Times-Roman"/>
        </w:rPr>
        <w:t xml:space="preserve">„și să facă publice mijloacele pe care le dedică luptei împotriva activităților ilicite menționate la al treilea paragraf din prezentul articol 7”;</w:t>
      </w:r>
    </w:p>
    <w:p w14:paraId="4595B9B6" w14:textId="77777777" w:rsidR="001048BC" w:rsidRDefault="001048BC" w:rsidP="00F54ECB">
      <w:pPr>
        <w:autoSpaceDE w:val="0"/>
        <w:autoSpaceDN w:val="0"/>
        <w:adjustRightInd w:val="0"/>
        <w:spacing w:after="0" w:line="240" w:lineRule="auto"/>
        <w:jc w:val="both"/>
        <w:rPr>
          <w:rFonts w:ascii="Times-Italic" w:hAnsi="Times-Italic" w:cs="Times-Italic"/>
          <w:i/>
          <w:iCs/>
          <w:sz w:val="21"/>
          <w:szCs w:val="21"/>
        </w:rPr>
      </w:pPr>
    </w:p>
    <w:p w14:paraId="1C0256C2"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b)</w:t>
      </w:r>
      <w:r>
        <w:rPr>
          <w:sz w:val="21"/>
        </w:rPr>
        <w:t xml:space="preserve"> după aceeași primă teză, se introduce următoarea teză:</w:t>
      </w:r>
      <w:r>
        <w:rPr>
          <w:sz w:val="21"/>
          <w:rFonts w:ascii="Times-Roman" w:hAnsi="Times-Roman"/>
        </w:rPr>
        <w:t xml:space="preserve"> </w:t>
      </w:r>
      <w:r>
        <w:rPr>
          <w:sz w:val="21"/>
          <w:rFonts w:ascii="Times-Roman" w:hAnsi="Times-Roman"/>
        </w:rPr>
        <w:t xml:space="preserve">„Aceste obligații nu se aplică operatorilor menționați în primul paragraf al articolului 6-5 în vederea combaterii difuzării conținutului menționat la același prim paragraf.</w:t>
      </w:r>
      <w:r>
        <w:rPr>
          <w:sz w:val="21"/>
          <w:rFonts w:ascii="Times-Roman" w:hAnsi="Times-Roman"/>
        </w:rPr>
        <w:t xml:space="preserve"> </w:t>
      </w:r>
    </w:p>
    <w:p w14:paraId="20C70993"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0EC70F9E"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c)</w:t>
      </w:r>
      <w:r>
        <w:rPr>
          <w:sz w:val="21"/>
        </w:rPr>
        <w:t xml:space="preserve"> A doua teză se modifică după cum urmează:</w:t>
      </w:r>
    </w:p>
    <w:p w14:paraId="05AED141"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1E9E6E93"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la început, cuvântul:</w:t>
      </w:r>
      <w:r>
        <w:rPr>
          <w:sz w:val="21"/>
          <w:rFonts w:ascii="Times-Roman" w:hAnsi="Times-Roman"/>
        </w:rPr>
        <w:t xml:space="preserve"> </w:t>
      </w:r>
      <w:r>
        <w:rPr>
          <w:sz w:val="21"/>
          <w:rFonts w:ascii="Times-Roman" w:hAnsi="Times-Roman"/>
        </w:rPr>
        <w:t xml:space="preserve">„Acestea” se înlocuiesc cu următorul text:</w:t>
      </w:r>
      <w:r>
        <w:rPr>
          <w:sz w:val="21"/>
          <w:rFonts w:ascii="Times-Roman" w:hAnsi="Times-Roman"/>
        </w:rPr>
        <w:t xml:space="preserve"> </w:t>
      </w:r>
      <w:r>
        <w:rPr>
          <w:sz w:val="21"/>
          <w:rFonts w:ascii="Times-Roman" w:hAnsi="Times-Roman"/>
        </w:rPr>
        <w:t xml:space="preserve">„Persoanele menționate la punctele 1 și 2”;</w:t>
      </w:r>
    </w:p>
    <w:p w14:paraId="3F04CD93"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364F67E1"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 cuvintele:</w:t>
      </w:r>
      <w:r>
        <w:rPr>
          <w:sz w:val="21"/>
          <w:rFonts w:ascii="Times-Roman" w:hAnsi="Times-Roman"/>
        </w:rPr>
        <w:t xml:space="preserve"> </w:t>
      </w:r>
      <w:r>
        <w:rPr>
          <w:sz w:val="21"/>
          <w:rFonts w:ascii="Times-Roman" w:hAnsi="Times-Roman"/>
        </w:rPr>
        <w:t xml:space="preserve">„, pe de o parte,” se elimină;</w:t>
      </w:r>
    </w:p>
    <w:p w14:paraId="1F50F6A9"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001375A9"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cuvintele:</w:t>
      </w:r>
      <w:r>
        <w:rPr>
          <w:sz w:val="21"/>
          <w:rFonts w:ascii="Times-Roman" w:hAnsi="Times-Roman"/>
        </w:rPr>
        <w:t xml:space="preserve"> </w:t>
      </w:r>
      <w:r>
        <w:rPr>
          <w:sz w:val="21"/>
          <w:rFonts w:ascii="Times-Roman" w:hAnsi="Times-Roman"/>
        </w:rPr>
        <w:t xml:space="preserve">„din paragraful anterior” se înlocuiesc cu următorul text:</w:t>
      </w:r>
      <w:r>
        <w:rPr>
          <w:sz w:val="21"/>
          <w:rFonts w:ascii="Times-Roman" w:hAnsi="Times-Roman"/>
        </w:rPr>
        <w:t xml:space="preserve"> </w:t>
      </w:r>
      <w:r>
        <w:rPr>
          <w:sz w:val="21"/>
          <w:rFonts w:ascii="Times-Roman" w:hAnsi="Times-Roman"/>
        </w:rPr>
        <w:t xml:space="preserve">„la același al treilea paragraf”;</w:t>
      </w:r>
    </w:p>
    <w:p w14:paraId="059573B8"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51850A79"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după cuvântul:</w:t>
      </w:r>
      <w:r>
        <w:rPr>
          <w:sz w:val="21"/>
          <w:rFonts w:ascii="Times-Roman" w:hAnsi="Times-Roman"/>
        </w:rPr>
        <w:t xml:space="preserve"> </w:t>
      </w:r>
      <w:r>
        <w:rPr>
          <w:sz w:val="21"/>
          <w:rFonts w:ascii="Times-Roman" w:hAnsi="Times-Roman"/>
        </w:rPr>
        <w:t xml:space="preserve">„servicii”, sfârșitul se elimină;</w:t>
      </w:r>
    </w:p>
    <w:p w14:paraId="77EFA707"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3FE7B4D3"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După articolul 6-2, astfel cum a fost modificat prin Legea nr. 2020-1266 sus-menționată din 19 octombrie 2020, se inserează articolul 6-5, după cum urmează: </w:t>
      </w:r>
    </w:p>
    <w:p w14:paraId="3710D11A"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1B32B31B"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w:t>
      </w:r>
      <w:r>
        <w:rPr>
          <w:sz w:val="21"/>
          <w:i/>
          <w:iCs/>
        </w:rPr>
        <w:t xml:space="preserve">Articolul 6-5.</w:t>
      </w:r>
      <w:r>
        <w:rPr>
          <w:sz w:val="21"/>
          <w:i/>
          <w:rFonts w:ascii="Times-Italic" w:hAnsi="Times-Italic"/>
        </w:rPr>
        <w:t xml:space="preserve"> </w:t>
      </w:r>
      <w:r>
        <w:rPr>
          <w:sz w:val="21"/>
        </w:rPr>
        <w:t xml:space="preserve">– Operatorii platformelor online definite la articolul L111-7 din Codul Consumatorilor care oferă publicului un serviciu de comunicații online bazat pe clasificarea, corelarea sau partajarea conținutului plasat online de terți și a căror activitate pe teritoriul francez depășește un prag al numărului de conexiuni stabilit prin decret, indiferent dacă sunt sau nu realizate pe teritoriul francez, contribuie la lupta împotriva difuzării publice de conținut care încalcă prevederile articolului 6 alineatul (I) punctele 7 și 3 din prezenta lege, precum și ale articolului 24 bis și a celor de-al treilea și al patrulea paragraf din articolul 33 din Legea din 29 iulie 1881 privind libertatea presei.</w:t>
      </w:r>
      <w:r>
        <w:rPr>
          <w:sz w:val="21"/>
          <w:rFonts w:ascii="Times-Roman" w:hAnsi="Times-Roman"/>
        </w:rPr>
        <w:t xml:space="preserve"> </w:t>
      </w:r>
      <w:r>
        <w:rPr>
          <w:sz w:val="21"/>
          <w:rFonts w:ascii="Times-Roman" w:hAnsi="Times-Roman"/>
        </w:rPr>
        <w:t xml:space="preserve">În acest sens:</w:t>
      </w:r>
    </w:p>
    <w:p w14:paraId="030DD26D" w14:textId="77777777" w:rsidR="00F54ECB" w:rsidRDefault="00F54ECB" w:rsidP="00196BE6">
      <w:pPr>
        <w:spacing w:after="0"/>
        <w:jc w:val="both"/>
        <w:rPr>
          <w:rFonts w:ascii="Times-Roman" w:hAnsi="Times-Roman" w:cs="Times-Roman"/>
          <w:sz w:val="21"/>
          <w:szCs w:val="21"/>
        </w:rPr>
      </w:pPr>
    </w:p>
    <w:p w14:paraId="444E5B3E" w14:textId="77777777" w:rsidR="00317039" w:rsidRDefault="00317039" w:rsidP="00196BE6">
      <w:pPr>
        <w:spacing w:after="0"/>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Aceștia pun în aplicare proceduri umane și tehnologice proporționale și mijloace care să le permită următoarele:</w:t>
      </w:r>
    </w:p>
    <w:p w14:paraId="0D0F237C" w14:textId="77777777" w:rsidR="001048BC" w:rsidRDefault="001048BC" w:rsidP="00196BE6">
      <w:pPr>
        <w:spacing w:after="0"/>
        <w:jc w:val="both"/>
        <w:rPr>
          <w:rFonts w:ascii="Times-Roman" w:hAnsi="Times-Roman" w:cs="Times-Roman"/>
          <w:sz w:val="21"/>
          <w:szCs w:val="21"/>
        </w:rPr>
      </w:pPr>
    </w:p>
    <w:p w14:paraId="18D0FAE1" w14:textId="77777777" w:rsidR="00317039" w:rsidRPr="004E021A" w:rsidRDefault="001048BC" w:rsidP="00196BE6">
      <w:pPr>
        <w:autoSpaceDE w:val="0"/>
        <w:autoSpaceDN w:val="0"/>
        <w:adjustRightInd w:val="0"/>
        <w:spacing w:after="0" w:line="240" w:lineRule="auto"/>
        <w:jc w:val="both"/>
        <w:rPr>
          <w:sz w:val="21"/>
          <w:szCs w:val="21"/>
          <w:rFonts w:ascii="Times-Roman" w:hAnsi="Times-Roman" w:cs="Times-Roman"/>
        </w:rPr>
      </w:pPr>
      <w:r>
        <w:rPr>
          <w:sz w:val="21"/>
          <w:i/>
          <w:iCs/>
          <w:rFonts w:ascii="Times-Roman" w:hAnsi="Times-Roman"/>
        </w:rPr>
        <w:t xml:space="preserve">a)</w:t>
      </w:r>
      <w:r>
        <w:rPr>
          <w:sz w:val="21"/>
          <w:rFonts w:ascii="Times-Roman" w:hAnsi="Times-Roman"/>
        </w:rPr>
        <w:t xml:space="preserve"> Să informeze, cât mai curând posibil, autoritățile judiciare sau administrative cu privire la acțiunile pe care le-au întreprins ca urmare a acțiunilor în încetare emise de autoritățile respective cu privire la conținutul menționat la primul paragraf al prezentului articol;</w:t>
      </w:r>
    </w:p>
    <w:p w14:paraId="2435515F" w14:textId="77777777" w:rsidR="004E021A" w:rsidRPr="004E021A" w:rsidRDefault="004E021A" w:rsidP="00196BE6">
      <w:pPr>
        <w:spacing w:after="0"/>
        <w:jc w:val="both"/>
        <w:rPr>
          <w:rFonts w:ascii="Times-Roman" w:hAnsi="Times-Roman" w:cs="Times-Roman"/>
          <w:sz w:val="21"/>
          <w:szCs w:val="21"/>
        </w:rPr>
      </w:pPr>
    </w:p>
    <w:p w14:paraId="2C7F75DD"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b)</w:t>
      </w:r>
      <w:r>
        <w:rPr>
          <w:sz w:val="21"/>
        </w:rPr>
        <w:t xml:space="preserve"> Să confirme cu promptitudine primirea în siguranță a cererilor autorităților judiciare sau administrative de comunicare a datelor de care dispun, pentru a permite identificarea utilizatorilor care au încărcat conținutul menționat la același prim paragraf și să informeze autoritățile respective cât mai curând posibil cu privire la acțiunile întreprinse în urma acestor cereri;</w:t>
      </w:r>
    </w:p>
    <w:p w14:paraId="30D97CA6"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228FAC38"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c) </w:t>
      </w:r>
      <w:r>
        <w:rPr>
          <w:sz w:val="21"/>
          <w:rFonts w:ascii="Times-Roman" w:hAnsi="Times-Roman"/>
        </w:rPr>
        <w:t xml:space="preserve">Să păstreze temporar conținutul care le-a fost raportat ca fiind contrar prevederilor menţionate la primul paragraf şi pe care le-au retras sau le-au făcut inaccesibile, în scopul punerii lor la dispoziţia autorităților juridice în scopul cercetării, identificării și urmăririi penale;</w:t>
      </w:r>
      <w:r>
        <w:rPr>
          <w:sz w:val="21"/>
          <w:rFonts w:ascii="Times-Roman" w:hAnsi="Times-Roman"/>
        </w:rPr>
        <w:t xml:space="preserve"> </w:t>
      </w:r>
      <w:r>
        <w:rPr>
          <w:sz w:val="21"/>
          <w:rFonts w:ascii="Times-Roman" w:hAnsi="Times-Roman"/>
        </w:rPr>
        <w:t xml:space="preserve">Durata și condițiile de păstrare a acestui conținut sunt definite printr-un decret al Consiliului de Stat, în urma avizului</w:t>
      </w:r>
    </w:p>
    <w:p w14:paraId="7CCEB7DB"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Comisiei Naționale pentru Tehnologia Informației și Libertăți;</w:t>
      </w:r>
    </w:p>
    <w:p w14:paraId="217052C2"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6D239C3D"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Operatorii vor desemna un punct de contact unic, o persoană fizică responsabilă de comunicarea cu autoritățile publice pentru punerea în aplicare a dispozițiilor prezentului articol, căreia, în special, îi pot fi trimise prin mijloace electronice toate cererile prezentate de Înaltul Consiliu pentru probleme audiovizuale în temeiul articolului 62 din Legea nr. 86-1067 din 30 septembrie 1986 privind libertatea de comunicare.</w:t>
      </w:r>
      <w:r>
        <w:rPr>
          <w:sz w:val="21"/>
          <w:rFonts w:ascii="Times-Roman" w:hAnsi="Times-Roman"/>
        </w:rPr>
        <w:t xml:space="preserve"> </w:t>
      </w:r>
      <w:r>
        <w:rPr>
          <w:sz w:val="21"/>
          <w:rFonts w:ascii="Times-Roman" w:hAnsi="Times-Roman"/>
        </w:rPr>
        <w:t xml:space="preserve">Acest punct unic de contact este responsabil, în special, de primirea cererilor adresate operatorului de către autoritatea judiciară în conformitate cu procedura prevăzută la articolul 6 alineatul (II) din prezenta lege, cu scopul de a asigura prelucrarea promptă a acestora;</w:t>
      </w:r>
    </w:p>
    <w:p w14:paraId="0A2DC01B"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182F8DAC"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Aceștia vor pune la dispoziția publicului, într-un mod ușor accesibil, condițiile generale de utilizare a serviciului pe care îl oferă;</w:t>
      </w:r>
      <w:r>
        <w:rPr>
          <w:sz w:val="21"/>
          <w:rFonts w:ascii="Times-Roman" w:hAnsi="Times-Roman"/>
        </w:rPr>
        <w:t xml:space="preserve"> </w:t>
      </w:r>
      <w:r>
        <w:rPr>
          <w:sz w:val="21"/>
          <w:rFonts w:ascii="Times-Roman" w:hAnsi="Times-Roman"/>
        </w:rPr>
        <w:t xml:space="preserve">ele includ dispoziții care interzic publicarea online a conținutului menționat la primul paragraf din prezentul articol;</w:t>
      </w:r>
      <w:r>
        <w:rPr>
          <w:sz w:val="21"/>
          <w:rFonts w:ascii="Times-Roman" w:hAnsi="Times-Roman"/>
        </w:rPr>
        <w:t xml:space="preserve"> </w:t>
      </w:r>
      <w:r>
        <w:rPr>
          <w:sz w:val="21"/>
          <w:rFonts w:ascii="Times-Roman" w:hAnsi="Times-Roman"/>
        </w:rPr>
        <w:t xml:space="preserve">ele descriu, în termeni clari și preciși, modalitățile lor de moderare menite să detecteze, după caz, identificarea și prelucrarea acestui conținut, detalierea procedurilor și a mijloacelor umane sau automatizate utilizate în acest scop, precum și măsurile pe care le pun în aplicare care afectează disponibilitatea, vizibilitatea și accesibilitatea unui astfel de conținut;</w:t>
      </w:r>
      <w:r>
        <w:rPr>
          <w:sz w:val="21"/>
          <w:rFonts w:ascii="Times-Roman" w:hAnsi="Times-Roman"/>
        </w:rPr>
        <w:t xml:space="preserve"> </w:t>
      </w:r>
      <w:r>
        <w:rPr>
          <w:sz w:val="21"/>
          <w:rFonts w:ascii="Times-Roman" w:hAnsi="Times-Roman"/>
        </w:rPr>
        <w:t xml:space="preserve">ele indică măsurile pe care le pun în aplicare în ceea ce privește utilizatorii care au pus acest conținut la dispoziție online, precum și căile de atac naționale și juridice aflate la dispoziția acestor utilizatori;</w:t>
      </w:r>
    </w:p>
    <w:p w14:paraId="735ACC5C"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7D5ECD32"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w:t>
      </w:r>
      <w:r>
        <w:rPr>
          <w:sz w:val="21"/>
          <w:rFonts w:ascii="Times-Roman" w:hAnsi="Times-Roman"/>
        </w:rPr>
        <w:t xml:space="preserve"> </w:t>
      </w:r>
      <w:r>
        <w:rPr>
          <w:sz w:val="21"/>
          <w:rFonts w:ascii="Times-Roman" w:hAnsi="Times-Roman"/>
        </w:rPr>
        <w:t xml:space="preserve">Operatorii vor informa publicul cu privire la mijloacele utilizate și măsurile adoptate pentru combaterea diseminării către utilizatorii aflați pe teritoriul francez, cu privire la conținutul menționat la primul paragraf prin publicare, în conformitate cu procedurile și la intervalele stabilite de Înaltul Consiliu pentru probleme audiovizuale, cu privire la informațiile și indicatorii cuantificați, definiți de acesta din urmă, privind în special prelucrarea acțiunilor în încetare sau a cererilor de informare din partea autorităților judiciare sau administrative, notificările primite și selectarea măsurilor interne, precum și, în cazul în care se aplică, criteriile pentru selectarea unor părți terțe de încredere, ale căror notificări primesc un tratament prioritar, și condițiile de cooperare cu aceste terțe părți;</w:t>
      </w:r>
    </w:p>
    <w:p w14:paraId="38F2E708"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5995FF16"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5.</w:t>
      </w:r>
      <w:r>
        <w:rPr>
          <w:sz w:val="21"/>
          <w:rFonts w:ascii="Times-Roman" w:hAnsi="Times-Roman"/>
        </w:rPr>
        <w:t xml:space="preserve"> </w:t>
      </w:r>
      <w:r>
        <w:rPr>
          <w:sz w:val="21"/>
          <w:rFonts w:ascii="Times-Roman" w:hAnsi="Times-Roman"/>
        </w:rPr>
        <w:t xml:space="preserve">Operatorii vor pune în aplicare o procedură ușor accesibilă și ușor de utilizat, care va permite oricărei persoane să raporteze, prin mijloace electronice, orice conținut considerat a fi contrar dispozițiilor menționate la primul paragraf, să specifice în mod clar locația sa și motivele pentru care crede că acest conținut ar trebui considerat ilegal și să furnizeze informațiile care permit contactul și raportarea sancțiunilor aplicate în cazul unei notificări necorespunzătoare;</w:t>
      </w:r>
    </w:p>
    <w:p w14:paraId="6A67DF62"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2DF19E20"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6.</w:t>
      </w:r>
      <w:r>
        <w:rPr>
          <w:sz w:val="21"/>
          <w:rFonts w:ascii="Times-Roman" w:hAnsi="Times-Roman"/>
        </w:rPr>
        <w:t xml:space="preserve"> </w:t>
      </w:r>
      <w:r>
        <w:rPr>
          <w:sz w:val="21"/>
          <w:rFonts w:ascii="Times-Roman" w:hAnsi="Times-Roman"/>
        </w:rPr>
        <w:t xml:space="preserve">Operatorii vor pune în aplicare proceduri și mijloace umane și tehnologice proporționale care să le permită:</w:t>
      </w:r>
    </w:p>
    <w:p w14:paraId="294BFE34"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6363DCCB"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a) </w:t>
      </w:r>
      <w:r>
        <w:rPr>
          <w:sz w:val="21"/>
          <w:rFonts w:ascii="Times-Roman" w:hAnsi="Times-Roman"/>
        </w:rPr>
        <w:t xml:space="preserve">Să confirme cu promptitudine primirea în condiţii de siguranţă a notificărilor referitoare la conţinutul menţionat la primul paragraf, sub rezerva informaţiilor necesare pentru a contacta autorul;</w:t>
      </w:r>
    </w:p>
    <w:p w14:paraId="091A31AA"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4CEFF909"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b)</w:t>
      </w:r>
      <w:r>
        <w:rPr>
          <w:sz w:val="21"/>
        </w:rPr>
        <w:t xml:space="preserve"> Să asigure analiza adecvată a acestor notificări în timp util;</w:t>
      </w:r>
    </w:p>
    <w:p w14:paraId="2D31A38A"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645BB3BB"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c) </w:t>
      </w:r>
      <w:r>
        <w:rPr>
          <w:sz w:val="21"/>
          <w:rFonts w:ascii="Times-Roman" w:hAnsi="Times-Roman"/>
        </w:rPr>
        <w:t xml:space="preserve">Să informeze autorul cu privire la acţiunea pe care au luat-o și cu privire la căile de atac interne și juridice disponibile, cu condiţia să dispună de informaţiile necesare pentru a-l contacta;</w:t>
      </w:r>
    </w:p>
    <w:p w14:paraId="2D0AFB87"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196047C8"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d)</w:t>
      </w:r>
      <w:r>
        <w:rPr>
          <w:sz w:val="21"/>
        </w:rPr>
        <w:t xml:space="preserve"> În cazul în care se decide eliminarea conținutului sau împiedicarea accesului la acesta din motive de nerespectare a dispozițiilor menționate la primul paragraf, să informeze utilizatorul care inițiază publicarea, cu condiția să dispună de informațiile necesare pentru a-l contacta, în legătură cu următoarele:</w:t>
      </w:r>
    </w:p>
    <w:p w14:paraId="1DAE800D"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4A7335A2"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indicarea motivelor care stau la baza deciziei;</w:t>
      </w:r>
    </w:p>
    <w:p w14:paraId="40DD698F"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09276766"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precizarea dacă această decizie a fost luată prin intermediul unui instrument automatizat;</w:t>
      </w:r>
    </w:p>
    <w:p w14:paraId="47B65C5E"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3A025159"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informarea acestuia cu privire la căile de atac interne și juridice de care dispun;</w:t>
      </w:r>
    </w:p>
    <w:p w14:paraId="05F79CF3"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074CD30C"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și raportarea că se aplică sancțiuni civile și penale pentru publicarea de conținut ilegal;</w:t>
      </w:r>
    </w:p>
    <w:p w14:paraId="294932C0"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782CBCD9"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7.</w:t>
      </w:r>
      <w:r>
        <w:rPr>
          <w:sz w:val="21"/>
          <w:rFonts w:ascii="Times-Roman" w:hAnsi="Times-Roman"/>
        </w:rPr>
        <w:t xml:space="preserve"> </w:t>
      </w:r>
      <w:r>
        <w:rPr>
          <w:sz w:val="21"/>
          <w:rFonts w:ascii="Times-Roman" w:hAnsi="Times-Roman"/>
        </w:rPr>
        <w:t xml:space="preserve">Operatorii vor pune în aplicare mijloace interne de remediere care permit ca:</w:t>
      </w:r>
    </w:p>
    <w:p w14:paraId="6755CD83"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61B9FE05"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a) </w:t>
      </w:r>
      <w:r>
        <w:rPr>
          <w:sz w:val="21"/>
        </w:rPr>
        <w:t xml:space="preserve"> </w:t>
      </w:r>
      <w:r>
        <w:rPr>
          <w:sz w:val="21"/>
          <w:rFonts w:ascii="Times-Roman" w:hAnsi="Times-Roman"/>
        </w:rPr>
        <w:t xml:space="preserve">Autorul unei notificări a conținutului menționat în primul paragraf să poată contesta decizia luată de operator ca răspuns la această notificare;</w:t>
      </w:r>
    </w:p>
    <w:p w14:paraId="3752E114"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01919F40"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b)</w:t>
      </w:r>
      <w:r>
        <w:rPr>
          <w:sz w:val="21"/>
        </w:rPr>
        <w:t xml:space="preserve"> Utilizatorul care inițiază publicarea conținutului ce a făcut obiectul deciziei menționate la 6 d) să poată contesta decizia respectivă;</w:t>
      </w:r>
    </w:p>
    <w:p w14:paraId="4A970BB4"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1FA8CDBD" w14:textId="77777777" w:rsidR="00317039" w:rsidRPr="004E021A" w:rsidRDefault="00317039" w:rsidP="00F54ECB">
      <w:pPr>
        <w:autoSpaceDE w:val="0"/>
        <w:autoSpaceDN w:val="0"/>
        <w:adjustRightInd w:val="0"/>
        <w:spacing w:after="0" w:line="240" w:lineRule="auto"/>
        <w:jc w:val="both"/>
        <w:rPr>
          <w:i/>
          <w:iCs/>
          <w:sz w:val="21"/>
          <w:szCs w:val="21"/>
          <w:rFonts w:ascii="Times-Italic" w:hAnsi="Times-Italic" w:cs="Times-Italic"/>
        </w:rPr>
      </w:pPr>
      <w:r>
        <w:rPr>
          <w:sz w:val="21"/>
          <w:rFonts w:ascii="Times-Roman" w:hAnsi="Times-Roman"/>
        </w:rPr>
        <w:t xml:space="preserve">‘</w:t>
      </w:r>
      <w:r>
        <w:rPr>
          <w:sz w:val="21"/>
          <w:i/>
          <w:iCs/>
          <w:rFonts w:ascii="Times-Roman" w:hAnsi="Times-Roman"/>
        </w:rPr>
        <w:t xml:space="preserve">c)</w:t>
      </w:r>
      <w:r>
        <w:rPr>
          <w:sz w:val="21"/>
          <w:rFonts w:ascii="Times-Roman" w:hAnsi="Times-Roman"/>
        </w:rPr>
        <w:t xml:space="preserve"> Utilizatorul care a făcut obiectul unei decizii menționate în 8 a) sau b)  să poată contesta decizia respectivă.</w:t>
      </w:r>
    </w:p>
    <w:p w14:paraId="29E98655"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7ED326F8"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Operatorii se asigură că aceste sisteme sunt ușor accesibile și ușor de utilizat și că permit procesarea adecvată și promptă a căilor de atac, care nu se bazează exclusiv pe utilizarea mijloacelor automatizate, informând utilizatorul fără întârziere cu privire la decizia adoptată și anulând fără întârziere măsurile referitoare la conținutul în cauză sau la utilizator, implementate de operator atunci când recursul determină considerarea deciziei atacate ca fiind nejustificată;</w:t>
      </w:r>
    </w:p>
    <w:p w14:paraId="058AEBDD"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3D8722D3"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8.</w:t>
      </w:r>
      <w:r>
        <w:rPr>
          <w:sz w:val="21"/>
          <w:rFonts w:ascii="Times-Roman" w:hAnsi="Times-Roman"/>
        </w:rPr>
        <w:t xml:space="preserve"> </w:t>
      </w:r>
      <w:r>
        <w:rPr>
          <w:sz w:val="21"/>
          <w:rFonts w:ascii="Times-Roman" w:hAnsi="Times-Roman"/>
        </w:rPr>
        <w:t xml:space="preserve">Atunci când decid să pună în aplicare astfel de proceduri, operatorii stabilesc în condițiile lor de utilizare, în termeni clari și preciși, procedurile care conduc la:</w:t>
      </w:r>
    </w:p>
    <w:p w14:paraId="044FD292"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054DDD52"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a)</w:t>
      </w:r>
      <w:r>
        <w:rPr>
          <w:sz w:val="21"/>
        </w:rPr>
        <w:t xml:space="preserve"> Suspendarea sau, în cazurile cele mai grave, închiderea conturilor utilizatorilor care au încărcat în mod repetat conținut care încalcă dispozițiile menționate la primul paragraf din prezentul articol;</w:t>
      </w:r>
    </w:p>
    <w:p w14:paraId="173041B2"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31551844"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b) </w:t>
      </w:r>
      <w:r>
        <w:rPr>
          <w:sz w:val="21"/>
        </w:rPr>
        <w:t xml:space="preserve"> </w:t>
      </w:r>
      <w:r>
        <w:rPr>
          <w:sz w:val="21"/>
          <w:rFonts w:ascii="Times-Roman" w:hAnsi="Times-Roman"/>
        </w:rPr>
        <w:t xml:space="preserve"> Suspendarea accesului la mecanismul de notificare al utilizatorilor care au transmis în mod repetat notificări vădit nefondate referitoare la conținutul menționat la același paragraf.</w:t>
      </w:r>
    </w:p>
    <w:p w14:paraId="2890B0F0"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51E09E8F"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Atunci când astfel de proceduri sunt implementate, o analiză de la caz la caz care are drept scop caracterizarea obiectivă a existenţei comportamentului mentionat la 8 a sau b va fi implementată, iar aceasta va lua în considerare, în particular:</w:t>
      </w:r>
    </w:p>
    <w:p w14:paraId="312FB6B5"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0E8100AB"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cantitatea de conținut ilegal menționată la primul paragraf al prezentului articol sau numărul de notificări vădit nefondate provenind de la utilizator în ultimul an, atât în termeni absoluți, cât și proporțional cu numărul total de notificări de care a fost responsabil;</w:t>
      </w:r>
    </w:p>
    <w:p w14:paraId="06035B78"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49D8B8AD"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precum și gravitatea și consecințele acestor abuzuri.</w:t>
      </w:r>
    </w:p>
    <w:p w14:paraId="1A319386" w14:textId="77777777" w:rsidR="004E021A" w:rsidRDefault="004E021A" w:rsidP="00F54ECB">
      <w:pPr>
        <w:autoSpaceDE w:val="0"/>
        <w:autoSpaceDN w:val="0"/>
        <w:adjustRightInd w:val="0"/>
        <w:spacing w:after="0" w:line="240" w:lineRule="auto"/>
        <w:jc w:val="both"/>
        <w:rPr>
          <w:rFonts w:ascii="Times-Roman" w:hAnsi="Times-Roman" w:cs="Times-Roman"/>
          <w:sz w:val="21"/>
          <w:szCs w:val="21"/>
        </w:rPr>
      </w:pPr>
    </w:p>
    <w:p w14:paraId="7AF54AE0"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Atunci când sunt puse în aplicare, aceste proceduri prevăd că măsurile menționate la 8 a) și b) sunt proporționale, prin natura lor, cu gravitatea comportamentului în cauză și că, în cazul unei suspendări, se pronunță pentru o perioadă rezonabilă de timp.</w:t>
      </w:r>
      <w:r>
        <w:rPr>
          <w:sz w:val="21"/>
          <w:rFonts w:ascii="Times-Roman" w:hAnsi="Times-Roman"/>
        </w:rPr>
        <w:t xml:space="preserve"> </w:t>
      </w:r>
      <w:r>
        <w:rPr>
          <w:sz w:val="21"/>
          <w:rFonts w:ascii="Times-Roman" w:hAnsi="Times-Roman"/>
        </w:rPr>
        <w:t xml:space="preserve">Utilizatorul primește un avertisment și informații cu privire la căile de atac interne și judiciare disponibile;</w:t>
      </w:r>
    </w:p>
    <w:p w14:paraId="2F46735B"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3CC426D3"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9.</w:t>
      </w:r>
      <w:r>
        <w:rPr>
          <w:sz w:val="21"/>
          <w:rFonts w:ascii="Times-Roman" w:hAnsi="Times-Roman"/>
        </w:rPr>
        <w:t xml:space="preserve"> </w:t>
      </w:r>
      <w:r>
        <w:rPr>
          <w:sz w:val="21"/>
          <w:rFonts w:ascii="Times-Roman" w:hAnsi="Times-Roman"/>
        </w:rPr>
        <w:t xml:space="preserve">Operatorii menționați la primul paragraf al prezentului articol, cu activități pe teritoriul francez care depășesc limita numărului de conexiuni stabilite prin decret și care sunt mai mari decât cele menționate la același prim paragraf:</w:t>
      </w:r>
    </w:p>
    <w:p w14:paraId="4C125268"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75F02CE1"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Efectuează anual o evaluare a riscurilor sistemice asociate exploatării și utilizării serviciilor lor în ceea ce privește difuzarea conținutului menționat la primul paragraf și în ceea ce privește încălcările drepturilor fundamentale, inclusiv libertatea de exprimare.</w:t>
      </w:r>
      <w:r>
        <w:rPr>
          <w:sz w:val="21"/>
          <w:rFonts w:ascii="Times-Roman" w:hAnsi="Times-Roman"/>
        </w:rPr>
        <w:t xml:space="preserve"> </w:t>
      </w:r>
      <w:r>
        <w:rPr>
          <w:sz w:val="21"/>
          <w:rFonts w:ascii="Times-Roman" w:hAnsi="Times-Roman"/>
        </w:rPr>
        <w:t xml:space="preserve">Această evaluare ia în considerare caracteristicile acestor servicii, în special efectele acestora asupra răspândirii virale sau difuzării în masă a conținutului menționat anterior;</w:t>
      </w:r>
    </w:p>
    <w:p w14:paraId="19F6B06C"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27DADC4E"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Pun în aplicare măsuri rezonabile, eficace și proporționale, în special în ceea ce privește caracteristicile serviciilor lor și amploarea și gravitatea riscurilor identificate la sfârșitul evaluării menționate la punctul 9 (a), menite să atenueze riscurile difuzării unui astfel de conținut, care se pot referi, în special, la procedurile și la mijloacele umane și tehnologice utilizate pentru detectarea, identificarea și tratarea acestor conținuturi, prevenind în același timp riscurile eliminării nejustificate în temeiul legislației aplicabile și al condițiilor lor de utilizare;</w:t>
      </w:r>
    </w:p>
    <w:p w14:paraId="1242513D"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15334DC8"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Raportează publicului, în conformitate cu procedurile și intervalele stabilite de Înaltul Consiliu pentru probleme audiovizuale, evaluarea acestor riscuri sistemice și măsurile puse în aplicare pentru reducerea riscurilor;</w:t>
      </w:r>
    </w:p>
    <w:p w14:paraId="6C3BA31B"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46ED3E84"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10.</w:t>
      </w:r>
      <w:r>
        <w:rPr>
          <w:sz w:val="21"/>
          <w:rFonts w:ascii="Times-Roman" w:hAnsi="Times-Roman"/>
        </w:rPr>
        <w:t xml:space="preserve"> </w:t>
      </w:r>
      <w:r>
        <w:rPr>
          <w:sz w:val="21"/>
          <w:rFonts w:ascii="Times-Roman" w:hAnsi="Times-Roman"/>
        </w:rPr>
        <w:t xml:space="preserve">Operatorii menționați în primul paragraf raportează Înaltului Consiliu pentru probleme audiovizuale cu privire la procedurile și mijloacele utilizate pentru aplicarea prezentului articol, în condițiile prevăzute în articolul 62 din Legea nr. 86-1067 din 30 septembrie 1986 menționată anterior.</w:t>
      </w:r>
      <w:r>
        <w:rPr>
          <w:sz w:val="21"/>
          <w:rFonts w:ascii="Times-Roman" w:hAnsi="Times-Roman"/>
        </w:rPr>
        <w:t xml:space="preserve"> </w:t>
      </w:r>
    </w:p>
    <w:p w14:paraId="16842399" w14:textId="77777777" w:rsidR="00317039" w:rsidRDefault="00317039" w:rsidP="00F54ECB">
      <w:pPr>
        <w:autoSpaceDE w:val="0"/>
        <w:autoSpaceDN w:val="0"/>
        <w:adjustRightInd w:val="0"/>
        <w:spacing w:after="0" w:line="240" w:lineRule="auto"/>
        <w:jc w:val="both"/>
        <w:rPr>
          <w:rFonts w:ascii="Times-Roman" w:hAnsi="Times-Roman" w:cs="Times-Roman"/>
          <w:sz w:val="21"/>
          <w:szCs w:val="21"/>
        </w:rPr>
      </w:pPr>
    </w:p>
    <w:p w14:paraId="66566FA8"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Legea nr. 86-1067 din 30 septembrie 1986 privind libertatea de comunicare se modifică după cum urmează:</w:t>
      </w:r>
    </w:p>
    <w:p w14:paraId="1D068063" w14:textId="77777777" w:rsidR="00317039" w:rsidRDefault="00317039" w:rsidP="00F54ECB">
      <w:pPr>
        <w:autoSpaceDE w:val="0"/>
        <w:autoSpaceDN w:val="0"/>
        <w:adjustRightInd w:val="0"/>
        <w:spacing w:after="0" w:line="240" w:lineRule="auto"/>
        <w:jc w:val="both"/>
        <w:rPr>
          <w:rFonts w:ascii="Times-Roman" w:hAnsi="Times-Roman" w:cs="Times-Roman"/>
          <w:sz w:val="21"/>
          <w:szCs w:val="21"/>
        </w:rPr>
      </w:pPr>
    </w:p>
    <w:p w14:paraId="1D780F36"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La articolul 19 alineatul (l) punctul 1, cuvintele:</w:t>
      </w:r>
      <w:r>
        <w:rPr>
          <w:sz w:val="21"/>
          <w:rFonts w:ascii="Times-Roman" w:hAnsi="Times-Roman"/>
        </w:rPr>
        <w:t xml:space="preserve"> </w:t>
      </w:r>
      <w:r>
        <w:rPr>
          <w:sz w:val="21"/>
          <w:rFonts w:ascii="Times-Roman" w:hAnsi="Times-Roman"/>
        </w:rPr>
        <w:t xml:space="preserve">„precum și platformele de partajare a materialelor video” se înlocuiesc cu următorul text:</w:t>
      </w:r>
      <w:r>
        <w:rPr>
          <w:sz w:val="21"/>
          <w:rFonts w:ascii="Times-Roman" w:hAnsi="Times-Roman"/>
        </w:rPr>
        <w:t xml:space="preserve"> </w:t>
      </w:r>
      <w:r>
        <w:rPr>
          <w:sz w:val="21"/>
          <w:rFonts w:ascii="Times-Roman" w:hAnsi="Times-Roman"/>
        </w:rPr>
        <w:t xml:space="preserve">„, platformele de partajare a materialelor video, precum și operatorii de platforme online menționați la articolul 62”;</w:t>
      </w:r>
    </w:p>
    <w:p w14:paraId="21EC5BC4"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03893D2E"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La articolul 42-7 primul paragraf, trimiterea:</w:t>
      </w:r>
      <w:r>
        <w:rPr>
          <w:sz w:val="21"/>
          <w:rFonts w:ascii="Times-Roman" w:hAnsi="Times-Roman"/>
        </w:rPr>
        <w:t xml:space="preserve"> </w:t>
      </w:r>
      <w:r>
        <w:rPr>
          <w:sz w:val="21"/>
          <w:rFonts w:ascii="Times-Roman" w:hAnsi="Times-Roman"/>
        </w:rPr>
        <w:t xml:space="preserve">„și 48-3” se înlocuiește cu trimiterile:</w:t>
      </w:r>
      <w:r>
        <w:rPr>
          <w:sz w:val="21"/>
          <w:rFonts w:ascii="Times-Roman" w:hAnsi="Times-Roman"/>
        </w:rPr>
        <w:t xml:space="preserve"> </w:t>
      </w:r>
      <w:r>
        <w:rPr>
          <w:sz w:val="21"/>
          <w:rFonts w:ascii="Times-Roman" w:hAnsi="Times-Roman"/>
        </w:rPr>
        <w:t xml:space="preserve">„, 48-3 și 62”;</w:t>
      </w:r>
    </w:p>
    <w:p w14:paraId="42FCD26C"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7821425C"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Titlul IV este completat cu un capitol III, care are următorul cuprins:</w:t>
      </w:r>
    </w:p>
    <w:p w14:paraId="2EFBCE6A"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0D2A9041" w14:textId="77777777" w:rsidR="00317039" w:rsidRDefault="00317039" w:rsidP="00F54ECB">
      <w:pPr>
        <w:autoSpaceDE w:val="0"/>
        <w:autoSpaceDN w:val="0"/>
        <w:adjustRightInd w:val="0"/>
        <w:spacing w:after="0" w:line="240" w:lineRule="auto"/>
        <w:jc w:val="both"/>
        <w:rPr>
          <w:i/>
          <w:iCs/>
          <w:sz w:val="21"/>
          <w:szCs w:val="21"/>
          <w:rFonts w:ascii="Times-Italic" w:hAnsi="Times-Italic" w:cs="Times-Italic"/>
        </w:rPr>
      </w:pPr>
      <w:r>
        <w:rPr>
          <w:i/>
          <w:rFonts w:ascii="Times-Italic" w:hAnsi="Times-Italic"/>
        </w:rPr>
        <w:t xml:space="preserve">CAPITOLUL III</w:t>
      </w:r>
    </w:p>
    <w:p w14:paraId="34ECB5A0" w14:textId="77777777" w:rsidR="00F54ECB" w:rsidRDefault="00F54ECB" w:rsidP="00F54ECB">
      <w:pPr>
        <w:autoSpaceDE w:val="0"/>
        <w:autoSpaceDN w:val="0"/>
        <w:adjustRightInd w:val="0"/>
        <w:spacing w:after="0" w:line="240" w:lineRule="auto"/>
        <w:jc w:val="both"/>
        <w:rPr>
          <w:rFonts w:ascii="Times-Italic" w:hAnsi="Times-Italic" w:cs="Times-Italic"/>
          <w:i/>
          <w:iCs/>
          <w:sz w:val="21"/>
          <w:szCs w:val="21"/>
        </w:rPr>
      </w:pPr>
    </w:p>
    <w:p w14:paraId="780094D0" w14:textId="77777777"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i/>
          <w:sz w:val="21"/>
          <w:rFonts w:ascii="Times-BoldItalic" w:hAnsi="Times-BoldItalic"/>
        </w:rPr>
        <w:t xml:space="preserve">Dispoziții aplicabile platformelor online privind combaterea discursurilor de incitare la ură</w:t>
      </w:r>
    </w:p>
    <w:p w14:paraId="4959D9A9"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17000A07" w14:textId="77777777"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Pr>
        <w:t xml:space="preserve">„Articolul 62.</w:t>
      </w:r>
      <w:r>
        <w:rPr>
          <w:sz w:val="21"/>
          <w:i/>
          <w:rFonts w:ascii="Times-Italic" w:hAnsi="Times-Italic"/>
        </w:rPr>
        <w:t xml:space="preserve"> </w:t>
      </w:r>
      <w:r>
        <w:rPr>
          <w:sz w:val="21"/>
          <w:rFonts w:ascii="Times-Roman" w:hAnsi="Times-Roman"/>
        </w:rPr>
        <w:t xml:space="preserve">– I. – Înaltul Consiliu pentru probleme audiovizuale se asigură că operatorii platformelor online menționați în primul paragraf al articolului 6-5 din Legea nr. 2004-575 din 21 iunie 2004 privind încrederea în economia digitală respectă dispozițiile aceluiași articol 6-5, ținând seama, în ceea ce privește fiecare dintre serviciile pe care le oferă, de caracteristicile serviciului și de caracterul adecvat al mijloacelor utilizate de operator în ceea ce privește, în special, amploarea și severitatea riscurilor de difuzare a conținutului menționat în primul paragraf al articolului 6-5 și riscul eliminării nejustificate în temeiul legislației aplicabile și a condițiilor sale de utilizare.</w:t>
      </w:r>
      <w:r>
        <w:rPr>
          <w:sz w:val="21"/>
          <w:rFonts w:ascii="Times-Roman" w:hAnsi="Times-Roman"/>
        </w:rPr>
        <w:t xml:space="preserve"> </w:t>
      </w:r>
      <w:r>
        <w:rPr>
          <w:sz w:val="21"/>
          <w:rFonts w:ascii="Times-Roman" w:hAnsi="Times-Roman"/>
        </w:rPr>
        <w:t xml:space="preserve">Înaltul Consiliu pune la dispoziția acestor operatori de platforme orientări privind aplicarea aceluiași articol 6-5.</w:t>
      </w:r>
    </w:p>
    <w:p w14:paraId="778D7C04"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09DB9E9E" w14:textId="77777777" w:rsidR="00317039" w:rsidRDefault="00317039" w:rsidP="00F02A14">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Acesta colectează de la respectivii operatori, în condițiile prevăzute la articolul 19 din prezenta lege, informațiile necesare pentru monitorizarea obligaţiilor acestora.</w:t>
      </w:r>
      <w:r>
        <w:rPr>
          <w:sz w:val="21"/>
          <w:rFonts w:ascii="Times-Roman" w:hAnsi="Times-Roman"/>
        </w:rPr>
        <w:t xml:space="preserve"> </w:t>
      </w:r>
      <w:r>
        <w:rPr>
          <w:sz w:val="21"/>
          <w:rFonts w:ascii="Times-Roman" w:hAnsi="Times-Roman"/>
        </w:rPr>
        <w:t xml:space="preserve">Ca atare, operatorii menționați la articolul 6-5 punctul 9 din Legea nr. 2004-575 din 21 iunie 2004 de mai sus asigură accesul la principiile de funcționare a instrumentelor automatizate utilizate pentru îndeplinirea acestor obligații, la parametrii utilizați de aceste instrumente, la metodele și datele utilizate pentru evaluarea și îmbunătățirea performanței acestora, precum și la orice alte informații sau date care îi permit să evalueze eficacitatea acestora, în conformitate cu dispozițiile referitoare la protecția datelor cu caracter personal.</w:t>
      </w:r>
      <w:r>
        <w:rPr>
          <w:sz w:val="21"/>
          <w:rFonts w:ascii="Times-Roman" w:hAnsi="Times-Roman"/>
        </w:rPr>
        <w:t xml:space="preserve"> </w:t>
      </w:r>
      <w:r>
        <w:rPr>
          <w:sz w:val="21"/>
          <w:rFonts w:ascii="Times-Roman" w:hAnsi="Times-Roman"/>
        </w:rPr>
        <w:t xml:space="preserve">În conformitate cu aceste dispoziții, Înaltul Consiliu pentru probleme audiovizuale poate trimite cereri proporționale de acces, prin intermediul interfețelor de programare dedicate, la orice date relevante pentru evaluarea eficacității acestora.</w:t>
      </w:r>
      <w:r>
        <w:rPr>
          <w:sz w:val="21"/>
          <w:rFonts w:ascii="Times-Roman" w:hAnsi="Times-Roman"/>
        </w:rPr>
        <w:t xml:space="preserve"> </w:t>
      </w:r>
      <w:r>
        <w:rPr>
          <w:sz w:val="21"/>
          <w:rFonts w:ascii="Times-Roman" w:hAnsi="Times-Roman"/>
        </w:rPr>
        <w:t xml:space="preserve">În conformitate cu aceste dispoziții și în aceleași scopuri, Înaltul Consiliu pentru probleme audiovizuale poate pune în aplicare metode proporționale pentru colectarea automată a datelor accesibile publicului pentru a accesa datele necesare.</w:t>
      </w:r>
    </w:p>
    <w:p w14:paraId="4960BBEF" w14:textId="77777777"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14:paraId="1F16A3EE" w14:textId="77777777" w:rsidR="006522CF" w:rsidRDefault="001048BC"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Înaltul Consiliu definește informațiile și indicatorii cuantificați pe care acești operatori trebuie să îi publice în conformitate cu articolul 6-5 punctul 4, precum și modalitățile și intervalele acestei publicări.</w:t>
      </w:r>
    </w:p>
    <w:p w14:paraId="429BAEB6"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698A605E" w14:textId="77777777"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Înaltul Consiliu publică anual o revizuire a aplicării dispozițiilor articolului 6-5.</w:t>
      </w:r>
    </w:p>
    <w:p w14:paraId="7C9FF7B2"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1FEE6A0B" w14:textId="77777777"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Înaltul Consiliu pentru probleme audiovizuale poate îndemna operatorii să se conformeze prin prezentarea unei notificări formale și în termenul stabilit de aceasta, conform dispozițiilor art. 6-5 din Legea nr. 2004-575 din 21 iunie 2004 menționată anterior.</w:t>
      </w:r>
    </w:p>
    <w:p w14:paraId="1866DD93"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3D4EFF02" w14:textId="77777777"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 cazul în care operatorul nu se conformează notificării primite, Înaltul Consiliu pentru probleme audiovizuale poate, în condițiile prevăzute la articolul 42-7 din prezenta lege, să emită o amendă a cărei valoare trebuie să țină seama de gravitatea nerespectării și, dacă este cazul, de caracterul repetat al acesteia, care să nu depășească 20 milioane EUR sau 6% din cifra de afaceri anuală totală a anului precedent, oricare dintre acestea este mai mare.</w:t>
      </w:r>
      <w:r>
        <w:rPr>
          <w:sz w:val="21"/>
          <w:rFonts w:ascii="Times-Roman" w:hAnsi="Times-Roman"/>
        </w:rPr>
        <w:t xml:space="preserve"> </w:t>
      </w:r>
      <w:r>
        <w:rPr>
          <w:sz w:val="21"/>
          <w:rFonts w:ascii="Times-Roman" w:hAnsi="Times-Roman"/>
        </w:rPr>
        <w:t xml:space="preserve">În cazul în care aceeași încălcare a făcut obiectul unei penalități financiare calculate pe aceeași bază, într-un alt stat, se ia în considerare cuantumul respectivei penalități pentru a determina penalitățile aplicate în temeiul prezentului paragraf.</w:t>
      </w:r>
    </w:p>
    <w:p w14:paraId="1A99C8D2"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18B9D2A5" w14:textId="77777777"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Prin derogare de la al doilea paragraf din prezentul II, în cazul refuzului de a divulga informațiile solicitate de autoritatea de reglementare în temeiul celui de-al doilea paragraf din I sau în cazul comunicării unor informații false sau înșelătoare, cuantumul penalității aplicate nu poate depăși 1% din cifra de afaceri globală anuală totală a exercițiului financiar precedent.</w:t>
      </w:r>
    </w:p>
    <w:p w14:paraId="2BD2B9D1" w14:textId="77777777" w:rsidR="00F54ECB" w:rsidRDefault="00F54ECB" w:rsidP="00F54ECB">
      <w:pPr>
        <w:autoSpaceDE w:val="0"/>
        <w:autoSpaceDN w:val="0"/>
        <w:adjustRightInd w:val="0"/>
        <w:spacing w:after="0" w:line="240" w:lineRule="auto"/>
        <w:jc w:val="both"/>
        <w:rPr>
          <w:rFonts w:ascii="Times-Roman" w:hAnsi="Times-Roman" w:cs="Times-Roman"/>
          <w:sz w:val="21"/>
          <w:szCs w:val="21"/>
        </w:rPr>
      </w:pPr>
    </w:p>
    <w:p w14:paraId="4E2F5167" w14:textId="77777777"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Înaltul Consiliu pentru probleme audiovizuale poate face publice anunțurile și sancțiunile impuse.</w:t>
      </w:r>
      <w:r>
        <w:rPr>
          <w:sz w:val="21"/>
          <w:rFonts w:ascii="Times-Roman" w:hAnsi="Times-Roman"/>
        </w:rPr>
        <w:t xml:space="preserve"> </w:t>
      </w:r>
      <w:r>
        <w:rPr>
          <w:sz w:val="21"/>
          <w:rFonts w:ascii="Times-Roman" w:hAnsi="Times-Roman"/>
        </w:rPr>
        <w:t xml:space="preserve">Acesta stabilește, în decizia sa, detaliile acestei publicări, care vor fi proporționale cu gravitatea încălcării.</w:t>
      </w:r>
      <w:r>
        <w:rPr>
          <w:sz w:val="21"/>
          <w:rFonts w:ascii="Times-Roman" w:hAnsi="Times-Roman"/>
        </w:rPr>
        <w:t xml:space="preserve"> </w:t>
      </w:r>
      <w:r>
        <w:rPr>
          <w:sz w:val="21"/>
          <w:rFonts w:ascii="Times-Roman" w:hAnsi="Times-Roman"/>
        </w:rPr>
        <w:t xml:space="preserve">Acesta poate dispune, de asemenea, introducerea deciziei sale în publicațiile, ziarele și mass-media desemnate, pe cheltuiala operatorilor care fac obiectul notificării sau sancțiunii.</w:t>
      </w:r>
    </w:p>
    <w:p w14:paraId="0852CB64"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6B516F2D" w14:textId="77777777"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Amenzile sunt percepute ca datorii neimpozabile și nepatrimoniale datorate statului.</w:t>
      </w:r>
      <w:r>
        <w:rPr>
          <w:sz w:val="21"/>
          <w:rFonts w:ascii="Times-Roman" w:hAnsi="Times-Roman"/>
        </w:rPr>
        <w:t xml:space="preserve"> </w:t>
      </w:r>
    </w:p>
    <w:p w14:paraId="2E2305DD" w14:textId="77777777" w:rsidR="001048BC" w:rsidRDefault="001048BC" w:rsidP="00F54ECB">
      <w:pPr>
        <w:autoSpaceDE w:val="0"/>
        <w:autoSpaceDN w:val="0"/>
        <w:adjustRightInd w:val="0"/>
        <w:spacing w:after="0" w:line="240" w:lineRule="auto"/>
        <w:jc w:val="both"/>
        <w:rPr>
          <w:rFonts w:ascii="Times-Roman" w:hAnsi="Times-Roman" w:cs="Times-Roman"/>
          <w:sz w:val="21"/>
          <w:szCs w:val="21"/>
        </w:rPr>
      </w:pPr>
    </w:p>
    <w:p w14:paraId="10A4B426" w14:textId="77777777"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 După cuvântul:</w:t>
      </w:r>
      <w:r>
        <w:rPr>
          <w:sz w:val="21"/>
          <w:rFonts w:ascii="Times-Roman" w:hAnsi="Times-Roman"/>
        </w:rPr>
        <w:t xml:space="preserve"> </w:t>
      </w:r>
      <w:r>
        <w:rPr>
          <w:sz w:val="21"/>
          <w:rFonts w:ascii="Times-Roman" w:hAnsi="Times-Roman"/>
        </w:rPr>
        <w:t xml:space="preserve">„rezultat”, sfârșitul articolului 108 primul paragraf are următorul cuprins:</w:t>
      </w:r>
      <w:r>
        <w:rPr>
          <w:sz w:val="21"/>
          <w:rFonts w:ascii="Times-Roman" w:hAnsi="Times-Roman"/>
        </w:rPr>
        <w:t xml:space="preserve"> </w:t>
      </w:r>
      <w:r>
        <w:rPr>
          <w:sz w:val="21"/>
          <w:rFonts w:ascii="Times-Roman" w:hAnsi="Times-Roman"/>
        </w:rPr>
        <w:t xml:space="preserve">„din Legea nr. de consolidare a respectării principiilor Republicii.”</w:t>
      </w:r>
      <w:r>
        <w:rPr>
          <w:sz w:val="21"/>
          <w:rFonts w:ascii="Times-Roman" w:hAnsi="Times-Roman"/>
        </w:rPr>
        <w:t xml:space="preserve"> </w:t>
      </w:r>
    </w:p>
    <w:p w14:paraId="199FC683" w14:textId="77777777"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14:paraId="218F459E" w14:textId="77777777" w:rsidR="006522CF" w:rsidRPr="00F54ECB"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III. — Dispozițiile prezentului articol se aplică până la 31 decembrie 2023.</w:t>
      </w:r>
    </w:p>
    <w:sectPr w:rsidR="006522CF" w:rsidRPr="00F54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Italic">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Italic">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F1FF0"/>
    <w:multiLevelType w:val="hybridMultilevel"/>
    <w:tmpl w:val="70DE856A"/>
    <w:lvl w:ilvl="0" w:tplc="73F84A00">
      <w:start w:val="1"/>
      <w:numFmt w:val="lowerLetter"/>
      <w:lvlText w:val="%1)"/>
      <w:lvlJc w:val="left"/>
      <w:pPr>
        <w:ind w:left="720" w:hanging="360"/>
      </w:pPr>
      <w:rPr>
        <w:rFonts w:ascii="Times-Italic" w:hAnsi="Times-Italic" w:cs="Times-Italic"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28D"/>
    <w:rsid w:val="00013979"/>
    <w:rsid w:val="0005174C"/>
    <w:rsid w:val="001048BC"/>
    <w:rsid w:val="00134B73"/>
    <w:rsid w:val="00196BE6"/>
    <w:rsid w:val="00317039"/>
    <w:rsid w:val="00485A93"/>
    <w:rsid w:val="004E021A"/>
    <w:rsid w:val="006522CF"/>
    <w:rsid w:val="00694BF3"/>
    <w:rsid w:val="00742738"/>
    <w:rsid w:val="00994AE4"/>
    <w:rsid w:val="009C128D"/>
    <w:rsid w:val="00EB212A"/>
    <w:rsid w:val="00F02A14"/>
    <w:rsid w:val="00F54ECB"/>
    <w:rsid w:val="00FD5A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D280"/>
  <w15:chartTrackingRefBased/>
  <w15:docId w15:val="{D7122478-4E01-4C1D-9BE7-99AC4826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21A"/>
    <w:pPr>
      <w:ind w:left="720"/>
      <w:contextualSpacing/>
    </w:pPr>
  </w:style>
  <w:style w:type="paragraph" w:styleId="BalloonText">
    <w:name w:val="Balloon Text"/>
    <w:basedOn w:val="Normal"/>
    <w:link w:val="BalloonTextChar"/>
    <w:uiPriority w:val="99"/>
    <w:semiHidden/>
    <w:unhideWhenUsed/>
    <w:rsid w:val="00F02A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A14"/>
    <w:rPr>
      <w:rFonts w:ascii="Segoe UI" w:hAnsi="Segoe UI" w:cs="Segoe UI"/>
      <w:sz w:val="18"/>
      <w:szCs w:val="18"/>
    </w:rPr>
  </w:style>
  <w:style w:type="paragraph" w:styleId="Revision">
    <w:name w:val="Revision"/>
    <w:hidden/>
    <w:uiPriority w:val="99"/>
    <w:semiHidden/>
    <w:rsid w:val="00EB21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2910</Words>
  <Characters>16589</Characters>
  <Application>Microsoft Office Word</Application>
  <DocSecurity>0</DocSecurity>
  <Lines>138</Lines>
  <Paragraphs>38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Chantal</dc:creator>
  <cp:keywords/>
  <dc:description/>
  <cp:lastModifiedBy>Dimitris Dimitriadis</cp:lastModifiedBy>
  <cp:revision>3</cp:revision>
  <dcterms:created xsi:type="dcterms:W3CDTF">2021-05-21T16:07:00Z</dcterms:created>
  <dcterms:modified xsi:type="dcterms:W3CDTF">2021-05-25T08:09:00Z</dcterms:modified>
</cp:coreProperties>
</file>