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3E87B" w14:textId="77777777" w:rsidR="00A31ACD" w:rsidRPr="00A31ACD" w:rsidRDefault="00A31ACD" w:rsidP="00A31ACD">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hAnsi="Times New Roman"/>
          <w:b/>
          <w:sz w:val="36"/>
        </w:rPr>
        <w:t>ZAKON št. 2021-1109 z dne 24.avgusta 2021 o krepitvi skladnosti z načeli Republike (1)</w:t>
      </w:r>
    </w:p>
    <w:p w14:paraId="64CA8548" w14:textId="77777777" w:rsidR="00A31ACD" w:rsidRPr="00A31ACD" w:rsidRDefault="00A31ACD" w:rsidP="00A31ACD">
      <w:pPr>
        <w:numPr>
          <w:ilvl w:val="0"/>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Naslov I: ZAGOTAVLJANJE SPOŠTOVANJA NAČEL REPUBLIKE IN MINIMALNIH ZAHTEV ZA DRUŽBENO ŽIVLJENJE (členi 1 do 67)</w:t>
      </w:r>
    </w:p>
    <w:p w14:paraId="486809C0" w14:textId="77777777" w:rsidR="00A31ACD" w:rsidRPr="00A31ACD" w:rsidRDefault="00A31ACD" w:rsidP="00A31ACD">
      <w:pPr>
        <w:numPr>
          <w:ilvl w:val="0"/>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Naslov II: ZAGOTAVLJANJE SVOBODNEGA OPRAVLJANJA BOGOSLUŽJA (členi 68 do 88)</w:t>
      </w:r>
    </w:p>
    <w:p w14:paraId="5A4AE87C" w14:textId="77777777" w:rsidR="00A31ACD" w:rsidRPr="00A31ACD" w:rsidRDefault="00A31ACD" w:rsidP="00A31ACD">
      <w:pPr>
        <w:numPr>
          <w:ilvl w:val="0"/>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Naslov III: RAZNE DOLOČBE (členi 89 do 90)</w:t>
      </w:r>
    </w:p>
    <w:p w14:paraId="06C5BFCE" w14:textId="77777777" w:rsidR="00A31ACD" w:rsidRPr="00A31ACD" w:rsidRDefault="00A31ACD" w:rsidP="00A31ACD">
      <w:pPr>
        <w:numPr>
          <w:ilvl w:val="0"/>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Naslov IV: DOLOČBE, KI SE NANAŠAJO NA ČEZMORSKE DEPARTMAJE [OUTRE-MER] (členi 91 do 103)</w:t>
      </w:r>
    </w:p>
    <w:p w14:paraId="6B5C04BF" w14:textId="77777777" w:rsidR="00A31ACD" w:rsidRPr="00A31ACD" w:rsidRDefault="00A31ACD" w:rsidP="00A31ACD">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Naslov I: ZAGOTAVLJANJE SPOŠTOVANJA NAČEL REPUBLIKE IN MINIMALNIH ZAHTEV ZA DRUŽBENO ŽIVLJENJE (členi 1 do 67)</w:t>
      </w:r>
    </w:p>
    <w:p w14:paraId="442EF518" w14:textId="77777777" w:rsidR="00A31ACD" w:rsidRPr="00A31ACD" w:rsidRDefault="00A31ACD" w:rsidP="00A31ACD">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t>Poglavje IV: Določbe o boju proti sovražnemu govoru in nezakonitim spletnim vsebinam (členi 36 do 48)</w:t>
      </w:r>
    </w:p>
    <w:p w14:paraId="587D6E29" w14:textId="77777777" w:rsidR="00A31ACD" w:rsidRPr="00A31ACD" w:rsidRDefault="00A31ACD" w:rsidP="00A31ACD">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Člen 39</w:t>
      </w:r>
    </w:p>
    <w:p w14:paraId="5EF80FEE" w14:textId="77777777" w:rsidR="00A31ACD" w:rsidRPr="00A31ACD" w:rsidRDefault="00A31ACD" w:rsidP="00A31ACD">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Poglavje II naslova I Zakona št. 2004-575 z dne 21. junija 2004 o zaupanju v digitalno gospodarstvo se spremeni:</w:t>
      </w:r>
      <w:r>
        <w:rPr>
          <w:rFonts w:ascii="Times New Roman" w:hAnsi="Times New Roman"/>
          <w:sz w:val="24"/>
        </w:rPr>
        <w:br/>
        <w:t>1. Člen 6(I)(8) se spremeni:</w:t>
      </w:r>
      <w:r>
        <w:rPr>
          <w:rFonts w:ascii="Times New Roman" w:hAnsi="Times New Roman"/>
          <w:sz w:val="24"/>
        </w:rPr>
        <w:br/>
        <w:t>a) Začetek se glasi: „8. Predsednik sodišča lahko po hitrem vsebinskem postopku kateri koli osebi, ki bi lahko k temu prispevala, določi kakršne koli ukrepe ... (ostalo nespremenjeno).“;</w:t>
      </w:r>
      <w:r>
        <w:rPr>
          <w:rFonts w:ascii="Times New Roman" w:hAnsi="Times New Roman"/>
          <w:sz w:val="24"/>
        </w:rPr>
        <w:br/>
        <w:t>b) doda se odstavek, ki se glasi:</w:t>
      </w:r>
      <w:r>
        <w:rPr>
          <w:rFonts w:ascii="Times New Roman" w:hAnsi="Times New Roman"/>
          <w:sz w:val="24"/>
        </w:rPr>
        <w:br/>
        <w:t>„Določi osebe ali kategorije oseb, pri katerih lahko upravni organ vloži prošnjo pod pogoji iz člena 6(3).“;</w:t>
      </w:r>
      <w:r>
        <w:rPr>
          <w:rFonts w:ascii="Times New Roman" w:hAnsi="Times New Roman"/>
          <w:sz w:val="24"/>
        </w:rPr>
        <w:br/>
        <w:t>2. za členom 6-2 se vstavi člen 6-3, ki se glasi:</w:t>
      </w:r>
    </w:p>
    <w:p w14:paraId="6D881305" w14:textId="6AB9D737" w:rsidR="00A31ACD" w:rsidRDefault="00A31ACD" w:rsidP="00A31ACD">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xml:space="preserve">„Člen 6-3. </w:t>
      </w:r>
      <w:r w:rsidR="00D51D99">
        <w:rPr>
          <w:rFonts w:ascii="Times New Roman" w:hAnsi="Times New Roman"/>
          <w:sz w:val="24"/>
        </w:rPr>
        <w:t>-</w:t>
      </w:r>
      <w:r>
        <w:rPr>
          <w:rFonts w:ascii="Times New Roman" w:hAnsi="Times New Roman"/>
          <w:sz w:val="24"/>
        </w:rPr>
        <w:t xml:space="preserve"> Če izvršljiva sodna odločba odredi kakršen koli ukrep za preprečitev dostopa do spletne javne komunikacijske storitve, katere vsebina spada med kazniva dejanja iz člena 6(I)(7), lahko upravni organ, če to zahteva katera koli zadevna oseba, zahteva od oseb iz člena 6(I)(1) ali (2) ali katere koli zadevne osebe ali kategorije oseb iz navedene sodne odločbe, za obdobje, ki ni daljše od preostalega trajanja ukrepov, odrejenih s to sodno odločbo, da preprečijo dostop do katere koli spletne javne komunikacijske storitve, za katero je predhodno ugotovila, da v celoti ali bistveno vsebuje vsebino spletnega mesta.</w:t>
      </w:r>
      <w:r>
        <w:rPr>
          <w:rFonts w:ascii="Times New Roman" w:hAnsi="Times New Roman"/>
          <w:sz w:val="24"/>
        </w:rPr>
        <w:br/>
      </w:r>
      <w:r w:rsidR="00D51D99" w:rsidRPr="00D51D99">
        <w:rPr>
          <w:rFonts w:ascii="Times New Roman" w:hAnsi="Times New Roman"/>
          <w:sz w:val="24"/>
        </w:rPr>
        <w:t>„</w:t>
      </w:r>
      <w:r>
        <w:rPr>
          <w:rFonts w:ascii="Times New Roman" w:hAnsi="Times New Roman"/>
          <w:sz w:val="24"/>
        </w:rPr>
        <w:t>Pod enakimi pogoji in za enako časovno obdobje lahko upravni organ od katerega koli izvajalca storitve na podlagi razvrstitve ali sklicevanja z računalniškimi algoritmi na vsebino, ki jo predlagajo ali objavijo na spletu tretje osebe, zahteva, da prekine navajanje spletnih naslovov, ki javnosti omogočajo dostop do takšnih spletnih komunikacijskih storitev v prvem odstavku tega člena.</w:t>
      </w:r>
      <w:r>
        <w:rPr>
          <w:rFonts w:ascii="Times New Roman" w:hAnsi="Times New Roman"/>
          <w:sz w:val="24"/>
        </w:rPr>
        <w:br/>
      </w:r>
      <w:r w:rsidR="00D51D99" w:rsidRPr="00D51D99">
        <w:rPr>
          <w:rFonts w:ascii="Times New Roman" w:hAnsi="Times New Roman"/>
          <w:sz w:val="24"/>
        </w:rPr>
        <w:t>„</w:t>
      </w:r>
      <w:r>
        <w:rPr>
          <w:rFonts w:ascii="Times New Roman" w:hAnsi="Times New Roman"/>
          <w:sz w:val="24"/>
        </w:rPr>
        <w:t xml:space="preserve">Upravni organ posodablja seznam spletnih komunikacijskih storitev iz istega prvega odstavka tega člena, ki so bile predmet zahteve po blokiranju dostopa v skladu z omenjenim prvim odstavkom, ter spletnih naslovov, ki omogočajo dostop do teh storitev, in ga da na voljo oglaševalcem, njihovim zastopnikom in službam </w:t>
      </w:r>
      <w:r>
        <w:rPr>
          <w:rFonts w:ascii="Times New Roman" w:hAnsi="Times New Roman"/>
          <w:sz w:val="24"/>
        </w:rPr>
        <w:lastRenderedPageBreak/>
        <w:t>iz člena 299(II)(2) Splošnega davčnega zakonika. Te storitve se dodajo na ta seznam za preostalo obdobje trajanja ukrepov, ki ga odredi sodni organ. V celotnem obdobju vpisa na ta seznam morajo oglaševalci, njihovi zastopniki in storitve iz člena 299(II)(2) Splošnega zakonika o davkih, ki vzdržujejo poslovne odnose, zlasti za oglaševanje, s spletnimi javnimi komunikacijskimi storitvami s tega seznama vsaj enkrat letno na svojem spletnem mestu objaviti obstoj teh razmerij in jih navesti v svojem letnem poročilu, če ga morajo sprejeti.</w:t>
      </w:r>
      <w:r>
        <w:rPr>
          <w:rFonts w:ascii="Times New Roman" w:hAnsi="Times New Roman"/>
          <w:sz w:val="24"/>
        </w:rPr>
        <w:br/>
      </w:r>
      <w:r w:rsidR="00D51D99" w:rsidRPr="00D51D99">
        <w:rPr>
          <w:rFonts w:ascii="Times New Roman" w:hAnsi="Times New Roman"/>
          <w:sz w:val="24"/>
        </w:rPr>
        <w:t>„</w:t>
      </w:r>
      <w:r>
        <w:rPr>
          <w:rFonts w:ascii="Times New Roman" w:hAnsi="Times New Roman"/>
          <w:sz w:val="24"/>
        </w:rPr>
        <w:t>Če take storitve niso bile blokirane ali odložene v skladu s tem členom, lahko predsednik sodišča po hitrem vsebinskem postopku predpiše kakršen koli ukrep za prenehanje dostopa do vsebine teh storitev.“</w:t>
      </w:r>
    </w:p>
    <w:p w14:paraId="184EA6CC" w14:textId="77777777" w:rsidR="00E7401A" w:rsidRPr="00A31ACD" w:rsidRDefault="00E7401A" w:rsidP="00A31ACD">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t>(…)</w:t>
      </w:r>
    </w:p>
    <w:p w14:paraId="1C619CE1" w14:textId="77777777" w:rsidR="00A31ACD" w:rsidRPr="00A31ACD" w:rsidRDefault="00A31ACD" w:rsidP="00A31ACD">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Člen 42</w:t>
      </w:r>
    </w:p>
    <w:p w14:paraId="67CC2320" w14:textId="77777777" w:rsidR="00A31ACD" w:rsidRPr="00A31ACD" w:rsidRDefault="00A31ACD" w:rsidP="00A31ACD">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I. Poglavje II naslova I Zakona št. 2004-575 z dne 21. junija 2004 o zaupanju v digitalno gospodarstvo se spremeni:</w:t>
      </w:r>
      <w:r>
        <w:rPr>
          <w:rFonts w:ascii="Times New Roman" w:hAnsi="Times New Roman"/>
          <w:sz w:val="24"/>
        </w:rPr>
        <w:br/>
        <w:t>1. Člen 6(I)(7)(4) se spremeni na naslednji način:</w:t>
      </w:r>
      <w:r>
        <w:rPr>
          <w:rFonts w:ascii="Times New Roman" w:hAnsi="Times New Roman"/>
          <w:sz w:val="24"/>
        </w:rPr>
        <w:br/>
        <w:t>a) prvi stavek se dopolni z besedilom: „in javno objavijo sredstva, ki jih namenjajo boju proti nezakonitim dejavnostim iz tretjega odstavka te točke 7“;</w:t>
      </w:r>
      <w:r>
        <w:rPr>
          <w:rFonts w:ascii="Times New Roman" w:hAnsi="Times New Roman"/>
          <w:sz w:val="24"/>
        </w:rPr>
        <w:br/>
        <w:t>b) za istim prvim stavkom se vstavi naslednji stavek: „Te obveznosti zaradi boja proti razširjanju vsebine iz člena 6-4(I) ne veljajo za upravljavce iz istega odstavka.“;</w:t>
      </w:r>
      <w:r>
        <w:rPr>
          <w:rFonts w:ascii="Times New Roman" w:hAnsi="Times New Roman"/>
          <w:sz w:val="24"/>
        </w:rPr>
        <w:br/>
        <w:t>c) drugi stavek se spremeni, kot sledi:</w:t>
      </w:r>
    </w:p>
    <w:p w14:paraId="1D6C7618" w14:textId="706951AC" w:rsidR="00A31ACD" w:rsidRPr="00A31ACD" w:rsidRDefault="00A31ACD" w:rsidP="00A31ACD">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r>
      <w:r w:rsidR="00D51D99">
        <w:rPr>
          <w:rFonts w:ascii="Times New Roman" w:hAnsi="Times New Roman"/>
          <w:sz w:val="24"/>
        </w:rPr>
        <w:t>-</w:t>
      </w:r>
      <w:r>
        <w:rPr>
          <w:rFonts w:ascii="Times New Roman" w:hAnsi="Times New Roman"/>
          <w:sz w:val="24"/>
        </w:rPr>
        <w:t xml:space="preserve"> na začetku se beseda: „Oni“ nadomesti z besedilom: „Osebe iz 1 in 2 tega odstavka I“;</w:t>
      </w:r>
      <w:r>
        <w:rPr>
          <w:rFonts w:ascii="Times New Roman" w:hAnsi="Times New Roman"/>
          <w:sz w:val="24"/>
        </w:rPr>
        <w:br/>
      </w:r>
      <w:r w:rsidR="00D51D99">
        <w:rPr>
          <w:rFonts w:ascii="Times New Roman" w:hAnsi="Times New Roman"/>
          <w:sz w:val="24"/>
        </w:rPr>
        <w:t>-</w:t>
      </w:r>
      <w:r>
        <w:rPr>
          <w:rFonts w:ascii="Times New Roman" w:hAnsi="Times New Roman"/>
          <w:sz w:val="24"/>
        </w:rPr>
        <w:t xml:space="preserve"> besedilo: „po eni strani“ se izbriše;</w:t>
      </w:r>
      <w:r>
        <w:rPr>
          <w:rFonts w:ascii="Times New Roman" w:hAnsi="Times New Roman"/>
          <w:sz w:val="24"/>
        </w:rPr>
        <w:br/>
      </w:r>
      <w:r w:rsidR="00D51D99">
        <w:rPr>
          <w:rFonts w:ascii="Times New Roman" w:hAnsi="Times New Roman"/>
          <w:sz w:val="24"/>
        </w:rPr>
        <w:t>-</w:t>
      </w:r>
      <w:r>
        <w:rPr>
          <w:rFonts w:ascii="Times New Roman" w:hAnsi="Times New Roman"/>
          <w:sz w:val="24"/>
        </w:rPr>
        <w:t xml:space="preserve"> besedilo: „prejšnjega pododstavka“ se nadomesti z besedilom: „v tretjem pododstavku tega člena 7“;</w:t>
      </w:r>
      <w:r>
        <w:rPr>
          <w:rFonts w:ascii="Times New Roman" w:hAnsi="Times New Roman"/>
          <w:sz w:val="24"/>
        </w:rPr>
        <w:br/>
      </w:r>
      <w:r w:rsidR="00D51D99">
        <w:rPr>
          <w:rFonts w:ascii="Times New Roman" w:hAnsi="Times New Roman"/>
          <w:sz w:val="24"/>
        </w:rPr>
        <w:t>-</w:t>
      </w:r>
      <w:r>
        <w:rPr>
          <w:rFonts w:ascii="Times New Roman" w:hAnsi="Times New Roman"/>
          <w:sz w:val="24"/>
        </w:rPr>
        <w:t xml:space="preserve"> za besedo: „storitve“, se črta konec;</w:t>
      </w:r>
    </w:p>
    <w:p w14:paraId="64FB26AC" w14:textId="77777777" w:rsidR="00A31ACD" w:rsidRPr="00A31ACD" w:rsidRDefault="00A31ACD" w:rsidP="00A31ACD">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2. Za členom 6-4 se vstavi člen 6-2, ki se glasi:</w:t>
      </w:r>
    </w:p>
    <w:p w14:paraId="120777EB" w14:textId="571B7657" w:rsidR="00A31ACD" w:rsidRPr="00A31ACD" w:rsidRDefault="00A31ACD" w:rsidP="00A31ACD">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xml:space="preserve">„Člen 6-4. </w:t>
      </w:r>
      <w:r w:rsidR="00D51D99">
        <w:rPr>
          <w:rFonts w:ascii="Times New Roman" w:hAnsi="Times New Roman"/>
          <w:sz w:val="24"/>
        </w:rPr>
        <w:t>-</w:t>
      </w:r>
      <w:r>
        <w:rPr>
          <w:rFonts w:ascii="Times New Roman" w:hAnsi="Times New Roman"/>
          <w:sz w:val="24"/>
        </w:rPr>
        <w:t xml:space="preserve"> I. - Upravljavci spletnih platform, opredeljenih v členu L111-7 Zakonika o varstvu potrošnikov, ki ponujajo spletno komunikacijsko storitev za storitev na podlagi klasifikacije, sklicevanja ali souporabe vsebin, ki so jih objavile tretje osebe in katerih dejavnost na francoskem ozemlju presega prag števila povezav, določenih z uredbo, ne glede na to, ali imajo sedež na francoskem ozemlju ali ne, prispevajo k boju proti javnemu razširjanju vsebin, ki so v nasprotju z določbami iz člena 6(I)(7) tega zakona ter v tretjem in četrtem pododstavku člena 33 Zakona z dne 29. julija 1881 o svobodi tiska. V zvezi s tem:</w:t>
      </w:r>
      <w:r>
        <w:rPr>
          <w:rFonts w:ascii="Times New Roman" w:hAnsi="Times New Roman"/>
          <w:sz w:val="24"/>
        </w:rPr>
        <w:br/>
      </w:r>
      <w:r w:rsidR="00D51D99" w:rsidRPr="00D51D99">
        <w:rPr>
          <w:rFonts w:ascii="Times New Roman" w:hAnsi="Times New Roman"/>
          <w:sz w:val="24"/>
        </w:rPr>
        <w:t>„</w:t>
      </w:r>
      <w:r>
        <w:rPr>
          <w:rFonts w:ascii="Times New Roman" w:hAnsi="Times New Roman"/>
          <w:sz w:val="24"/>
        </w:rPr>
        <w:t>1. uporabljajo sorazmerne človeške in tehnološke postopke ter sredstva, ki jim bodo omogočili:</w:t>
      </w:r>
      <w:r>
        <w:rPr>
          <w:rFonts w:ascii="Times New Roman" w:hAnsi="Times New Roman"/>
          <w:sz w:val="24"/>
        </w:rPr>
        <w:br/>
      </w:r>
      <w:r w:rsidR="00D51D99" w:rsidRPr="00D51D99">
        <w:rPr>
          <w:rFonts w:ascii="Times New Roman" w:hAnsi="Times New Roman"/>
          <w:sz w:val="24"/>
        </w:rPr>
        <w:t>„</w:t>
      </w:r>
      <w:r>
        <w:rPr>
          <w:rFonts w:ascii="Times New Roman" w:hAnsi="Times New Roman"/>
          <w:sz w:val="24"/>
        </w:rPr>
        <w:t xml:space="preserve">a) da čim prej obvestijo sodne ali upravne organe o ukrepih, ki so jih sprejeli na podlagi sodnih odredb, ki so jih ti organi izdali v zvezi z vsebino iz prvega </w:t>
      </w:r>
      <w:r>
        <w:rPr>
          <w:rFonts w:ascii="Times New Roman" w:hAnsi="Times New Roman"/>
          <w:sz w:val="24"/>
        </w:rPr>
        <w:lastRenderedPageBreak/>
        <w:t>odstavka tega odstavka I;</w:t>
      </w:r>
      <w:r>
        <w:rPr>
          <w:rFonts w:ascii="Times New Roman" w:hAnsi="Times New Roman"/>
          <w:sz w:val="24"/>
        </w:rPr>
        <w:br/>
      </w:r>
      <w:r w:rsidR="00D51D99" w:rsidRPr="00D51D99">
        <w:rPr>
          <w:rFonts w:ascii="Times New Roman" w:hAnsi="Times New Roman"/>
          <w:sz w:val="24"/>
        </w:rPr>
        <w:t>„</w:t>
      </w:r>
      <w:r>
        <w:rPr>
          <w:rFonts w:ascii="Times New Roman" w:hAnsi="Times New Roman"/>
          <w:sz w:val="24"/>
        </w:rPr>
        <w:t>b) da takoj potrdijo varno sprejemanje zahtev sodnih ali upravnih organov za namen sporočanja podatkov, ki so jim na voljo, da se omogoči identifikacija uporabnikov, ki so naložili vsebino iz istega prvega odstavka, in da čim prej obvestijo te organe o nadaljnjem ukrepanju v zvezi s tovrstnimi zahtevami;</w:t>
      </w:r>
      <w:r>
        <w:rPr>
          <w:rFonts w:ascii="Times New Roman" w:hAnsi="Times New Roman"/>
          <w:sz w:val="24"/>
        </w:rPr>
        <w:br/>
      </w:r>
      <w:r w:rsidR="00D51D99" w:rsidRPr="00D51D99">
        <w:rPr>
          <w:rFonts w:ascii="Times New Roman" w:hAnsi="Times New Roman"/>
          <w:sz w:val="24"/>
        </w:rPr>
        <w:t>„</w:t>
      </w:r>
      <w:r>
        <w:rPr>
          <w:rFonts w:ascii="Times New Roman" w:hAnsi="Times New Roman"/>
          <w:sz w:val="24"/>
        </w:rPr>
        <w:t>c) kadar so vključeni v shranjevanje vsebine, da začasno obdržijo vsebino, o kateri so bili obveščeni kot v nasprotju z določbami iz prvega pododstavka in ki so jo umaknili ali dali nedostopno, z namenom, da bodo na voljo pravnim organom za namene preiskovanja, identifikacije in pregona kaznivih dejanj; trajanje in pogoji za zadržanje te vsebine se določijo z uredbo državnega sveta, sprejeto na podlagi mnenja Nacionalne komisije za informacijsko tehnologijo in svoboščine;</w:t>
      </w:r>
      <w:r>
        <w:rPr>
          <w:rFonts w:ascii="Times New Roman" w:hAnsi="Times New Roman"/>
          <w:sz w:val="24"/>
        </w:rPr>
        <w:br/>
      </w:r>
      <w:r w:rsidR="00D51D99" w:rsidRPr="00D51D99">
        <w:rPr>
          <w:rFonts w:ascii="Times New Roman" w:hAnsi="Times New Roman"/>
          <w:sz w:val="24"/>
        </w:rPr>
        <w:t>„</w:t>
      </w:r>
      <w:r>
        <w:rPr>
          <w:rFonts w:ascii="Times New Roman" w:hAnsi="Times New Roman"/>
          <w:sz w:val="24"/>
        </w:rPr>
        <w:t>2. določijo enotno kontaktno točko, fizično osebo, odgovorno za komuniciranje z javnimi organi z namenom izvajanja tega člena, ki ji je zlasti mogoče v elektronski obliki poslati vse vloge Visokega sveta za avdiovizualne medije v skladu s členom 62 Zakona št. 86-1067 z dne 30. septembra 1986 o svobodi komuniciranja. Ta enotna kontaktna točka je odgovorna zlasti za sprejemanje prošenj, ki jih na upravljavca sodni organ naslovi v skladu s postopkom iz člena 6(II) tega zakona, da se zagotovi njihova takojšnja obravnava;</w:t>
      </w:r>
      <w:r>
        <w:rPr>
          <w:rFonts w:ascii="Times New Roman" w:hAnsi="Times New Roman"/>
          <w:sz w:val="24"/>
        </w:rPr>
        <w:br/>
      </w:r>
      <w:r w:rsidR="00D51D99" w:rsidRPr="00D51D99">
        <w:rPr>
          <w:rFonts w:ascii="Times New Roman" w:hAnsi="Times New Roman"/>
          <w:sz w:val="24"/>
        </w:rPr>
        <w:t>„</w:t>
      </w:r>
      <w:r>
        <w:rPr>
          <w:rFonts w:ascii="Times New Roman" w:hAnsi="Times New Roman"/>
          <w:sz w:val="24"/>
        </w:rPr>
        <w:t>3. javnosti na lahko dostopen način dajo na voljo splošne pogoje uporabe storitve, ki jih ponujajo; vanje bodo vključene določbe, ki prepovedujejo spletno objavo nezakonitih vsebin iz prvega pododstavka tega odstavka 1; v njih jasno in natančno opišejo svoje ureditve moderiranja, katerih cilj je odkrivanje, kjer je to primerno, opredelitve in obdelave take vsebine, podrobno navedejo postopke in v ta namen uporabljena človeška ali avtomatizirana sredstva ter ukrepe, ki jih izvajajo, ki vplivajo na razpoložljivost, vidnost in dostopnost takih vsebin; v njih navedejo ukrepe, ki jih izvajajo v zvezi z uporabniki, ki so to vsebino dali na voljo na spletu, ter domača in pravna sredstva, ki so tem uporabnikom na voljo;</w:t>
      </w:r>
      <w:r>
        <w:rPr>
          <w:rFonts w:ascii="Times New Roman" w:hAnsi="Times New Roman"/>
          <w:sz w:val="24"/>
        </w:rPr>
        <w:br/>
      </w:r>
      <w:r w:rsidR="00D51D99" w:rsidRPr="00D51D99">
        <w:rPr>
          <w:rFonts w:ascii="Times New Roman" w:hAnsi="Times New Roman"/>
          <w:sz w:val="24"/>
        </w:rPr>
        <w:t>„</w:t>
      </w:r>
      <w:r>
        <w:rPr>
          <w:rFonts w:ascii="Times New Roman" w:hAnsi="Times New Roman"/>
          <w:sz w:val="24"/>
        </w:rPr>
        <w:t>4. javnost obveščajo o uporabljenih sredstvih in ukrepih, sprejetih za boj proti razširjanju nezakonite vsebine iz prvega odstavka tega oddelka I med uporabniki na francoskem ozemlju, v skladu s postopki in v časovnih presledkih, ki jih določi Visoki svet za avdiovizualne medije, o informacijah in količinsko opredeljenih kazalnikih, ki jih je določil ta Svet in ki se nanašajo zlasti na obravnavo sodnih odredb ali zahtev za informacije s strani sodnih ali upravnih organov, o prejetih obvestilih in izboru notranjih pravnih sredstev, ter po potrebi o merilih za izbiro zaupanja vrednih tretjih oseb, katerih obvestila so obravnavana prednostno obravnavo, in pogoje sodelovanja s temi tretjimi osebami;</w:t>
      </w:r>
      <w:r>
        <w:rPr>
          <w:rFonts w:ascii="Times New Roman" w:hAnsi="Times New Roman"/>
          <w:sz w:val="24"/>
        </w:rPr>
        <w:br/>
      </w:r>
      <w:r w:rsidR="00D51D99" w:rsidRPr="00D51D99">
        <w:rPr>
          <w:rFonts w:ascii="Times New Roman" w:hAnsi="Times New Roman"/>
          <w:sz w:val="24"/>
        </w:rPr>
        <w:t>„</w:t>
      </w:r>
      <w:r>
        <w:rPr>
          <w:rFonts w:ascii="Times New Roman" w:hAnsi="Times New Roman"/>
          <w:sz w:val="24"/>
        </w:rPr>
        <w:t>5. izvajajo lahko dostopen in za uporabo enostaven postopek, ki bo vsaki osebi omogočil, da v elektronski obliki in​z navedbo elementov iz člena 6(I)(5) prijavi vsako vsebino, za katero meni, da je v nasprotju z določbami, omenjenimi v prvem odstavku tega oddelka I;</w:t>
      </w:r>
      <w:r>
        <w:rPr>
          <w:rFonts w:ascii="Times New Roman" w:hAnsi="Times New Roman"/>
          <w:sz w:val="24"/>
        </w:rPr>
        <w:br/>
      </w:r>
      <w:r w:rsidR="00D51D99" w:rsidRPr="00D51D99">
        <w:rPr>
          <w:rFonts w:ascii="Times New Roman" w:hAnsi="Times New Roman"/>
          <w:sz w:val="24"/>
        </w:rPr>
        <w:t>„</w:t>
      </w:r>
      <w:r>
        <w:rPr>
          <w:rFonts w:ascii="Times New Roman" w:hAnsi="Times New Roman"/>
          <w:sz w:val="24"/>
        </w:rPr>
        <w:t>6. zagotovijo, da se obvestila, ki jih predložijo subjekti, ki jih priznavajo kot zaupanja vredne tretje osebe v zvezi z nezakonito vsebino iz prvega odstavka tega oddelka I, obravnavajo prednostno.</w:t>
      </w:r>
      <w:r>
        <w:rPr>
          <w:rFonts w:ascii="Times New Roman" w:hAnsi="Times New Roman"/>
          <w:sz w:val="24"/>
        </w:rPr>
        <w:br/>
      </w:r>
      <w:r w:rsidR="00D51D99" w:rsidRPr="00D51D99">
        <w:rPr>
          <w:rFonts w:ascii="Times New Roman" w:hAnsi="Times New Roman"/>
          <w:sz w:val="24"/>
        </w:rPr>
        <w:t>„</w:t>
      </w:r>
      <w:r>
        <w:rPr>
          <w:rFonts w:ascii="Times New Roman" w:hAnsi="Times New Roman"/>
          <w:sz w:val="24"/>
        </w:rPr>
        <w:t>Status zaupanja vrednih tretjih oseb se v skladu z dogovori, ki jih določi Visoki svet za avdiovizualne medije pod preglednimi in nediskriminatornimi pogoji ter na njihovo zahtevo, dodeli subjektom, ki imajo posebno strokovno znanje in usposobljenost za odkrivanje, prepoznavanje in prijavljanje nezakonitih vsebin iz prvega pododstavka, ki predstavljajo skupne interese ter zagotavljajo skrbnost in objektivnost;</w:t>
      </w:r>
      <w:r>
        <w:rPr>
          <w:rFonts w:ascii="Times New Roman" w:hAnsi="Times New Roman"/>
          <w:sz w:val="24"/>
        </w:rPr>
        <w:br/>
      </w:r>
      <w:r w:rsidR="00D51D99" w:rsidRPr="00D51D99">
        <w:rPr>
          <w:rFonts w:ascii="Times New Roman" w:hAnsi="Times New Roman"/>
          <w:sz w:val="24"/>
        </w:rPr>
        <w:t>„</w:t>
      </w:r>
      <w:r>
        <w:rPr>
          <w:rFonts w:ascii="Times New Roman" w:hAnsi="Times New Roman"/>
          <w:sz w:val="24"/>
        </w:rPr>
        <w:t xml:space="preserve">7. uporabljajo sorazmerne človeške in tehnološke postopke in sredstva, ki jim </w:t>
      </w:r>
      <w:r>
        <w:rPr>
          <w:rFonts w:ascii="Times New Roman" w:hAnsi="Times New Roman"/>
          <w:sz w:val="24"/>
        </w:rPr>
        <w:lastRenderedPageBreak/>
        <w:t>omogočajo:</w:t>
      </w:r>
      <w:r>
        <w:rPr>
          <w:rFonts w:ascii="Times New Roman" w:hAnsi="Times New Roman"/>
          <w:sz w:val="24"/>
        </w:rPr>
        <w:br/>
      </w:r>
      <w:r w:rsidR="00D51D99" w:rsidRPr="00D51D99">
        <w:rPr>
          <w:rFonts w:ascii="Times New Roman" w:hAnsi="Times New Roman"/>
          <w:sz w:val="24"/>
        </w:rPr>
        <w:t>„</w:t>
      </w:r>
      <w:r>
        <w:rPr>
          <w:rFonts w:ascii="Times New Roman" w:hAnsi="Times New Roman"/>
          <w:sz w:val="24"/>
        </w:rPr>
        <w:t>a) da takoj potrdijo prejem obvestil v zvezi z nezakonito vsebino iz prvega odstavka tega oddelka I, ob upoštevanju informacij, potrebnih za stik z avtorjem;</w:t>
      </w:r>
      <w:r>
        <w:rPr>
          <w:rFonts w:ascii="Times New Roman" w:hAnsi="Times New Roman"/>
          <w:sz w:val="24"/>
        </w:rPr>
        <w:br/>
      </w:r>
      <w:r w:rsidR="00D51D99" w:rsidRPr="00D51D99">
        <w:rPr>
          <w:rFonts w:ascii="Times New Roman" w:hAnsi="Times New Roman"/>
          <w:sz w:val="24"/>
        </w:rPr>
        <w:t>„</w:t>
      </w:r>
      <w:r>
        <w:rPr>
          <w:rFonts w:ascii="Times New Roman" w:hAnsi="Times New Roman"/>
          <w:sz w:val="24"/>
        </w:rPr>
        <w:t>b) da pravočasno zagotovijo ustrezno analizo tovrstnih obvestil;</w:t>
      </w:r>
      <w:r>
        <w:rPr>
          <w:rFonts w:ascii="Times New Roman" w:hAnsi="Times New Roman"/>
          <w:sz w:val="24"/>
        </w:rPr>
        <w:br/>
      </w:r>
      <w:r w:rsidR="00D51D99" w:rsidRPr="00D51D99">
        <w:rPr>
          <w:rFonts w:ascii="Times New Roman" w:hAnsi="Times New Roman"/>
          <w:sz w:val="24"/>
        </w:rPr>
        <w:t>„</w:t>
      </w:r>
      <w:r>
        <w:rPr>
          <w:rFonts w:ascii="Times New Roman" w:hAnsi="Times New Roman"/>
          <w:sz w:val="24"/>
        </w:rPr>
        <w:t>c) da obvestijo avtorja o izvedenem ukrepu ter o domačih in pravnih sredstvih, ki so na voljo, pod pogojem, da imajo potrebne informacije za stik z njimi;</w:t>
      </w:r>
      <w:r>
        <w:rPr>
          <w:rFonts w:ascii="Times New Roman" w:hAnsi="Times New Roman"/>
          <w:sz w:val="24"/>
        </w:rPr>
        <w:br/>
      </w:r>
      <w:r w:rsidR="00D51D99" w:rsidRPr="00D51D99">
        <w:rPr>
          <w:rFonts w:ascii="Times New Roman" w:hAnsi="Times New Roman"/>
          <w:sz w:val="24"/>
        </w:rPr>
        <w:t>„</w:t>
      </w:r>
      <w:r>
        <w:rPr>
          <w:rFonts w:ascii="Times New Roman" w:hAnsi="Times New Roman"/>
          <w:sz w:val="24"/>
        </w:rPr>
        <w:t>d) če je sprejeta odločitev, da se zaradi neupoštevanja določb iz tega prvega odstavka vsebina odstrani ali se do nje ukine dostop, da obvestijo uporabnika na izvoru objave te vsebine, če ima na voljo potrebne informacije, da se jih kontaktira:</w:t>
      </w:r>
    </w:p>
    <w:p w14:paraId="43902745" w14:textId="7FEFE935" w:rsidR="00A31ACD" w:rsidRPr="00A31ACD" w:rsidRDefault="00A31ACD" w:rsidP="00A31ACD">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r>
      <w:r w:rsidR="00D51D99" w:rsidRPr="00D51D99">
        <w:rPr>
          <w:rFonts w:ascii="Times New Roman" w:hAnsi="Times New Roman"/>
          <w:sz w:val="24"/>
        </w:rPr>
        <w:t>„</w:t>
      </w:r>
      <w:r w:rsidR="00D51D99">
        <w:rPr>
          <w:rFonts w:ascii="Times New Roman" w:hAnsi="Times New Roman"/>
          <w:sz w:val="24"/>
        </w:rPr>
        <w:t>-</w:t>
      </w:r>
      <w:r>
        <w:rPr>
          <w:rFonts w:ascii="Times New Roman" w:hAnsi="Times New Roman"/>
          <w:sz w:val="24"/>
        </w:rPr>
        <w:t xml:space="preserve"> z navedbo razlogov za odločitev,</w:t>
      </w:r>
      <w:r>
        <w:rPr>
          <w:rFonts w:ascii="Times New Roman" w:hAnsi="Times New Roman"/>
          <w:sz w:val="24"/>
        </w:rPr>
        <w:br/>
      </w:r>
      <w:r w:rsidR="00D51D99" w:rsidRPr="00D51D99">
        <w:rPr>
          <w:rFonts w:ascii="Times New Roman" w:hAnsi="Times New Roman"/>
          <w:sz w:val="24"/>
        </w:rPr>
        <w:t>„</w:t>
      </w:r>
      <w:r w:rsidR="00D51D99">
        <w:rPr>
          <w:rFonts w:ascii="Times New Roman" w:hAnsi="Times New Roman"/>
          <w:sz w:val="24"/>
        </w:rPr>
        <w:t>-</w:t>
      </w:r>
      <w:r>
        <w:rPr>
          <w:rFonts w:ascii="Times New Roman" w:hAnsi="Times New Roman"/>
          <w:sz w:val="24"/>
        </w:rPr>
        <w:t xml:space="preserve"> z navedbo, ali je bila ta odločitev sprejeta s pomočjo avtomatiziranega orodja,</w:t>
      </w:r>
      <w:r>
        <w:rPr>
          <w:rFonts w:ascii="Times New Roman" w:hAnsi="Times New Roman"/>
          <w:sz w:val="24"/>
        </w:rPr>
        <w:br/>
      </w:r>
      <w:r w:rsidR="00D51D99" w:rsidRPr="00D51D99">
        <w:rPr>
          <w:rFonts w:ascii="Times New Roman" w:hAnsi="Times New Roman"/>
          <w:sz w:val="24"/>
        </w:rPr>
        <w:t>„</w:t>
      </w:r>
      <w:r w:rsidR="00D51D99">
        <w:rPr>
          <w:rFonts w:ascii="Times New Roman" w:hAnsi="Times New Roman"/>
          <w:sz w:val="24"/>
        </w:rPr>
        <w:t>-</w:t>
      </w:r>
      <w:r>
        <w:rPr>
          <w:rFonts w:ascii="Times New Roman" w:hAnsi="Times New Roman"/>
          <w:sz w:val="24"/>
        </w:rPr>
        <w:t xml:space="preserve"> z obvestilom o nacionalnih in pravnih sredstvih, ki so jim na voljo,</w:t>
      </w:r>
      <w:r>
        <w:rPr>
          <w:rFonts w:ascii="Times New Roman" w:hAnsi="Times New Roman"/>
          <w:sz w:val="24"/>
        </w:rPr>
        <w:br/>
      </w:r>
      <w:r w:rsidR="00D51D99" w:rsidRPr="00D51D99">
        <w:rPr>
          <w:rFonts w:ascii="Times New Roman" w:hAnsi="Times New Roman"/>
          <w:sz w:val="24"/>
        </w:rPr>
        <w:t>„</w:t>
      </w:r>
      <w:r w:rsidR="00D51D99">
        <w:rPr>
          <w:rFonts w:ascii="Times New Roman" w:hAnsi="Times New Roman"/>
          <w:sz w:val="24"/>
        </w:rPr>
        <w:t>-</w:t>
      </w:r>
      <w:r>
        <w:rPr>
          <w:rFonts w:ascii="Times New Roman" w:hAnsi="Times New Roman"/>
          <w:sz w:val="24"/>
        </w:rPr>
        <w:t xml:space="preserve"> ter z obvestilom o civilnih in kazenskih sankcijah za objavo nezakonite vsebine.</w:t>
      </w:r>
    </w:p>
    <w:p w14:paraId="0C3F650D" w14:textId="27590E76" w:rsidR="00A31ACD" w:rsidRPr="00A31ACD" w:rsidRDefault="00A31ACD" w:rsidP="00A31ACD">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r>
      <w:r w:rsidR="00D51D99" w:rsidRPr="00D51D99">
        <w:rPr>
          <w:rFonts w:ascii="Times New Roman" w:hAnsi="Times New Roman"/>
          <w:sz w:val="24"/>
        </w:rPr>
        <w:t>„</w:t>
      </w:r>
      <w:r>
        <w:rPr>
          <w:rFonts w:ascii="Times New Roman" w:hAnsi="Times New Roman"/>
          <w:sz w:val="24"/>
        </w:rPr>
        <w:t>Točka (d) se ne uporablja, kadar to zahteva javni organ zaradi javnega reda ali zaradi preprečevanja, odkrivanja, preiskovanja in pregona kaznivih dejanj;</w:t>
      </w:r>
      <w:r>
        <w:rPr>
          <w:rFonts w:ascii="Times New Roman" w:hAnsi="Times New Roman"/>
          <w:sz w:val="24"/>
        </w:rPr>
        <w:br/>
      </w:r>
      <w:r w:rsidR="00D51D99" w:rsidRPr="00D51D99">
        <w:rPr>
          <w:rFonts w:ascii="Times New Roman" w:hAnsi="Times New Roman"/>
          <w:sz w:val="24"/>
        </w:rPr>
        <w:t>„</w:t>
      </w:r>
      <w:r>
        <w:rPr>
          <w:rFonts w:ascii="Times New Roman" w:hAnsi="Times New Roman"/>
          <w:sz w:val="24"/>
        </w:rPr>
        <w:t>8. uporabljajo notranja sanacijska sredstva, ki omogočajo:</w:t>
      </w:r>
      <w:r>
        <w:rPr>
          <w:rFonts w:ascii="Times New Roman" w:hAnsi="Times New Roman"/>
          <w:sz w:val="24"/>
        </w:rPr>
        <w:br/>
      </w:r>
      <w:r w:rsidR="00D51D99" w:rsidRPr="00D51D99">
        <w:rPr>
          <w:rFonts w:ascii="Times New Roman" w:hAnsi="Times New Roman"/>
          <w:sz w:val="24"/>
        </w:rPr>
        <w:t>„</w:t>
      </w:r>
      <w:r>
        <w:rPr>
          <w:rFonts w:ascii="Times New Roman" w:hAnsi="Times New Roman"/>
          <w:sz w:val="24"/>
        </w:rPr>
        <w:t>a) avtorju obvestila o nezakoniti vsebini iz prvega odstavka tega oddelka I, da izpodbija odločitev, ki jo je upravljavec sprejel v odgovor na to obvestilo;</w:t>
      </w:r>
      <w:r>
        <w:rPr>
          <w:rFonts w:ascii="Times New Roman" w:hAnsi="Times New Roman"/>
          <w:sz w:val="24"/>
        </w:rPr>
        <w:br/>
      </w:r>
      <w:r w:rsidR="00D51D99" w:rsidRPr="00D51D99">
        <w:rPr>
          <w:rFonts w:ascii="Times New Roman" w:hAnsi="Times New Roman"/>
          <w:sz w:val="24"/>
        </w:rPr>
        <w:t>„</w:t>
      </w:r>
      <w:r>
        <w:rPr>
          <w:rFonts w:ascii="Times New Roman" w:hAnsi="Times New Roman"/>
          <w:sz w:val="24"/>
        </w:rPr>
        <w:t>b) uporabniku, ki je prvotno objavil vsebino, ki je predmet odločitve iz točke 7(d), da izpodbija odločitev;</w:t>
      </w:r>
      <w:r>
        <w:rPr>
          <w:rFonts w:ascii="Times New Roman" w:hAnsi="Times New Roman"/>
          <w:sz w:val="24"/>
        </w:rPr>
        <w:br/>
      </w:r>
      <w:r w:rsidR="00D51D99" w:rsidRPr="00D51D99">
        <w:rPr>
          <w:rFonts w:ascii="Times New Roman" w:hAnsi="Times New Roman"/>
          <w:sz w:val="24"/>
        </w:rPr>
        <w:t>„</w:t>
      </w:r>
      <w:r>
        <w:rPr>
          <w:rFonts w:ascii="Times New Roman" w:hAnsi="Times New Roman"/>
          <w:sz w:val="24"/>
        </w:rPr>
        <w:t>c) uporabniku, ki je bil predmet odločitve iz točke 9(a) ali (b), da izpodbija odločitev.</w:t>
      </w:r>
      <w:r>
        <w:rPr>
          <w:rFonts w:ascii="Times New Roman" w:hAnsi="Times New Roman"/>
          <w:sz w:val="24"/>
        </w:rPr>
        <w:br/>
      </w:r>
      <w:r w:rsidR="00D51D99" w:rsidRPr="00D51D99">
        <w:rPr>
          <w:rFonts w:ascii="Times New Roman" w:hAnsi="Times New Roman"/>
          <w:sz w:val="24"/>
        </w:rPr>
        <w:t>„</w:t>
      </w:r>
      <w:r>
        <w:rPr>
          <w:rFonts w:ascii="Times New Roman" w:hAnsi="Times New Roman"/>
          <w:sz w:val="24"/>
        </w:rPr>
        <w:t>Zagotavljajo, da so ti sistemi lahko dostopni in enostavni za uporabo ter da omogočajo ustrezno in hitro obravnavo pritožb, ki ne temelji zgolj na uporabi avtomatiziranih sredstev, uporabnika nemudoma obvestijo o sprejeti odločitvi in nemudoma prekličejo ukrepe, ki se nanašajo na zadevno vsebino ali na uporabnika in ki jih izvaja upravljavec, kadar iz pritožba izhaja ugotovitev, da izpodbijana odločba ni bila utemeljena;</w:t>
      </w:r>
      <w:r>
        <w:rPr>
          <w:rFonts w:ascii="Times New Roman" w:hAnsi="Times New Roman"/>
          <w:sz w:val="24"/>
        </w:rPr>
        <w:br/>
      </w:r>
      <w:r w:rsidR="00D51D99" w:rsidRPr="00D51D99">
        <w:rPr>
          <w:rFonts w:ascii="Times New Roman" w:hAnsi="Times New Roman"/>
          <w:sz w:val="24"/>
        </w:rPr>
        <w:t>„</w:t>
      </w:r>
      <w:r>
        <w:rPr>
          <w:rFonts w:ascii="Times New Roman" w:hAnsi="Times New Roman"/>
          <w:sz w:val="24"/>
        </w:rPr>
        <w:t>9. pri odločanju o izvajanju tovrstnih postopkov v svojih pogojih uporabe jasno in natančno določijo postopke, ki vodijo do:</w:t>
      </w:r>
      <w:r>
        <w:rPr>
          <w:rFonts w:ascii="Times New Roman" w:hAnsi="Times New Roman"/>
          <w:sz w:val="24"/>
        </w:rPr>
        <w:br/>
      </w:r>
      <w:r w:rsidR="00D51D99" w:rsidRPr="00D51D99">
        <w:rPr>
          <w:rFonts w:ascii="Times New Roman" w:hAnsi="Times New Roman"/>
          <w:sz w:val="24"/>
        </w:rPr>
        <w:t>„</w:t>
      </w:r>
      <w:r>
        <w:rPr>
          <w:rFonts w:ascii="Times New Roman" w:hAnsi="Times New Roman"/>
          <w:sz w:val="24"/>
        </w:rPr>
        <w:t>a) začasne ukinitve ali v najresnejših primerih odstranitve računa uporabnikov, ki so večkrat naložili vsebino v nasprotju z določbami iz prvega odstavka tega oddelka I;</w:t>
      </w:r>
      <w:r>
        <w:rPr>
          <w:rFonts w:ascii="Times New Roman" w:hAnsi="Times New Roman"/>
          <w:sz w:val="24"/>
        </w:rPr>
        <w:br/>
      </w:r>
      <w:r w:rsidR="00D51D99" w:rsidRPr="00D51D99">
        <w:rPr>
          <w:rFonts w:ascii="Times New Roman" w:hAnsi="Times New Roman"/>
          <w:sz w:val="24"/>
        </w:rPr>
        <w:t>„</w:t>
      </w:r>
      <w:r>
        <w:rPr>
          <w:rFonts w:ascii="Times New Roman" w:hAnsi="Times New Roman"/>
          <w:sz w:val="24"/>
        </w:rPr>
        <w:t>b) začasne prekinitve dostopa do mehanizma obveščanja uporabnikov, ki so večkrat predložili očitno neutemeljena obvestila v zvezi z vsebino iz istega prvega pododstavka.</w:t>
      </w:r>
      <w:r>
        <w:rPr>
          <w:rFonts w:ascii="Times New Roman" w:hAnsi="Times New Roman"/>
          <w:sz w:val="24"/>
        </w:rPr>
        <w:br/>
      </w:r>
      <w:r w:rsidR="00D51D99" w:rsidRPr="00D51D99">
        <w:rPr>
          <w:rFonts w:ascii="Times New Roman" w:hAnsi="Times New Roman"/>
          <w:sz w:val="24"/>
        </w:rPr>
        <w:t>„</w:t>
      </w:r>
      <w:r>
        <w:rPr>
          <w:rFonts w:ascii="Times New Roman" w:hAnsi="Times New Roman"/>
          <w:sz w:val="24"/>
        </w:rPr>
        <w:t>Ko se ti postopki izvajajo, se izvede analiza za vsak primer posebej, katere cilj je objektivno opredeliti obstoj ravnanja iz točke 9(a) ali (b), in upošteva, zlasti:</w:t>
      </w:r>
    </w:p>
    <w:p w14:paraId="7714552C" w14:textId="75225E75" w:rsidR="00A31ACD" w:rsidRPr="00A31ACD" w:rsidRDefault="00A31ACD" w:rsidP="00A31ACD">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r>
      <w:r w:rsidR="00D51D99" w:rsidRPr="00D51D99">
        <w:rPr>
          <w:rFonts w:ascii="Times New Roman" w:hAnsi="Times New Roman"/>
          <w:sz w:val="24"/>
        </w:rPr>
        <w:t>„</w:t>
      </w:r>
      <w:r w:rsidR="00D51D99">
        <w:rPr>
          <w:rFonts w:ascii="Times New Roman" w:hAnsi="Times New Roman"/>
          <w:sz w:val="24"/>
        </w:rPr>
        <w:t>-</w:t>
      </w:r>
      <w:r>
        <w:rPr>
          <w:rFonts w:ascii="Times New Roman" w:hAnsi="Times New Roman"/>
          <w:sz w:val="24"/>
        </w:rPr>
        <w:t xml:space="preserve"> količino nezakonite vsebine iz prvega odstavka tega oddelka I ali število očitno neutemeljenih obvestil uporabnika v preteklem letu, tako v absolutnem smislu kot v sorazmerju s skupno količino vsebine ali številom obvestil, za katere je bil odgovoren;</w:t>
      </w:r>
      <w:r>
        <w:rPr>
          <w:rFonts w:ascii="Times New Roman" w:hAnsi="Times New Roman"/>
          <w:sz w:val="24"/>
        </w:rPr>
        <w:br/>
      </w:r>
      <w:r w:rsidR="00D51D99" w:rsidRPr="00D51D99">
        <w:rPr>
          <w:rFonts w:ascii="Times New Roman" w:hAnsi="Times New Roman"/>
          <w:sz w:val="24"/>
        </w:rPr>
        <w:t>„</w:t>
      </w:r>
      <w:r w:rsidR="00D51D99">
        <w:rPr>
          <w:rFonts w:ascii="Times New Roman" w:hAnsi="Times New Roman"/>
          <w:sz w:val="24"/>
        </w:rPr>
        <w:t>-</w:t>
      </w:r>
      <w:r>
        <w:rPr>
          <w:rFonts w:ascii="Times New Roman" w:hAnsi="Times New Roman"/>
          <w:sz w:val="24"/>
        </w:rPr>
        <w:t xml:space="preserve"> in resnost in posledice teh zlorab.</w:t>
      </w:r>
    </w:p>
    <w:p w14:paraId="621474B0" w14:textId="548CAD85" w:rsidR="00A31ACD" w:rsidRPr="00A31ACD" w:rsidRDefault="00A31ACD" w:rsidP="00A31ACD">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lastRenderedPageBreak/>
        <w:br/>
      </w:r>
      <w:r w:rsidR="00D51D99" w:rsidRPr="00D51D99">
        <w:rPr>
          <w:rFonts w:ascii="Times New Roman" w:hAnsi="Times New Roman"/>
          <w:sz w:val="24"/>
        </w:rPr>
        <w:t>„</w:t>
      </w:r>
      <w:r>
        <w:rPr>
          <w:rFonts w:ascii="Times New Roman" w:hAnsi="Times New Roman"/>
          <w:sz w:val="24"/>
        </w:rPr>
        <w:t>Kadar se ti postopki izvajajo, zagotavljajo, da so ukrepi iz točk 9(a) in (b) po svoji naravi sorazmerni z resnostjo zadevnega ravnanja in da so v primeru začasne prekinitve razglašeni za razumno obdobje. Uporabnik prejme opozorilo in informacije o razpoložljivih domačih pravnih in sodnih sredstvih.</w:t>
      </w:r>
      <w:r>
        <w:rPr>
          <w:rFonts w:ascii="Times New Roman" w:hAnsi="Times New Roman"/>
          <w:sz w:val="24"/>
        </w:rPr>
        <w:br/>
      </w:r>
      <w:r w:rsidR="00D51D99" w:rsidRPr="00D51D99">
        <w:rPr>
          <w:rFonts w:ascii="Times New Roman" w:hAnsi="Times New Roman"/>
          <w:sz w:val="24"/>
        </w:rPr>
        <w:t>„</w:t>
      </w:r>
      <w:r>
        <w:rPr>
          <w:rFonts w:ascii="Times New Roman" w:hAnsi="Times New Roman"/>
          <w:sz w:val="24"/>
        </w:rPr>
        <w:t xml:space="preserve">II. </w:t>
      </w:r>
      <w:r w:rsidR="00D51D99">
        <w:rPr>
          <w:rFonts w:ascii="Times New Roman" w:hAnsi="Times New Roman"/>
          <w:sz w:val="24"/>
        </w:rPr>
        <w:t>-</w:t>
      </w:r>
      <w:r>
        <w:rPr>
          <w:rFonts w:ascii="Times New Roman" w:hAnsi="Times New Roman"/>
          <w:sz w:val="24"/>
        </w:rPr>
        <w:t xml:space="preserve"> Upravljavci, navedeni v prvem odstavku tega oddelka I, z dejavnostmi na francoskem ozemlju, ki presegajo omejitev števila priključkov, določeno z odlokom, in so višji od tistih iz istega prvega odstavka:</w:t>
      </w:r>
      <w:r>
        <w:rPr>
          <w:rFonts w:ascii="Times New Roman" w:hAnsi="Times New Roman"/>
          <w:sz w:val="24"/>
        </w:rPr>
        <w:br/>
      </w:r>
      <w:r w:rsidR="00D51D99" w:rsidRPr="00D51D99">
        <w:rPr>
          <w:rFonts w:ascii="Times New Roman" w:hAnsi="Times New Roman"/>
          <w:sz w:val="24"/>
        </w:rPr>
        <w:t>„</w:t>
      </w:r>
      <w:r>
        <w:rPr>
          <w:rFonts w:ascii="Times New Roman" w:hAnsi="Times New Roman"/>
          <w:sz w:val="24"/>
        </w:rPr>
        <w:t>1. vsako leto ocenijo sistemska tveganja, povezana z delovanjem in uporabo njihovih storitev, v zvezi z razširjanjem vsebine iz prvega odstavka in kršitvami temeljnih pravic, vključno s svobodo izražanja. Ta ocena upošteva značilnosti teh storitev, zlasti njihove učinke na virusno širjenje ali množično razširjanje zgoraj navedenih vsebin;</w:t>
      </w:r>
      <w:r>
        <w:rPr>
          <w:rFonts w:ascii="Times New Roman" w:hAnsi="Times New Roman"/>
          <w:sz w:val="24"/>
        </w:rPr>
        <w:br/>
      </w:r>
      <w:r w:rsidR="00D51D99" w:rsidRPr="00D51D99">
        <w:rPr>
          <w:rFonts w:ascii="Times New Roman" w:hAnsi="Times New Roman"/>
          <w:sz w:val="24"/>
        </w:rPr>
        <w:t>„</w:t>
      </w:r>
      <w:r>
        <w:rPr>
          <w:rFonts w:ascii="Times New Roman" w:hAnsi="Times New Roman"/>
          <w:sz w:val="24"/>
        </w:rPr>
        <w:t>2. izvajajo razumne, učinkovite in sorazmerne ukrepe, zlasti v zvezi z značilnostmi njihovih storitev ter obsegom in resnostjo tveganj, ugotovljenih na koncu ocene iz oddelka (II)(1), z namenom ublažitve tveganja za razširjanje tovrstnih vsebin, ki je lahko povezano zlasti s postopki ter človeškimi in tehnološkimi sredstvi, ki se uporabljajo za odkrivanje, prepoznavanje in obdelavo teh vsebin, pri čemer se preprečijo tveganja neupravičene ukinitve v skladu z veljavno zakonodajo in pogoji njihove uporabe;</w:t>
      </w:r>
      <w:r>
        <w:rPr>
          <w:rFonts w:ascii="Times New Roman" w:hAnsi="Times New Roman"/>
          <w:sz w:val="24"/>
        </w:rPr>
        <w:br/>
      </w:r>
      <w:r w:rsidR="00D51D99" w:rsidRPr="00D51D99">
        <w:rPr>
          <w:rFonts w:ascii="Times New Roman" w:hAnsi="Times New Roman"/>
          <w:sz w:val="24"/>
        </w:rPr>
        <w:t>„</w:t>
      </w:r>
      <w:r>
        <w:rPr>
          <w:rFonts w:ascii="Times New Roman" w:hAnsi="Times New Roman"/>
          <w:sz w:val="24"/>
        </w:rPr>
        <w:t>3. v skladu s postopki in intervali, ki jih je določil Visoki svet za avdiovizualne medije, javnosti poročajo o oceni teh sistemskih tveganj in izvedenih ukrepih za ublažitev tveganja.</w:t>
      </w:r>
      <w:r>
        <w:rPr>
          <w:rFonts w:ascii="Times New Roman" w:hAnsi="Times New Roman"/>
          <w:sz w:val="24"/>
        </w:rPr>
        <w:br/>
      </w:r>
      <w:r w:rsidR="00D51D99" w:rsidRPr="00D51D99">
        <w:rPr>
          <w:rFonts w:ascii="Times New Roman" w:hAnsi="Times New Roman"/>
          <w:sz w:val="24"/>
        </w:rPr>
        <w:t>„</w:t>
      </w:r>
      <w:r>
        <w:rPr>
          <w:rFonts w:ascii="Times New Roman" w:hAnsi="Times New Roman"/>
          <w:sz w:val="24"/>
        </w:rPr>
        <w:t>III. Upravljavci iz prvega odstavka oddelka I Visokemu svetu za avdiovizualne medije poročajo o postopkih in sredstvih, uporabljenih za izvajanje tega člena, pod pogoji, določenimi v členu 62 zgoraj navedenega zakona št. 86-1067 z dne 30. septembra 1986.“</w:t>
      </w:r>
    </w:p>
    <w:p w14:paraId="45CD7FF2" w14:textId="27DAAA8C" w:rsidR="00A31ACD" w:rsidRPr="00A31ACD" w:rsidRDefault="00A31ACD" w:rsidP="00A31ACD">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xml:space="preserve">II. </w:t>
      </w:r>
      <w:r w:rsidR="00D51D99">
        <w:rPr>
          <w:rFonts w:ascii="Times New Roman" w:hAnsi="Times New Roman"/>
          <w:sz w:val="24"/>
        </w:rPr>
        <w:t xml:space="preserve">- </w:t>
      </w:r>
      <w:r>
        <w:rPr>
          <w:rFonts w:ascii="Times New Roman" w:hAnsi="Times New Roman"/>
          <w:sz w:val="24"/>
        </w:rPr>
        <w:t>Zakon št. 86-1067 z dne 30. septembra 1986 o svobodi komuniciranja se spremeni kot sledi:</w:t>
      </w:r>
      <w:r>
        <w:rPr>
          <w:rFonts w:ascii="Times New Roman" w:hAnsi="Times New Roman"/>
          <w:sz w:val="24"/>
        </w:rPr>
        <w:br/>
        <w:t>1. V tretjem pododstavku člena 19(I)(1) se besedilo: „in platforme za izmenjavo video posnetkov“ nadomesti z besedilom: „platforme za izmenjavo video posnetkov in upravljavce spletnih platform iz člena 62“;</w:t>
      </w:r>
      <w:r>
        <w:rPr>
          <w:rFonts w:ascii="Times New Roman" w:hAnsi="Times New Roman"/>
          <w:sz w:val="24"/>
        </w:rPr>
        <w:br/>
        <w:t>2. V prvem odstavku člena 42-7 se sklicevanje na: „in 48-3“ nadomesti z naslednjim: „48-3 in 62“;</w:t>
      </w:r>
      <w:r>
        <w:rPr>
          <w:rFonts w:ascii="Times New Roman" w:hAnsi="Times New Roman"/>
          <w:sz w:val="24"/>
        </w:rPr>
        <w:br/>
        <w:t>3. Naslov IV se dopolni s poglavjem III, ki se glasi:</w:t>
      </w:r>
    </w:p>
    <w:p w14:paraId="77B231FD" w14:textId="7092DEE9" w:rsidR="00A31ACD" w:rsidRPr="00A31ACD" w:rsidRDefault="00A31ACD" w:rsidP="00A31ACD">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„POGLAVJE III</w:t>
      </w:r>
      <w:r>
        <w:rPr>
          <w:rFonts w:ascii="Times New Roman" w:hAnsi="Times New Roman"/>
          <w:sz w:val="24"/>
        </w:rPr>
        <w:br/>
      </w:r>
      <w:r w:rsidR="00D51D99" w:rsidRPr="00D51D99">
        <w:rPr>
          <w:rFonts w:ascii="Times New Roman" w:hAnsi="Times New Roman"/>
          <w:sz w:val="24"/>
        </w:rPr>
        <w:t>„</w:t>
      </w:r>
      <w:r>
        <w:rPr>
          <w:rFonts w:ascii="Times New Roman" w:hAnsi="Times New Roman"/>
          <w:sz w:val="24"/>
        </w:rPr>
        <w:t>Določbe, ki se uporabljajo za spletne platforme za boj proti sovražnim vsebinam</w:t>
      </w:r>
    </w:p>
    <w:p w14:paraId="0A34B744" w14:textId="7B4F9DB9" w:rsidR="00A31ACD" w:rsidRPr="00A31ACD" w:rsidRDefault="00A31ACD" w:rsidP="00A31ACD">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r>
      <w:r w:rsidR="00D51D99" w:rsidRPr="00D51D99">
        <w:rPr>
          <w:rFonts w:ascii="Times New Roman" w:hAnsi="Times New Roman"/>
          <w:sz w:val="24"/>
        </w:rPr>
        <w:t>„</w:t>
      </w:r>
      <w:r>
        <w:rPr>
          <w:rFonts w:ascii="Times New Roman" w:hAnsi="Times New Roman"/>
          <w:sz w:val="24"/>
        </w:rPr>
        <w:t xml:space="preserve">Člen 62. </w:t>
      </w:r>
      <w:r w:rsidR="00D51D99">
        <w:rPr>
          <w:rFonts w:ascii="Times New Roman" w:hAnsi="Times New Roman"/>
          <w:sz w:val="24"/>
        </w:rPr>
        <w:t xml:space="preserve">- </w:t>
      </w:r>
      <w:r>
        <w:rPr>
          <w:rFonts w:ascii="Times New Roman" w:hAnsi="Times New Roman"/>
          <w:sz w:val="24"/>
        </w:rPr>
        <w:t xml:space="preserve">I. </w:t>
      </w:r>
      <w:r w:rsidR="00D51D99">
        <w:rPr>
          <w:rFonts w:ascii="Times New Roman" w:hAnsi="Times New Roman"/>
          <w:sz w:val="24"/>
        </w:rPr>
        <w:t xml:space="preserve">- </w:t>
      </w:r>
      <w:r>
        <w:rPr>
          <w:rFonts w:ascii="Times New Roman" w:hAnsi="Times New Roman"/>
          <w:sz w:val="24"/>
        </w:rPr>
        <w:t xml:space="preserve">Visoki svet za avdiovizualne medije zagotavlja, da upravljavci spletnih platform iz prvega odstavka člena 6-4(I) Zakona št. 2004-575 z dne 21. junija 2004 o zaupanju v digitalno gospodarstvo ravnajo v skladu z določbami istega člena 6-4, pri čemer v zvezi z vsako od storitev, ki jih ponujajo, upoštevajo značilnosti storitve in ustreznost sredstev, ki jih uporablja upravljavec, zlasti glede obsega in resnosti tveganj razširjanja v okviru te storitve vsebin iz prvega odstavka istega člena 6-4(I) in glede tveganj neupravičene ukinitve v skladu z veljavno </w:t>
      </w:r>
      <w:r>
        <w:rPr>
          <w:rFonts w:ascii="Times New Roman" w:hAnsi="Times New Roman"/>
          <w:sz w:val="24"/>
        </w:rPr>
        <w:lastRenderedPageBreak/>
        <w:t>zakonodajo in pogoji njihove uporabe. Tem upravljavcem platform zagotovi smernice za izvajanje določil istega člena 6-4.</w:t>
      </w:r>
      <w:r>
        <w:rPr>
          <w:rFonts w:ascii="Times New Roman" w:hAnsi="Times New Roman"/>
          <w:sz w:val="24"/>
        </w:rPr>
        <w:br/>
      </w:r>
      <w:r w:rsidR="00D51D99" w:rsidRPr="00D51D99">
        <w:rPr>
          <w:rFonts w:ascii="Times New Roman" w:hAnsi="Times New Roman"/>
          <w:sz w:val="24"/>
        </w:rPr>
        <w:t>„</w:t>
      </w:r>
      <w:r>
        <w:rPr>
          <w:rFonts w:ascii="Times New Roman" w:hAnsi="Times New Roman"/>
          <w:sz w:val="24"/>
        </w:rPr>
        <w:t>Visoki svet za avdiovizualne medije od teh upravljavcev pod pogoji iz člena 19 tega zakona zbira podatke, potrebne za nadzor nad njihovimi obveznostmi. Upravljavci iz člena 6-4(II) Zakona št. 2004-575 z dne 21. junija 2004 zagotavljajo dostop do načel delovanja avtomatiziranih orodij, ki se uporabljajo za izpolnjevanje teh obveznosti, do parametrov, ki jih uporabljajo ta orodja, do metod in podatkov, uporabljenih za ocenjevanje in izboljševanje njihove učinkovitosti, ter do vseh drugih informacij ali podatkov, ki jim omogočajo oceno njihove učinkovitosti v skladu z določbami o varstvu osebnih podatkov. V skladu s temi določbami lahko svet pošlje sorazmerne zahteve za dostop prek namenskih programskih vmesnikov, in sicer do vseh podatkov, ki so pomembni za oceno njihove učinkovitosti. V skladu s temi določbami in za iste namene lahko izvaja sorazmerne metode za avtomatizirano zbiranje javno dostopnih podatkov za dostop do potrebnih podatkov, vključno s tistimi, kjer je za dostop do takih podatkov potrebna prijava v račun.</w:t>
      </w:r>
      <w:r>
        <w:rPr>
          <w:rFonts w:ascii="Times New Roman" w:hAnsi="Times New Roman"/>
          <w:sz w:val="24"/>
        </w:rPr>
        <w:br/>
      </w:r>
      <w:r w:rsidR="00D51D99" w:rsidRPr="00D51D99">
        <w:rPr>
          <w:rFonts w:ascii="Times New Roman" w:hAnsi="Times New Roman"/>
          <w:sz w:val="24"/>
        </w:rPr>
        <w:t>„</w:t>
      </w:r>
      <w:r>
        <w:rPr>
          <w:rFonts w:ascii="Times New Roman" w:hAnsi="Times New Roman"/>
          <w:sz w:val="24"/>
        </w:rPr>
        <w:t>Opredeljuje informacije in količinsko opredeljene kazalnike, ki jih morajo ti upravljavci objaviti v skladu s členom 6-4(I)(4), ter načine in intervale te objave.</w:t>
      </w:r>
      <w:r>
        <w:rPr>
          <w:rFonts w:ascii="Times New Roman" w:hAnsi="Times New Roman"/>
          <w:sz w:val="24"/>
        </w:rPr>
        <w:br/>
      </w:r>
      <w:r w:rsidR="00D51D99" w:rsidRPr="00D51D99">
        <w:rPr>
          <w:rFonts w:ascii="Times New Roman" w:hAnsi="Times New Roman"/>
          <w:sz w:val="24"/>
        </w:rPr>
        <w:t>„</w:t>
      </w:r>
      <w:r>
        <w:rPr>
          <w:rFonts w:ascii="Times New Roman" w:hAnsi="Times New Roman"/>
          <w:sz w:val="24"/>
        </w:rPr>
        <w:t>Vsako leto objavi pregled izvrševanja določb člena 6-4.</w:t>
      </w:r>
      <w:r>
        <w:rPr>
          <w:rFonts w:ascii="Times New Roman" w:hAnsi="Times New Roman"/>
          <w:sz w:val="24"/>
        </w:rPr>
        <w:br/>
      </w:r>
      <w:r w:rsidR="00D51D99" w:rsidRPr="00D51D99">
        <w:rPr>
          <w:rFonts w:ascii="Times New Roman" w:hAnsi="Times New Roman"/>
          <w:sz w:val="24"/>
        </w:rPr>
        <w:t>„</w:t>
      </w:r>
      <w:r>
        <w:rPr>
          <w:rFonts w:ascii="Times New Roman" w:hAnsi="Times New Roman"/>
          <w:sz w:val="24"/>
        </w:rPr>
        <w:t>II. Visoki svet za avdiovizualne medije spodbuja operaterje spletnih platform iz prvega odstavka člena 6–4(I) navedenega Zakona št. 2004-575 z dne 21. junija 2004, da izvajajo:</w:t>
      </w:r>
      <w:r>
        <w:rPr>
          <w:rFonts w:ascii="Times New Roman" w:hAnsi="Times New Roman"/>
          <w:sz w:val="24"/>
        </w:rPr>
        <w:br/>
      </w:r>
      <w:r w:rsidR="00D51D99" w:rsidRPr="00D51D99">
        <w:rPr>
          <w:rFonts w:ascii="Times New Roman" w:hAnsi="Times New Roman"/>
          <w:sz w:val="24"/>
        </w:rPr>
        <w:t>„</w:t>
      </w:r>
      <w:r>
        <w:rPr>
          <w:rFonts w:ascii="Times New Roman" w:hAnsi="Times New Roman"/>
          <w:sz w:val="24"/>
        </w:rPr>
        <w:t>1. orodja za sodelovanje in izmenjavo informacij med operaterji platform v odprti obliki, skladni z njegovimi priporočili, za boj proti kršitvam iz člena 6-4;</w:t>
      </w:r>
      <w:r>
        <w:rPr>
          <w:rFonts w:ascii="Times New Roman" w:hAnsi="Times New Roman"/>
          <w:sz w:val="24"/>
        </w:rPr>
        <w:br/>
      </w:r>
      <w:r w:rsidR="00D51D99" w:rsidRPr="00D51D99">
        <w:rPr>
          <w:rFonts w:ascii="Times New Roman" w:hAnsi="Times New Roman"/>
          <w:sz w:val="24"/>
        </w:rPr>
        <w:t>„</w:t>
      </w:r>
      <w:r>
        <w:rPr>
          <w:rFonts w:ascii="Times New Roman" w:hAnsi="Times New Roman"/>
          <w:sz w:val="24"/>
        </w:rPr>
        <w:t>2. sorazmerne tehnične naprave, ki do obdelave obvestila o vsebini iz člena 6-4 omogočajo omejevanje souporabe te vsebine in izpostavljenosti javnosti tej vsebini;</w:t>
      </w:r>
      <w:r>
        <w:rPr>
          <w:rFonts w:ascii="Times New Roman" w:hAnsi="Times New Roman"/>
          <w:sz w:val="24"/>
        </w:rPr>
        <w:br/>
      </w:r>
      <w:r w:rsidR="00D51D99" w:rsidRPr="00D51D99">
        <w:rPr>
          <w:rFonts w:ascii="Times New Roman" w:hAnsi="Times New Roman"/>
          <w:sz w:val="24"/>
        </w:rPr>
        <w:t>„</w:t>
      </w:r>
      <w:r>
        <w:rPr>
          <w:rFonts w:ascii="Times New Roman" w:hAnsi="Times New Roman"/>
          <w:sz w:val="24"/>
        </w:rPr>
        <w:t>3. skupne tehnične standarde za interoperabilnost med spletnimi javnimi komunikacijskimi storitvami v skladu z najnovejšim tehničnim razvojem, ki so dokumentirani in stabilni, da se uporabnikom olajša prosta izbira med različnimi platformami.</w:t>
      </w:r>
      <w:r>
        <w:rPr>
          <w:rFonts w:ascii="Times New Roman" w:hAnsi="Times New Roman"/>
          <w:sz w:val="24"/>
        </w:rPr>
        <w:br/>
      </w:r>
      <w:r w:rsidR="00D51D99" w:rsidRPr="00D51D99">
        <w:rPr>
          <w:rFonts w:ascii="Times New Roman" w:hAnsi="Times New Roman"/>
          <w:sz w:val="24"/>
        </w:rPr>
        <w:t>„</w:t>
      </w:r>
      <w:r>
        <w:rPr>
          <w:rFonts w:ascii="Times New Roman" w:hAnsi="Times New Roman"/>
          <w:sz w:val="24"/>
        </w:rPr>
        <w:t>III. Visoki svet za avdiovizualne medije lahko operaterja pozove, naj v opredeljenem roku zagotovi skladnost s členom 6-4 zgoraj navedenega Zakona št. 2004-575 z dne 21. junija 2004 in odgovori na zahteve po informacijah, ki so jim bile poslane v skladu z drugim odstavkom oddelka I tega člena.</w:t>
      </w:r>
      <w:r>
        <w:rPr>
          <w:rFonts w:ascii="Times New Roman" w:hAnsi="Times New Roman"/>
          <w:sz w:val="24"/>
        </w:rPr>
        <w:br/>
      </w:r>
      <w:r w:rsidR="00D51D99" w:rsidRPr="00D51D99">
        <w:rPr>
          <w:rFonts w:ascii="Times New Roman" w:hAnsi="Times New Roman"/>
          <w:sz w:val="24"/>
        </w:rPr>
        <w:t>„</w:t>
      </w:r>
      <w:r>
        <w:rPr>
          <w:rFonts w:ascii="Times New Roman" w:hAnsi="Times New Roman"/>
          <w:sz w:val="24"/>
        </w:rPr>
        <w:t>Če upravljavec ne ravna v skladu s prejetim obvestilom, lahko Visoki svet za avdiovizualne medije pod pogoji, določenimi v členu 42-7 tega zakona, izda globo, katere znesek odraža resnost neizpolnjevanja obveznosti in po potrebi ponavljajočo se naravo, ki ne presega 20 milijonov EUR ali 6 % skupnega letnega prometa v predhodnem letu, karkoli od tega je višje. Če je bila za isto kršitev v drugi državi izrečena denarna kazen, izračunana na isti podlagi, se za določitev kazni, izrečene pod določili tega odstavka, upošteva znesek te kazni.</w:t>
      </w:r>
      <w:r>
        <w:rPr>
          <w:rFonts w:ascii="Times New Roman" w:hAnsi="Times New Roman"/>
          <w:sz w:val="24"/>
        </w:rPr>
        <w:br/>
      </w:r>
      <w:r w:rsidR="00D51D99" w:rsidRPr="00D51D99">
        <w:rPr>
          <w:rFonts w:ascii="Times New Roman" w:hAnsi="Times New Roman"/>
          <w:sz w:val="24"/>
        </w:rPr>
        <w:t>„</w:t>
      </w:r>
      <w:r>
        <w:rPr>
          <w:rFonts w:ascii="Times New Roman" w:hAnsi="Times New Roman"/>
          <w:sz w:val="24"/>
        </w:rPr>
        <w:t>Z odstopanjem od drugega odstavka tega oddelka III v primeru zavrnitve razkritja informacij, ki jih regulativni organ zahteva v skladu z drugim odstavkom oddelka I, ali v primeru sporočenih napačnih ali zavajajočih informacij znesek naložene kazni ne sme presegati 1 % skupnega letnega svetovnega prometa v predhodnem poslovnem letu.</w:t>
      </w:r>
      <w:r>
        <w:rPr>
          <w:rFonts w:ascii="Times New Roman" w:hAnsi="Times New Roman"/>
          <w:sz w:val="24"/>
        </w:rPr>
        <w:br/>
      </w:r>
      <w:r w:rsidR="00D51D99" w:rsidRPr="00D51D99">
        <w:rPr>
          <w:rFonts w:ascii="Times New Roman" w:hAnsi="Times New Roman"/>
          <w:sz w:val="24"/>
        </w:rPr>
        <w:t>„</w:t>
      </w:r>
      <w:r>
        <w:rPr>
          <w:rFonts w:ascii="Times New Roman" w:hAnsi="Times New Roman"/>
          <w:sz w:val="24"/>
        </w:rPr>
        <w:t xml:space="preserve">Visoki svet za avdiovizualne medije lahko obvestila in sankcije javno objavi. Po lastni presoji določi podrobnosti takšne objave, ki so sorazmerne z resnostjo kršitve. Prav tako lahko odredi vnos svoje odločbe v določene publikacije, časopise </w:t>
      </w:r>
      <w:r>
        <w:rPr>
          <w:rFonts w:ascii="Times New Roman" w:hAnsi="Times New Roman"/>
          <w:sz w:val="24"/>
        </w:rPr>
        <w:lastRenderedPageBreak/>
        <w:t>in medije na račun upravljavcev, za katere velja uradni opomin ali sankcija.</w:t>
      </w:r>
      <w:r>
        <w:rPr>
          <w:rFonts w:ascii="Times New Roman" w:hAnsi="Times New Roman"/>
          <w:sz w:val="24"/>
        </w:rPr>
        <w:br/>
      </w:r>
      <w:r w:rsidR="00D51D99" w:rsidRPr="00D51D99">
        <w:rPr>
          <w:rFonts w:ascii="Times New Roman" w:hAnsi="Times New Roman"/>
          <w:sz w:val="24"/>
        </w:rPr>
        <w:t>„</w:t>
      </w:r>
      <w:r>
        <w:rPr>
          <w:rFonts w:ascii="Times New Roman" w:hAnsi="Times New Roman"/>
          <w:sz w:val="24"/>
        </w:rPr>
        <w:t>Globe se izterjajo kot nedavčne in nelastniške terjatve, dolgovane državi.“;</w:t>
      </w:r>
    </w:p>
    <w:p w14:paraId="23676506" w14:textId="0CE2D1CC" w:rsidR="00A31ACD" w:rsidRDefault="00A31ACD" w:rsidP="00A31ACD">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4° po besedi: „posledično“ se prvi pododstavek člena 108 konča z besedilom: „iz Zakona št. 2021-1109 z dne 24. avgusta 2021 o krepitvi spoštovanja načel Republike.“.</w:t>
      </w:r>
      <w:r>
        <w:rPr>
          <w:rFonts w:ascii="Times New Roman" w:hAnsi="Times New Roman"/>
          <w:sz w:val="24"/>
        </w:rPr>
        <w:br/>
        <w:t xml:space="preserve">III. </w:t>
      </w:r>
      <w:r w:rsidR="00D51D99">
        <w:rPr>
          <w:rFonts w:ascii="Times New Roman" w:hAnsi="Times New Roman"/>
          <w:sz w:val="24"/>
        </w:rPr>
        <w:t xml:space="preserve">- </w:t>
      </w:r>
      <w:r>
        <w:rPr>
          <w:rFonts w:ascii="Times New Roman" w:hAnsi="Times New Roman"/>
          <w:sz w:val="24"/>
        </w:rPr>
        <w:t>A.</w:t>
      </w:r>
      <w:r w:rsidR="00D51D99">
        <w:rPr>
          <w:rFonts w:ascii="Times New Roman" w:hAnsi="Times New Roman"/>
          <w:sz w:val="24"/>
        </w:rPr>
        <w:t xml:space="preserve"> -</w:t>
      </w:r>
      <w:r>
        <w:rPr>
          <w:rFonts w:ascii="Times New Roman" w:hAnsi="Times New Roman"/>
          <w:sz w:val="24"/>
        </w:rPr>
        <w:t xml:space="preserve"> Ta člen se uporablja do 31. decembra 2023.</w:t>
      </w:r>
      <w:r>
        <w:rPr>
          <w:rFonts w:ascii="Times New Roman" w:hAnsi="Times New Roman"/>
          <w:sz w:val="24"/>
        </w:rPr>
        <w:br/>
        <w:t xml:space="preserve">B. </w:t>
      </w:r>
      <w:r w:rsidR="00D51D99">
        <w:rPr>
          <w:rFonts w:ascii="Times New Roman" w:hAnsi="Times New Roman"/>
          <w:sz w:val="24"/>
        </w:rPr>
        <w:t xml:space="preserve">- </w:t>
      </w:r>
      <w:r>
        <w:rPr>
          <w:rFonts w:ascii="Times New Roman" w:hAnsi="Times New Roman"/>
          <w:sz w:val="24"/>
        </w:rPr>
        <w:t>Z odstopanjem od točke A tega oddelka III se ta člen od 7. junija 2022 ne uporablja za boj proti javnemu razširjanju terorističnih vsebin v smislu člena 7(2) Uredbe (EU) 2021/784 Evropskega parlamenta in Sveta z dne 29. aprila 2021 o obravnavanju razširjanja terorističnih spletnih vsebin.</w:t>
      </w:r>
    </w:p>
    <w:p w14:paraId="509B6F4B" w14:textId="77777777" w:rsidR="0067021E" w:rsidRPr="00A31ACD" w:rsidRDefault="0067021E" w:rsidP="00A31ACD">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t>(…).</w:t>
      </w:r>
    </w:p>
    <w:sectPr w:rsidR="0067021E" w:rsidRPr="00A31A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065DF"/>
    <w:multiLevelType w:val="multilevel"/>
    <w:tmpl w:val="D38E7E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2D0DDE"/>
    <w:multiLevelType w:val="multilevel"/>
    <w:tmpl w:val="3BE05A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5AA"/>
    <w:rsid w:val="000034C9"/>
    <w:rsid w:val="00054B06"/>
    <w:rsid w:val="000D276F"/>
    <w:rsid w:val="001B29CB"/>
    <w:rsid w:val="002225AA"/>
    <w:rsid w:val="0067021E"/>
    <w:rsid w:val="00897AF7"/>
    <w:rsid w:val="00A31ACD"/>
    <w:rsid w:val="00C95584"/>
    <w:rsid w:val="00D4016E"/>
    <w:rsid w:val="00D51D99"/>
    <w:rsid w:val="00E7401A"/>
    <w:rsid w:val="00FD7C7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87750"/>
  <w15:chartTrackingRefBased/>
  <w15:docId w15:val="{EEF3F0B8-4A83-4913-98D1-0C41ED59F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608739">
      <w:bodyDiv w:val="1"/>
      <w:marLeft w:val="0"/>
      <w:marRight w:val="0"/>
      <w:marTop w:val="0"/>
      <w:marBottom w:val="0"/>
      <w:divBdr>
        <w:top w:val="none" w:sz="0" w:space="0" w:color="auto"/>
        <w:left w:val="none" w:sz="0" w:space="0" w:color="auto"/>
        <w:bottom w:val="none" w:sz="0" w:space="0" w:color="auto"/>
        <w:right w:val="none" w:sz="0" w:space="0" w:color="auto"/>
      </w:divBdr>
      <w:divsChild>
        <w:div w:id="26614030">
          <w:marLeft w:val="0"/>
          <w:marRight w:val="0"/>
          <w:marTop w:val="0"/>
          <w:marBottom w:val="0"/>
          <w:divBdr>
            <w:top w:val="none" w:sz="0" w:space="0" w:color="auto"/>
            <w:left w:val="none" w:sz="0" w:space="0" w:color="auto"/>
            <w:bottom w:val="none" w:sz="0" w:space="0" w:color="auto"/>
            <w:right w:val="none" w:sz="0" w:space="0" w:color="auto"/>
          </w:divBdr>
          <w:divsChild>
            <w:div w:id="1532765724">
              <w:marLeft w:val="0"/>
              <w:marRight w:val="0"/>
              <w:marTop w:val="0"/>
              <w:marBottom w:val="0"/>
              <w:divBdr>
                <w:top w:val="none" w:sz="0" w:space="0" w:color="auto"/>
                <w:left w:val="none" w:sz="0" w:space="0" w:color="auto"/>
                <w:bottom w:val="none" w:sz="0" w:space="0" w:color="auto"/>
                <w:right w:val="none" w:sz="0" w:space="0" w:color="auto"/>
              </w:divBdr>
            </w:div>
            <w:div w:id="904950696">
              <w:marLeft w:val="0"/>
              <w:marRight w:val="0"/>
              <w:marTop w:val="0"/>
              <w:marBottom w:val="0"/>
              <w:divBdr>
                <w:top w:val="none" w:sz="0" w:space="0" w:color="auto"/>
                <w:left w:val="none" w:sz="0" w:space="0" w:color="auto"/>
                <w:bottom w:val="none" w:sz="0" w:space="0" w:color="auto"/>
                <w:right w:val="none" w:sz="0" w:space="0" w:color="auto"/>
              </w:divBdr>
            </w:div>
            <w:div w:id="207306353">
              <w:marLeft w:val="0"/>
              <w:marRight w:val="0"/>
              <w:marTop w:val="0"/>
              <w:marBottom w:val="0"/>
              <w:divBdr>
                <w:top w:val="none" w:sz="0" w:space="0" w:color="auto"/>
                <w:left w:val="none" w:sz="0" w:space="0" w:color="auto"/>
                <w:bottom w:val="none" w:sz="0" w:space="0" w:color="auto"/>
                <w:right w:val="none" w:sz="0" w:space="0" w:color="auto"/>
              </w:divBdr>
            </w:div>
            <w:div w:id="1041826947">
              <w:marLeft w:val="0"/>
              <w:marRight w:val="0"/>
              <w:marTop w:val="0"/>
              <w:marBottom w:val="0"/>
              <w:divBdr>
                <w:top w:val="none" w:sz="0" w:space="0" w:color="auto"/>
                <w:left w:val="none" w:sz="0" w:space="0" w:color="auto"/>
                <w:bottom w:val="none" w:sz="0" w:space="0" w:color="auto"/>
                <w:right w:val="none" w:sz="0" w:space="0" w:color="auto"/>
              </w:divBdr>
            </w:div>
            <w:div w:id="1474902850">
              <w:marLeft w:val="0"/>
              <w:marRight w:val="0"/>
              <w:marTop w:val="0"/>
              <w:marBottom w:val="0"/>
              <w:divBdr>
                <w:top w:val="none" w:sz="0" w:space="0" w:color="auto"/>
                <w:left w:val="none" w:sz="0" w:space="0" w:color="auto"/>
                <w:bottom w:val="none" w:sz="0" w:space="0" w:color="auto"/>
                <w:right w:val="none" w:sz="0" w:space="0" w:color="auto"/>
              </w:divBdr>
            </w:div>
            <w:div w:id="852501681">
              <w:marLeft w:val="0"/>
              <w:marRight w:val="0"/>
              <w:marTop w:val="0"/>
              <w:marBottom w:val="0"/>
              <w:divBdr>
                <w:top w:val="none" w:sz="0" w:space="0" w:color="auto"/>
                <w:left w:val="none" w:sz="0" w:space="0" w:color="auto"/>
                <w:bottom w:val="none" w:sz="0" w:space="0" w:color="auto"/>
                <w:right w:val="none" w:sz="0" w:space="0" w:color="auto"/>
              </w:divBdr>
            </w:div>
            <w:div w:id="1182010744">
              <w:marLeft w:val="0"/>
              <w:marRight w:val="0"/>
              <w:marTop w:val="0"/>
              <w:marBottom w:val="0"/>
              <w:divBdr>
                <w:top w:val="none" w:sz="0" w:space="0" w:color="auto"/>
                <w:left w:val="none" w:sz="0" w:space="0" w:color="auto"/>
                <w:bottom w:val="none" w:sz="0" w:space="0" w:color="auto"/>
                <w:right w:val="none" w:sz="0" w:space="0" w:color="auto"/>
              </w:divBdr>
            </w:div>
            <w:div w:id="155387547">
              <w:marLeft w:val="0"/>
              <w:marRight w:val="0"/>
              <w:marTop w:val="0"/>
              <w:marBottom w:val="0"/>
              <w:divBdr>
                <w:top w:val="none" w:sz="0" w:space="0" w:color="auto"/>
                <w:left w:val="none" w:sz="0" w:space="0" w:color="auto"/>
                <w:bottom w:val="none" w:sz="0" w:space="0" w:color="auto"/>
                <w:right w:val="none" w:sz="0" w:space="0" w:color="auto"/>
              </w:divBdr>
            </w:div>
            <w:div w:id="275261441">
              <w:marLeft w:val="0"/>
              <w:marRight w:val="0"/>
              <w:marTop w:val="0"/>
              <w:marBottom w:val="0"/>
              <w:divBdr>
                <w:top w:val="none" w:sz="0" w:space="0" w:color="auto"/>
                <w:left w:val="none" w:sz="0" w:space="0" w:color="auto"/>
                <w:bottom w:val="none" w:sz="0" w:space="0" w:color="auto"/>
                <w:right w:val="none" w:sz="0" w:space="0" w:color="auto"/>
              </w:divBdr>
            </w:div>
            <w:div w:id="1814711392">
              <w:marLeft w:val="0"/>
              <w:marRight w:val="0"/>
              <w:marTop w:val="0"/>
              <w:marBottom w:val="0"/>
              <w:divBdr>
                <w:top w:val="none" w:sz="0" w:space="0" w:color="auto"/>
                <w:left w:val="none" w:sz="0" w:space="0" w:color="auto"/>
                <w:bottom w:val="none" w:sz="0" w:space="0" w:color="auto"/>
                <w:right w:val="none" w:sz="0" w:space="0" w:color="auto"/>
              </w:divBdr>
            </w:div>
            <w:div w:id="1395621169">
              <w:marLeft w:val="0"/>
              <w:marRight w:val="0"/>
              <w:marTop w:val="0"/>
              <w:marBottom w:val="0"/>
              <w:divBdr>
                <w:top w:val="none" w:sz="0" w:space="0" w:color="auto"/>
                <w:left w:val="none" w:sz="0" w:space="0" w:color="auto"/>
                <w:bottom w:val="none" w:sz="0" w:space="0" w:color="auto"/>
                <w:right w:val="none" w:sz="0" w:space="0" w:color="auto"/>
              </w:divBdr>
            </w:div>
            <w:div w:id="40519035">
              <w:marLeft w:val="0"/>
              <w:marRight w:val="0"/>
              <w:marTop w:val="0"/>
              <w:marBottom w:val="0"/>
              <w:divBdr>
                <w:top w:val="none" w:sz="0" w:space="0" w:color="auto"/>
                <w:left w:val="none" w:sz="0" w:space="0" w:color="auto"/>
                <w:bottom w:val="none" w:sz="0" w:space="0" w:color="auto"/>
                <w:right w:val="none" w:sz="0" w:space="0" w:color="auto"/>
              </w:divBdr>
            </w:div>
            <w:div w:id="919143845">
              <w:marLeft w:val="0"/>
              <w:marRight w:val="0"/>
              <w:marTop w:val="0"/>
              <w:marBottom w:val="0"/>
              <w:divBdr>
                <w:top w:val="none" w:sz="0" w:space="0" w:color="auto"/>
                <w:left w:val="none" w:sz="0" w:space="0" w:color="auto"/>
                <w:bottom w:val="none" w:sz="0" w:space="0" w:color="auto"/>
                <w:right w:val="none" w:sz="0" w:space="0" w:color="auto"/>
              </w:divBdr>
            </w:div>
            <w:div w:id="468983642">
              <w:marLeft w:val="0"/>
              <w:marRight w:val="0"/>
              <w:marTop w:val="0"/>
              <w:marBottom w:val="0"/>
              <w:divBdr>
                <w:top w:val="none" w:sz="0" w:space="0" w:color="auto"/>
                <w:left w:val="none" w:sz="0" w:space="0" w:color="auto"/>
                <w:bottom w:val="none" w:sz="0" w:space="0" w:color="auto"/>
                <w:right w:val="none" w:sz="0" w:space="0" w:color="auto"/>
              </w:divBdr>
            </w:div>
            <w:div w:id="942761389">
              <w:marLeft w:val="0"/>
              <w:marRight w:val="0"/>
              <w:marTop w:val="0"/>
              <w:marBottom w:val="0"/>
              <w:divBdr>
                <w:top w:val="none" w:sz="0" w:space="0" w:color="auto"/>
                <w:left w:val="none" w:sz="0" w:space="0" w:color="auto"/>
                <w:bottom w:val="none" w:sz="0" w:space="0" w:color="auto"/>
                <w:right w:val="none" w:sz="0" w:space="0" w:color="auto"/>
              </w:divBdr>
            </w:div>
            <w:div w:id="1940867594">
              <w:marLeft w:val="0"/>
              <w:marRight w:val="0"/>
              <w:marTop w:val="0"/>
              <w:marBottom w:val="0"/>
              <w:divBdr>
                <w:top w:val="none" w:sz="0" w:space="0" w:color="auto"/>
                <w:left w:val="none" w:sz="0" w:space="0" w:color="auto"/>
                <w:bottom w:val="none" w:sz="0" w:space="0" w:color="auto"/>
                <w:right w:val="none" w:sz="0" w:space="0" w:color="auto"/>
              </w:divBdr>
            </w:div>
            <w:div w:id="453719128">
              <w:marLeft w:val="0"/>
              <w:marRight w:val="0"/>
              <w:marTop w:val="0"/>
              <w:marBottom w:val="0"/>
              <w:divBdr>
                <w:top w:val="none" w:sz="0" w:space="0" w:color="auto"/>
                <w:left w:val="none" w:sz="0" w:space="0" w:color="auto"/>
                <w:bottom w:val="none" w:sz="0" w:space="0" w:color="auto"/>
                <w:right w:val="none" w:sz="0" w:space="0" w:color="auto"/>
              </w:divBdr>
            </w:div>
            <w:div w:id="1775124747">
              <w:marLeft w:val="0"/>
              <w:marRight w:val="0"/>
              <w:marTop w:val="0"/>
              <w:marBottom w:val="0"/>
              <w:divBdr>
                <w:top w:val="none" w:sz="0" w:space="0" w:color="auto"/>
                <w:left w:val="none" w:sz="0" w:space="0" w:color="auto"/>
                <w:bottom w:val="none" w:sz="0" w:space="0" w:color="auto"/>
                <w:right w:val="none" w:sz="0" w:space="0" w:color="auto"/>
              </w:divBdr>
            </w:div>
            <w:div w:id="1596211110">
              <w:marLeft w:val="0"/>
              <w:marRight w:val="0"/>
              <w:marTop w:val="0"/>
              <w:marBottom w:val="0"/>
              <w:divBdr>
                <w:top w:val="none" w:sz="0" w:space="0" w:color="auto"/>
                <w:left w:val="none" w:sz="0" w:space="0" w:color="auto"/>
                <w:bottom w:val="none" w:sz="0" w:space="0" w:color="auto"/>
                <w:right w:val="none" w:sz="0" w:space="0" w:color="auto"/>
              </w:divBdr>
            </w:div>
            <w:div w:id="1634484162">
              <w:marLeft w:val="0"/>
              <w:marRight w:val="0"/>
              <w:marTop w:val="0"/>
              <w:marBottom w:val="0"/>
              <w:divBdr>
                <w:top w:val="none" w:sz="0" w:space="0" w:color="auto"/>
                <w:left w:val="none" w:sz="0" w:space="0" w:color="auto"/>
                <w:bottom w:val="none" w:sz="0" w:space="0" w:color="auto"/>
                <w:right w:val="none" w:sz="0" w:space="0" w:color="auto"/>
              </w:divBdr>
            </w:div>
            <w:div w:id="1418791718">
              <w:marLeft w:val="0"/>
              <w:marRight w:val="0"/>
              <w:marTop w:val="0"/>
              <w:marBottom w:val="0"/>
              <w:divBdr>
                <w:top w:val="none" w:sz="0" w:space="0" w:color="auto"/>
                <w:left w:val="none" w:sz="0" w:space="0" w:color="auto"/>
                <w:bottom w:val="none" w:sz="0" w:space="0" w:color="auto"/>
                <w:right w:val="none" w:sz="0" w:space="0" w:color="auto"/>
              </w:divBdr>
            </w:div>
            <w:div w:id="255019190">
              <w:marLeft w:val="0"/>
              <w:marRight w:val="0"/>
              <w:marTop w:val="0"/>
              <w:marBottom w:val="0"/>
              <w:divBdr>
                <w:top w:val="none" w:sz="0" w:space="0" w:color="auto"/>
                <w:left w:val="none" w:sz="0" w:space="0" w:color="auto"/>
                <w:bottom w:val="none" w:sz="0" w:space="0" w:color="auto"/>
                <w:right w:val="none" w:sz="0" w:space="0" w:color="auto"/>
              </w:divBdr>
            </w:div>
            <w:div w:id="666447836">
              <w:marLeft w:val="0"/>
              <w:marRight w:val="0"/>
              <w:marTop w:val="0"/>
              <w:marBottom w:val="0"/>
              <w:divBdr>
                <w:top w:val="none" w:sz="0" w:space="0" w:color="auto"/>
                <w:left w:val="none" w:sz="0" w:space="0" w:color="auto"/>
                <w:bottom w:val="none" w:sz="0" w:space="0" w:color="auto"/>
                <w:right w:val="none" w:sz="0" w:space="0" w:color="auto"/>
              </w:divBdr>
            </w:div>
            <w:div w:id="1032026210">
              <w:marLeft w:val="0"/>
              <w:marRight w:val="0"/>
              <w:marTop w:val="0"/>
              <w:marBottom w:val="0"/>
              <w:divBdr>
                <w:top w:val="none" w:sz="0" w:space="0" w:color="auto"/>
                <w:left w:val="none" w:sz="0" w:space="0" w:color="auto"/>
                <w:bottom w:val="none" w:sz="0" w:space="0" w:color="auto"/>
                <w:right w:val="none" w:sz="0" w:space="0" w:color="auto"/>
              </w:divBdr>
            </w:div>
            <w:div w:id="1385712303">
              <w:marLeft w:val="0"/>
              <w:marRight w:val="0"/>
              <w:marTop w:val="0"/>
              <w:marBottom w:val="0"/>
              <w:divBdr>
                <w:top w:val="none" w:sz="0" w:space="0" w:color="auto"/>
                <w:left w:val="none" w:sz="0" w:space="0" w:color="auto"/>
                <w:bottom w:val="none" w:sz="0" w:space="0" w:color="auto"/>
                <w:right w:val="none" w:sz="0" w:space="0" w:color="auto"/>
              </w:divBdr>
            </w:div>
            <w:div w:id="644315790">
              <w:marLeft w:val="0"/>
              <w:marRight w:val="0"/>
              <w:marTop w:val="0"/>
              <w:marBottom w:val="0"/>
              <w:divBdr>
                <w:top w:val="none" w:sz="0" w:space="0" w:color="auto"/>
                <w:left w:val="none" w:sz="0" w:space="0" w:color="auto"/>
                <w:bottom w:val="none" w:sz="0" w:space="0" w:color="auto"/>
                <w:right w:val="none" w:sz="0" w:space="0" w:color="auto"/>
              </w:divBdr>
            </w:div>
            <w:div w:id="912277988">
              <w:marLeft w:val="0"/>
              <w:marRight w:val="0"/>
              <w:marTop w:val="0"/>
              <w:marBottom w:val="0"/>
              <w:divBdr>
                <w:top w:val="none" w:sz="0" w:space="0" w:color="auto"/>
                <w:left w:val="none" w:sz="0" w:space="0" w:color="auto"/>
                <w:bottom w:val="none" w:sz="0" w:space="0" w:color="auto"/>
                <w:right w:val="none" w:sz="0" w:space="0" w:color="auto"/>
              </w:divBdr>
            </w:div>
            <w:div w:id="1751076017">
              <w:marLeft w:val="0"/>
              <w:marRight w:val="0"/>
              <w:marTop w:val="0"/>
              <w:marBottom w:val="0"/>
              <w:divBdr>
                <w:top w:val="none" w:sz="0" w:space="0" w:color="auto"/>
                <w:left w:val="none" w:sz="0" w:space="0" w:color="auto"/>
                <w:bottom w:val="none" w:sz="0" w:space="0" w:color="auto"/>
                <w:right w:val="none" w:sz="0" w:space="0" w:color="auto"/>
              </w:divBdr>
            </w:div>
            <w:div w:id="762839544">
              <w:marLeft w:val="0"/>
              <w:marRight w:val="0"/>
              <w:marTop w:val="0"/>
              <w:marBottom w:val="0"/>
              <w:divBdr>
                <w:top w:val="none" w:sz="0" w:space="0" w:color="auto"/>
                <w:left w:val="none" w:sz="0" w:space="0" w:color="auto"/>
                <w:bottom w:val="none" w:sz="0" w:space="0" w:color="auto"/>
                <w:right w:val="none" w:sz="0" w:space="0" w:color="auto"/>
              </w:divBdr>
            </w:div>
            <w:div w:id="1430153939">
              <w:marLeft w:val="0"/>
              <w:marRight w:val="0"/>
              <w:marTop w:val="0"/>
              <w:marBottom w:val="0"/>
              <w:divBdr>
                <w:top w:val="none" w:sz="0" w:space="0" w:color="auto"/>
                <w:left w:val="none" w:sz="0" w:space="0" w:color="auto"/>
                <w:bottom w:val="none" w:sz="0" w:space="0" w:color="auto"/>
                <w:right w:val="none" w:sz="0" w:space="0" w:color="auto"/>
              </w:divBdr>
            </w:div>
            <w:div w:id="1154251769">
              <w:marLeft w:val="0"/>
              <w:marRight w:val="0"/>
              <w:marTop w:val="0"/>
              <w:marBottom w:val="0"/>
              <w:divBdr>
                <w:top w:val="none" w:sz="0" w:space="0" w:color="auto"/>
                <w:left w:val="none" w:sz="0" w:space="0" w:color="auto"/>
                <w:bottom w:val="none" w:sz="0" w:space="0" w:color="auto"/>
                <w:right w:val="none" w:sz="0" w:space="0" w:color="auto"/>
              </w:divBdr>
            </w:div>
            <w:div w:id="559369833">
              <w:marLeft w:val="0"/>
              <w:marRight w:val="0"/>
              <w:marTop w:val="0"/>
              <w:marBottom w:val="0"/>
              <w:divBdr>
                <w:top w:val="none" w:sz="0" w:space="0" w:color="auto"/>
                <w:left w:val="none" w:sz="0" w:space="0" w:color="auto"/>
                <w:bottom w:val="none" w:sz="0" w:space="0" w:color="auto"/>
                <w:right w:val="none" w:sz="0" w:space="0" w:color="auto"/>
              </w:divBdr>
            </w:div>
            <w:div w:id="675154006">
              <w:marLeft w:val="0"/>
              <w:marRight w:val="0"/>
              <w:marTop w:val="0"/>
              <w:marBottom w:val="0"/>
              <w:divBdr>
                <w:top w:val="none" w:sz="0" w:space="0" w:color="auto"/>
                <w:left w:val="none" w:sz="0" w:space="0" w:color="auto"/>
                <w:bottom w:val="none" w:sz="0" w:space="0" w:color="auto"/>
                <w:right w:val="none" w:sz="0" w:space="0" w:color="auto"/>
              </w:divBdr>
            </w:div>
            <w:div w:id="375013850">
              <w:marLeft w:val="0"/>
              <w:marRight w:val="0"/>
              <w:marTop w:val="0"/>
              <w:marBottom w:val="0"/>
              <w:divBdr>
                <w:top w:val="none" w:sz="0" w:space="0" w:color="auto"/>
                <w:left w:val="none" w:sz="0" w:space="0" w:color="auto"/>
                <w:bottom w:val="none" w:sz="0" w:space="0" w:color="auto"/>
                <w:right w:val="none" w:sz="0" w:space="0" w:color="auto"/>
              </w:divBdr>
            </w:div>
            <w:div w:id="1147745989">
              <w:marLeft w:val="0"/>
              <w:marRight w:val="0"/>
              <w:marTop w:val="0"/>
              <w:marBottom w:val="0"/>
              <w:divBdr>
                <w:top w:val="none" w:sz="0" w:space="0" w:color="auto"/>
                <w:left w:val="none" w:sz="0" w:space="0" w:color="auto"/>
                <w:bottom w:val="none" w:sz="0" w:space="0" w:color="auto"/>
                <w:right w:val="none" w:sz="0" w:space="0" w:color="auto"/>
              </w:divBdr>
            </w:div>
            <w:div w:id="2065788603">
              <w:marLeft w:val="0"/>
              <w:marRight w:val="0"/>
              <w:marTop w:val="0"/>
              <w:marBottom w:val="0"/>
              <w:divBdr>
                <w:top w:val="none" w:sz="0" w:space="0" w:color="auto"/>
                <w:left w:val="none" w:sz="0" w:space="0" w:color="auto"/>
                <w:bottom w:val="none" w:sz="0" w:space="0" w:color="auto"/>
                <w:right w:val="none" w:sz="0" w:space="0" w:color="auto"/>
              </w:divBdr>
            </w:div>
            <w:div w:id="1517042546">
              <w:marLeft w:val="0"/>
              <w:marRight w:val="0"/>
              <w:marTop w:val="0"/>
              <w:marBottom w:val="0"/>
              <w:divBdr>
                <w:top w:val="none" w:sz="0" w:space="0" w:color="auto"/>
                <w:left w:val="none" w:sz="0" w:space="0" w:color="auto"/>
                <w:bottom w:val="none" w:sz="0" w:space="0" w:color="auto"/>
                <w:right w:val="none" w:sz="0" w:space="0" w:color="auto"/>
              </w:divBdr>
            </w:div>
            <w:div w:id="1635674023">
              <w:marLeft w:val="0"/>
              <w:marRight w:val="0"/>
              <w:marTop w:val="0"/>
              <w:marBottom w:val="0"/>
              <w:divBdr>
                <w:top w:val="none" w:sz="0" w:space="0" w:color="auto"/>
                <w:left w:val="none" w:sz="0" w:space="0" w:color="auto"/>
                <w:bottom w:val="none" w:sz="0" w:space="0" w:color="auto"/>
                <w:right w:val="none" w:sz="0" w:space="0" w:color="auto"/>
              </w:divBdr>
            </w:div>
            <w:div w:id="1001587471">
              <w:marLeft w:val="0"/>
              <w:marRight w:val="0"/>
              <w:marTop w:val="0"/>
              <w:marBottom w:val="0"/>
              <w:divBdr>
                <w:top w:val="none" w:sz="0" w:space="0" w:color="auto"/>
                <w:left w:val="none" w:sz="0" w:space="0" w:color="auto"/>
                <w:bottom w:val="none" w:sz="0" w:space="0" w:color="auto"/>
                <w:right w:val="none" w:sz="0" w:space="0" w:color="auto"/>
              </w:divBdr>
            </w:div>
            <w:div w:id="1436712817">
              <w:marLeft w:val="0"/>
              <w:marRight w:val="0"/>
              <w:marTop w:val="0"/>
              <w:marBottom w:val="0"/>
              <w:divBdr>
                <w:top w:val="none" w:sz="0" w:space="0" w:color="auto"/>
                <w:left w:val="none" w:sz="0" w:space="0" w:color="auto"/>
                <w:bottom w:val="none" w:sz="0" w:space="0" w:color="auto"/>
                <w:right w:val="none" w:sz="0" w:space="0" w:color="auto"/>
              </w:divBdr>
            </w:div>
            <w:div w:id="398864237">
              <w:marLeft w:val="0"/>
              <w:marRight w:val="0"/>
              <w:marTop w:val="0"/>
              <w:marBottom w:val="0"/>
              <w:divBdr>
                <w:top w:val="none" w:sz="0" w:space="0" w:color="auto"/>
                <w:left w:val="none" w:sz="0" w:space="0" w:color="auto"/>
                <w:bottom w:val="none" w:sz="0" w:space="0" w:color="auto"/>
                <w:right w:val="none" w:sz="0" w:space="0" w:color="auto"/>
              </w:divBdr>
            </w:div>
            <w:div w:id="849179045">
              <w:marLeft w:val="0"/>
              <w:marRight w:val="0"/>
              <w:marTop w:val="0"/>
              <w:marBottom w:val="0"/>
              <w:divBdr>
                <w:top w:val="none" w:sz="0" w:space="0" w:color="auto"/>
                <w:left w:val="none" w:sz="0" w:space="0" w:color="auto"/>
                <w:bottom w:val="none" w:sz="0" w:space="0" w:color="auto"/>
                <w:right w:val="none" w:sz="0" w:space="0" w:color="auto"/>
              </w:divBdr>
            </w:div>
            <w:div w:id="710112137">
              <w:marLeft w:val="0"/>
              <w:marRight w:val="0"/>
              <w:marTop w:val="0"/>
              <w:marBottom w:val="0"/>
              <w:divBdr>
                <w:top w:val="none" w:sz="0" w:space="0" w:color="auto"/>
                <w:left w:val="none" w:sz="0" w:space="0" w:color="auto"/>
                <w:bottom w:val="none" w:sz="0" w:space="0" w:color="auto"/>
                <w:right w:val="none" w:sz="0" w:space="0" w:color="auto"/>
              </w:divBdr>
            </w:div>
            <w:div w:id="889610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166218">
      <w:bodyDiv w:val="1"/>
      <w:marLeft w:val="0"/>
      <w:marRight w:val="0"/>
      <w:marTop w:val="0"/>
      <w:marBottom w:val="0"/>
      <w:divBdr>
        <w:top w:val="none" w:sz="0" w:space="0" w:color="auto"/>
        <w:left w:val="none" w:sz="0" w:space="0" w:color="auto"/>
        <w:bottom w:val="none" w:sz="0" w:space="0" w:color="auto"/>
        <w:right w:val="none" w:sz="0" w:space="0" w:color="auto"/>
      </w:divBdr>
      <w:divsChild>
        <w:div w:id="1042562541">
          <w:marLeft w:val="0"/>
          <w:marRight w:val="0"/>
          <w:marTop w:val="0"/>
          <w:marBottom w:val="0"/>
          <w:divBdr>
            <w:top w:val="none" w:sz="0" w:space="0" w:color="auto"/>
            <w:left w:val="none" w:sz="0" w:space="0" w:color="auto"/>
            <w:bottom w:val="none" w:sz="0" w:space="0" w:color="auto"/>
            <w:right w:val="none" w:sz="0" w:space="0" w:color="auto"/>
          </w:divBdr>
          <w:divsChild>
            <w:div w:id="1690133113">
              <w:marLeft w:val="0"/>
              <w:marRight w:val="0"/>
              <w:marTop w:val="0"/>
              <w:marBottom w:val="0"/>
              <w:divBdr>
                <w:top w:val="none" w:sz="0" w:space="0" w:color="auto"/>
                <w:left w:val="none" w:sz="0" w:space="0" w:color="auto"/>
                <w:bottom w:val="none" w:sz="0" w:space="0" w:color="auto"/>
                <w:right w:val="none" w:sz="0" w:space="0" w:color="auto"/>
              </w:divBdr>
            </w:div>
            <w:div w:id="1805733549">
              <w:marLeft w:val="0"/>
              <w:marRight w:val="0"/>
              <w:marTop w:val="0"/>
              <w:marBottom w:val="0"/>
              <w:divBdr>
                <w:top w:val="none" w:sz="0" w:space="0" w:color="auto"/>
                <w:left w:val="none" w:sz="0" w:space="0" w:color="auto"/>
                <w:bottom w:val="none" w:sz="0" w:space="0" w:color="auto"/>
                <w:right w:val="none" w:sz="0" w:space="0" w:color="auto"/>
              </w:divBdr>
            </w:div>
            <w:div w:id="1438331429">
              <w:marLeft w:val="0"/>
              <w:marRight w:val="0"/>
              <w:marTop w:val="0"/>
              <w:marBottom w:val="0"/>
              <w:divBdr>
                <w:top w:val="none" w:sz="0" w:space="0" w:color="auto"/>
                <w:left w:val="none" w:sz="0" w:space="0" w:color="auto"/>
                <w:bottom w:val="none" w:sz="0" w:space="0" w:color="auto"/>
                <w:right w:val="none" w:sz="0" w:space="0" w:color="auto"/>
              </w:divBdr>
            </w:div>
            <w:div w:id="972366168">
              <w:marLeft w:val="0"/>
              <w:marRight w:val="0"/>
              <w:marTop w:val="0"/>
              <w:marBottom w:val="0"/>
              <w:divBdr>
                <w:top w:val="none" w:sz="0" w:space="0" w:color="auto"/>
                <w:left w:val="none" w:sz="0" w:space="0" w:color="auto"/>
                <w:bottom w:val="none" w:sz="0" w:space="0" w:color="auto"/>
                <w:right w:val="none" w:sz="0" w:space="0" w:color="auto"/>
              </w:divBdr>
            </w:div>
            <w:div w:id="136605076">
              <w:marLeft w:val="0"/>
              <w:marRight w:val="0"/>
              <w:marTop w:val="0"/>
              <w:marBottom w:val="0"/>
              <w:divBdr>
                <w:top w:val="none" w:sz="0" w:space="0" w:color="auto"/>
                <w:left w:val="none" w:sz="0" w:space="0" w:color="auto"/>
                <w:bottom w:val="none" w:sz="0" w:space="0" w:color="auto"/>
                <w:right w:val="none" w:sz="0" w:space="0" w:color="auto"/>
              </w:divBdr>
            </w:div>
            <w:div w:id="1389911924">
              <w:marLeft w:val="0"/>
              <w:marRight w:val="0"/>
              <w:marTop w:val="0"/>
              <w:marBottom w:val="0"/>
              <w:divBdr>
                <w:top w:val="none" w:sz="0" w:space="0" w:color="auto"/>
                <w:left w:val="none" w:sz="0" w:space="0" w:color="auto"/>
                <w:bottom w:val="none" w:sz="0" w:space="0" w:color="auto"/>
                <w:right w:val="none" w:sz="0" w:space="0" w:color="auto"/>
              </w:divBdr>
            </w:div>
            <w:div w:id="1224635429">
              <w:marLeft w:val="0"/>
              <w:marRight w:val="0"/>
              <w:marTop w:val="0"/>
              <w:marBottom w:val="0"/>
              <w:divBdr>
                <w:top w:val="none" w:sz="0" w:space="0" w:color="auto"/>
                <w:left w:val="none" w:sz="0" w:space="0" w:color="auto"/>
                <w:bottom w:val="none" w:sz="0" w:space="0" w:color="auto"/>
                <w:right w:val="none" w:sz="0" w:space="0" w:color="auto"/>
              </w:divBdr>
            </w:div>
            <w:div w:id="586548019">
              <w:marLeft w:val="0"/>
              <w:marRight w:val="0"/>
              <w:marTop w:val="0"/>
              <w:marBottom w:val="0"/>
              <w:divBdr>
                <w:top w:val="none" w:sz="0" w:space="0" w:color="auto"/>
                <w:left w:val="none" w:sz="0" w:space="0" w:color="auto"/>
                <w:bottom w:val="none" w:sz="0" w:space="0" w:color="auto"/>
                <w:right w:val="none" w:sz="0" w:space="0" w:color="auto"/>
              </w:divBdr>
            </w:div>
            <w:div w:id="1512991200">
              <w:marLeft w:val="0"/>
              <w:marRight w:val="0"/>
              <w:marTop w:val="0"/>
              <w:marBottom w:val="0"/>
              <w:divBdr>
                <w:top w:val="none" w:sz="0" w:space="0" w:color="auto"/>
                <w:left w:val="none" w:sz="0" w:space="0" w:color="auto"/>
                <w:bottom w:val="none" w:sz="0" w:space="0" w:color="auto"/>
                <w:right w:val="none" w:sz="0" w:space="0" w:color="auto"/>
              </w:divBdr>
            </w:div>
            <w:div w:id="1593858049">
              <w:marLeft w:val="0"/>
              <w:marRight w:val="0"/>
              <w:marTop w:val="0"/>
              <w:marBottom w:val="0"/>
              <w:divBdr>
                <w:top w:val="none" w:sz="0" w:space="0" w:color="auto"/>
                <w:left w:val="none" w:sz="0" w:space="0" w:color="auto"/>
                <w:bottom w:val="none" w:sz="0" w:space="0" w:color="auto"/>
                <w:right w:val="none" w:sz="0" w:space="0" w:color="auto"/>
              </w:divBdr>
            </w:div>
            <w:div w:id="700785937">
              <w:marLeft w:val="0"/>
              <w:marRight w:val="0"/>
              <w:marTop w:val="0"/>
              <w:marBottom w:val="0"/>
              <w:divBdr>
                <w:top w:val="none" w:sz="0" w:space="0" w:color="auto"/>
                <w:left w:val="none" w:sz="0" w:space="0" w:color="auto"/>
                <w:bottom w:val="none" w:sz="0" w:space="0" w:color="auto"/>
                <w:right w:val="none" w:sz="0" w:space="0" w:color="auto"/>
              </w:divBdr>
            </w:div>
            <w:div w:id="582102082">
              <w:marLeft w:val="0"/>
              <w:marRight w:val="0"/>
              <w:marTop w:val="0"/>
              <w:marBottom w:val="0"/>
              <w:divBdr>
                <w:top w:val="none" w:sz="0" w:space="0" w:color="auto"/>
                <w:left w:val="none" w:sz="0" w:space="0" w:color="auto"/>
                <w:bottom w:val="none" w:sz="0" w:space="0" w:color="auto"/>
                <w:right w:val="none" w:sz="0" w:space="0" w:color="auto"/>
              </w:divBdr>
            </w:div>
            <w:div w:id="760562722">
              <w:marLeft w:val="0"/>
              <w:marRight w:val="0"/>
              <w:marTop w:val="0"/>
              <w:marBottom w:val="0"/>
              <w:divBdr>
                <w:top w:val="none" w:sz="0" w:space="0" w:color="auto"/>
                <w:left w:val="none" w:sz="0" w:space="0" w:color="auto"/>
                <w:bottom w:val="none" w:sz="0" w:space="0" w:color="auto"/>
                <w:right w:val="none" w:sz="0" w:space="0" w:color="auto"/>
              </w:divBdr>
            </w:div>
            <w:div w:id="1371877873">
              <w:marLeft w:val="0"/>
              <w:marRight w:val="0"/>
              <w:marTop w:val="0"/>
              <w:marBottom w:val="0"/>
              <w:divBdr>
                <w:top w:val="none" w:sz="0" w:space="0" w:color="auto"/>
                <w:left w:val="none" w:sz="0" w:space="0" w:color="auto"/>
                <w:bottom w:val="none" w:sz="0" w:space="0" w:color="auto"/>
                <w:right w:val="none" w:sz="0" w:space="0" w:color="auto"/>
              </w:divBdr>
            </w:div>
            <w:div w:id="1683556593">
              <w:marLeft w:val="0"/>
              <w:marRight w:val="0"/>
              <w:marTop w:val="0"/>
              <w:marBottom w:val="0"/>
              <w:divBdr>
                <w:top w:val="none" w:sz="0" w:space="0" w:color="auto"/>
                <w:left w:val="none" w:sz="0" w:space="0" w:color="auto"/>
                <w:bottom w:val="none" w:sz="0" w:space="0" w:color="auto"/>
                <w:right w:val="none" w:sz="0" w:space="0" w:color="auto"/>
              </w:divBdr>
            </w:div>
            <w:div w:id="1274945823">
              <w:marLeft w:val="0"/>
              <w:marRight w:val="0"/>
              <w:marTop w:val="0"/>
              <w:marBottom w:val="0"/>
              <w:divBdr>
                <w:top w:val="none" w:sz="0" w:space="0" w:color="auto"/>
                <w:left w:val="none" w:sz="0" w:space="0" w:color="auto"/>
                <w:bottom w:val="none" w:sz="0" w:space="0" w:color="auto"/>
                <w:right w:val="none" w:sz="0" w:space="0" w:color="auto"/>
              </w:divBdr>
            </w:div>
            <w:div w:id="323707968">
              <w:marLeft w:val="0"/>
              <w:marRight w:val="0"/>
              <w:marTop w:val="0"/>
              <w:marBottom w:val="0"/>
              <w:divBdr>
                <w:top w:val="none" w:sz="0" w:space="0" w:color="auto"/>
                <w:left w:val="none" w:sz="0" w:space="0" w:color="auto"/>
                <w:bottom w:val="none" w:sz="0" w:space="0" w:color="auto"/>
                <w:right w:val="none" w:sz="0" w:space="0" w:color="auto"/>
              </w:divBdr>
            </w:div>
            <w:div w:id="972055573">
              <w:marLeft w:val="0"/>
              <w:marRight w:val="0"/>
              <w:marTop w:val="0"/>
              <w:marBottom w:val="0"/>
              <w:divBdr>
                <w:top w:val="none" w:sz="0" w:space="0" w:color="auto"/>
                <w:left w:val="none" w:sz="0" w:space="0" w:color="auto"/>
                <w:bottom w:val="none" w:sz="0" w:space="0" w:color="auto"/>
                <w:right w:val="none" w:sz="0" w:space="0" w:color="auto"/>
              </w:divBdr>
            </w:div>
            <w:div w:id="244538010">
              <w:marLeft w:val="0"/>
              <w:marRight w:val="0"/>
              <w:marTop w:val="0"/>
              <w:marBottom w:val="0"/>
              <w:divBdr>
                <w:top w:val="none" w:sz="0" w:space="0" w:color="auto"/>
                <w:left w:val="none" w:sz="0" w:space="0" w:color="auto"/>
                <w:bottom w:val="none" w:sz="0" w:space="0" w:color="auto"/>
                <w:right w:val="none" w:sz="0" w:space="0" w:color="auto"/>
              </w:divBdr>
            </w:div>
            <w:div w:id="1060784469">
              <w:marLeft w:val="0"/>
              <w:marRight w:val="0"/>
              <w:marTop w:val="0"/>
              <w:marBottom w:val="0"/>
              <w:divBdr>
                <w:top w:val="none" w:sz="0" w:space="0" w:color="auto"/>
                <w:left w:val="none" w:sz="0" w:space="0" w:color="auto"/>
                <w:bottom w:val="none" w:sz="0" w:space="0" w:color="auto"/>
                <w:right w:val="none" w:sz="0" w:space="0" w:color="auto"/>
              </w:divBdr>
            </w:div>
            <w:div w:id="1001196638">
              <w:marLeft w:val="0"/>
              <w:marRight w:val="0"/>
              <w:marTop w:val="0"/>
              <w:marBottom w:val="0"/>
              <w:divBdr>
                <w:top w:val="none" w:sz="0" w:space="0" w:color="auto"/>
                <w:left w:val="none" w:sz="0" w:space="0" w:color="auto"/>
                <w:bottom w:val="none" w:sz="0" w:space="0" w:color="auto"/>
                <w:right w:val="none" w:sz="0" w:space="0" w:color="auto"/>
              </w:divBdr>
            </w:div>
            <w:div w:id="1057433110">
              <w:marLeft w:val="0"/>
              <w:marRight w:val="0"/>
              <w:marTop w:val="0"/>
              <w:marBottom w:val="0"/>
              <w:divBdr>
                <w:top w:val="none" w:sz="0" w:space="0" w:color="auto"/>
                <w:left w:val="none" w:sz="0" w:space="0" w:color="auto"/>
                <w:bottom w:val="none" w:sz="0" w:space="0" w:color="auto"/>
                <w:right w:val="none" w:sz="0" w:space="0" w:color="auto"/>
              </w:divBdr>
            </w:div>
            <w:div w:id="1054234124">
              <w:marLeft w:val="0"/>
              <w:marRight w:val="0"/>
              <w:marTop w:val="0"/>
              <w:marBottom w:val="0"/>
              <w:divBdr>
                <w:top w:val="none" w:sz="0" w:space="0" w:color="auto"/>
                <w:left w:val="none" w:sz="0" w:space="0" w:color="auto"/>
                <w:bottom w:val="none" w:sz="0" w:space="0" w:color="auto"/>
                <w:right w:val="none" w:sz="0" w:space="0" w:color="auto"/>
              </w:divBdr>
            </w:div>
            <w:div w:id="1582985648">
              <w:marLeft w:val="0"/>
              <w:marRight w:val="0"/>
              <w:marTop w:val="0"/>
              <w:marBottom w:val="0"/>
              <w:divBdr>
                <w:top w:val="none" w:sz="0" w:space="0" w:color="auto"/>
                <w:left w:val="none" w:sz="0" w:space="0" w:color="auto"/>
                <w:bottom w:val="none" w:sz="0" w:space="0" w:color="auto"/>
                <w:right w:val="none" w:sz="0" w:space="0" w:color="auto"/>
              </w:divBdr>
            </w:div>
            <w:div w:id="1814562389">
              <w:marLeft w:val="0"/>
              <w:marRight w:val="0"/>
              <w:marTop w:val="0"/>
              <w:marBottom w:val="0"/>
              <w:divBdr>
                <w:top w:val="none" w:sz="0" w:space="0" w:color="auto"/>
                <w:left w:val="none" w:sz="0" w:space="0" w:color="auto"/>
                <w:bottom w:val="none" w:sz="0" w:space="0" w:color="auto"/>
                <w:right w:val="none" w:sz="0" w:space="0" w:color="auto"/>
              </w:divBdr>
            </w:div>
            <w:div w:id="1216427747">
              <w:marLeft w:val="0"/>
              <w:marRight w:val="0"/>
              <w:marTop w:val="0"/>
              <w:marBottom w:val="0"/>
              <w:divBdr>
                <w:top w:val="none" w:sz="0" w:space="0" w:color="auto"/>
                <w:left w:val="none" w:sz="0" w:space="0" w:color="auto"/>
                <w:bottom w:val="none" w:sz="0" w:space="0" w:color="auto"/>
                <w:right w:val="none" w:sz="0" w:space="0" w:color="auto"/>
              </w:divBdr>
            </w:div>
            <w:div w:id="2051420669">
              <w:marLeft w:val="0"/>
              <w:marRight w:val="0"/>
              <w:marTop w:val="0"/>
              <w:marBottom w:val="0"/>
              <w:divBdr>
                <w:top w:val="none" w:sz="0" w:space="0" w:color="auto"/>
                <w:left w:val="none" w:sz="0" w:space="0" w:color="auto"/>
                <w:bottom w:val="none" w:sz="0" w:space="0" w:color="auto"/>
                <w:right w:val="none" w:sz="0" w:space="0" w:color="auto"/>
              </w:divBdr>
            </w:div>
            <w:div w:id="1785807979">
              <w:marLeft w:val="0"/>
              <w:marRight w:val="0"/>
              <w:marTop w:val="0"/>
              <w:marBottom w:val="0"/>
              <w:divBdr>
                <w:top w:val="none" w:sz="0" w:space="0" w:color="auto"/>
                <w:left w:val="none" w:sz="0" w:space="0" w:color="auto"/>
                <w:bottom w:val="none" w:sz="0" w:space="0" w:color="auto"/>
                <w:right w:val="none" w:sz="0" w:space="0" w:color="auto"/>
              </w:divBdr>
            </w:div>
            <w:div w:id="1821381099">
              <w:marLeft w:val="0"/>
              <w:marRight w:val="0"/>
              <w:marTop w:val="0"/>
              <w:marBottom w:val="0"/>
              <w:divBdr>
                <w:top w:val="none" w:sz="0" w:space="0" w:color="auto"/>
                <w:left w:val="none" w:sz="0" w:space="0" w:color="auto"/>
                <w:bottom w:val="none" w:sz="0" w:space="0" w:color="auto"/>
                <w:right w:val="none" w:sz="0" w:space="0" w:color="auto"/>
              </w:divBdr>
            </w:div>
            <w:div w:id="1871531933">
              <w:marLeft w:val="0"/>
              <w:marRight w:val="0"/>
              <w:marTop w:val="0"/>
              <w:marBottom w:val="0"/>
              <w:divBdr>
                <w:top w:val="none" w:sz="0" w:space="0" w:color="auto"/>
                <w:left w:val="none" w:sz="0" w:space="0" w:color="auto"/>
                <w:bottom w:val="none" w:sz="0" w:space="0" w:color="auto"/>
                <w:right w:val="none" w:sz="0" w:space="0" w:color="auto"/>
              </w:divBdr>
            </w:div>
            <w:div w:id="347372469">
              <w:marLeft w:val="0"/>
              <w:marRight w:val="0"/>
              <w:marTop w:val="0"/>
              <w:marBottom w:val="0"/>
              <w:divBdr>
                <w:top w:val="none" w:sz="0" w:space="0" w:color="auto"/>
                <w:left w:val="none" w:sz="0" w:space="0" w:color="auto"/>
                <w:bottom w:val="none" w:sz="0" w:space="0" w:color="auto"/>
                <w:right w:val="none" w:sz="0" w:space="0" w:color="auto"/>
              </w:divBdr>
            </w:div>
            <w:div w:id="659188733">
              <w:marLeft w:val="0"/>
              <w:marRight w:val="0"/>
              <w:marTop w:val="0"/>
              <w:marBottom w:val="0"/>
              <w:divBdr>
                <w:top w:val="none" w:sz="0" w:space="0" w:color="auto"/>
                <w:left w:val="none" w:sz="0" w:space="0" w:color="auto"/>
                <w:bottom w:val="none" w:sz="0" w:space="0" w:color="auto"/>
                <w:right w:val="none" w:sz="0" w:space="0" w:color="auto"/>
              </w:divBdr>
            </w:div>
            <w:div w:id="829831827">
              <w:marLeft w:val="0"/>
              <w:marRight w:val="0"/>
              <w:marTop w:val="0"/>
              <w:marBottom w:val="0"/>
              <w:divBdr>
                <w:top w:val="none" w:sz="0" w:space="0" w:color="auto"/>
                <w:left w:val="none" w:sz="0" w:space="0" w:color="auto"/>
                <w:bottom w:val="none" w:sz="0" w:space="0" w:color="auto"/>
                <w:right w:val="none" w:sz="0" w:space="0" w:color="auto"/>
              </w:divBdr>
            </w:div>
            <w:div w:id="1127817426">
              <w:marLeft w:val="0"/>
              <w:marRight w:val="0"/>
              <w:marTop w:val="0"/>
              <w:marBottom w:val="0"/>
              <w:divBdr>
                <w:top w:val="none" w:sz="0" w:space="0" w:color="auto"/>
                <w:left w:val="none" w:sz="0" w:space="0" w:color="auto"/>
                <w:bottom w:val="none" w:sz="0" w:space="0" w:color="auto"/>
                <w:right w:val="none" w:sz="0" w:space="0" w:color="auto"/>
              </w:divBdr>
            </w:div>
            <w:div w:id="1428575227">
              <w:marLeft w:val="0"/>
              <w:marRight w:val="0"/>
              <w:marTop w:val="0"/>
              <w:marBottom w:val="0"/>
              <w:divBdr>
                <w:top w:val="none" w:sz="0" w:space="0" w:color="auto"/>
                <w:left w:val="none" w:sz="0" w:space="0" w:color="auto"/>
                <w:bottom w:val="none" w:sz="0" w:space="0" w:color="auto"/>
                <w:right w:val="none" w:sz="0" w:space="0" w:color="auto"/>
              </w:divBdr>
            </w:div>
            <w:div w:id="1466042333">
              <w:marLeft w:val="0"/>
              <w:marRight w:val="0"/>
              <w:marTop w:val="0"/>
              <w:marBottom w:val="0"/>
              <w:divBdr>
                <w:top w:val="none" w:sz="0" w:space="0" w:color="auto"/>
                <w:left w:val="none" w:sz="0" w:space="0" w:color="auto"/>
                <w:bottom w:val="none" w:sz="0" w:space="0" w:color="auto"/>
                <w:right w:val="none" w:sz="0" w:space="0" w:color="auto"/>
              </w:divBdr>
            </w:div>
            <w:div w:id="1638492873">
              <w:marLeft w:val="0"/>
              <w:marRight w:val="0"/>
              <w:marTop w:val="0"/>
              <w:marBottom w:val="0"/>
              <w:divBdr>
                <w:top w:val="none" w:sz="0" w:space="0" w:color="auto"/>
                <w:left w:val="none" w:sz="0" w:space="0" w:color="auto"/>
                <w:bottom w:val="none" w:sz="0" w:space="0" w:color="auto"/>
                <w:right w:val="none" w:sz="0" w:space="0" w:color="auto"/>
              </w:divBdr>
            </w:div>
            <w:div w:id="101845966">
              <w:marLeft w:val="0"/>
              <w:marRight w:val="0"/>
              <w:marTop w:val="0"/>
              <w:marBottom w:val="0"/>
              <w:divBdr>
                <w:top w:val="none" w:sz="0" w:space="0" w:color="auto"/>
                <w:left w:val="none" w:sz="0" w:space="0" w:color="auto"/>
                <w:bottom w:val="none" w:sz="0" w:space="0" w:color="auto"/>
                <w:right w:val="none" w:sz="0" w:space="0" w:color="auto"/>
              </w:divBdr>
            </w:div>
            <w:div w:id="2012684967">
              <w:marLeft w:val="0"/>
              <w:marRight w:val="0"/>
              <w:marTop w:val="0"/>
              <w:marBottom w:val="0"/>
              <w:divBdr>
                <w:top w:val="none" w:sz="0" w:space="0" w:color="auto"/>
                <w:left w:val="none" w:sz="0" w:space="0" w:color="auto"/>
                <w:bottom w:val="none" w:sz="0" w:space="0" w:color="auto"/>
                <w:right w:val="none" w:sz="0" w:space="0" w:color="auto"/>
              </w:divBdr>
            </w:div>
            <w:div w:id="300235370">
              <w:marLeft w:val="0"/>
              <w:marRight w:val="0"/>
              <w:marTop w:val="0"/>
              <w:marBottom w:val="0"/>
              <w:divBdr>
                <w:top w:val="none" w:sz="0" w:space="0" w:color="auto"/>
                <w:left w:val="none" w:sz="0" w:space="0" w:color="auto"/>
                <w:bottom w:val="none" w:sz="0" w:space="0" w:color="auto"/>
                <w:right w:val="none" w:sz="0" w:space="0" w:color="auto"/>
              </w:divBdr>
            </w:div>
            <w:div w:id="1381319380">
              <w:marLeft w:val="0"/>
              <w:marRight w:val="0"/>
              <w:marTop w:val="0"/>
              <w:marBottom w:val="0"/>
              <w:divBdr>
                <w:top w:val="none" w:sz="0" w:space="0" w:color="auto"/>
                <w:left w:val="none" w:sz="0" w:space="0" w:color="auto"/>
                <w:bottom w:val="none" w:sz="0" w:space="0" w:color="auto"/>
                <w:right w:val="none" w:sz="0" w:space="0" w:color="auto"/>
              </w:divBdr>
            </w:div>
            <w:div w:id="793447284">
              <w:marLeft w:val="0"/>
              <w:marRight w:val="0"/>
              <w:marTop w:val="0"/>
              <w:marBottom w:val="0"/>
              <w:divBdr>
                <w:top w:val="none" w:sz="0" w:space="0" w:color="auto"/>
                <w:left w:val="none" w:sz="0" w:space="0" w:color="auto"/>
                <w:bottom w:val="none" w:sz="0" w:space="0" w:color="auto"/>
                <w:right w:val="none" w:sz="0" w:space="0" w:color="auto"/>
              </w:divBdr>
            </w:div>
            <w:div w:id="541400743">
              <w:marLeft w:val="0"/>
              <w:marRight w:val="0"/>
              <w:marTop w:val="0"/>
              <w:marBottom w:val="0"/>
              <w:divBdr>
                <w:top w:val="none" w:sz="0" w:space="0" w:color="auto"/>
                <w:left w:val="none" w:sz="0" w:space="0" w:color="auto"/>
                <w:bottom w:val="none" w:sz="0" w:space="0" w:color="auto"/>
                <w:right w:val="none" w:sz="0" w:space="0" w:color="auto"/>
              </w:divBdr>
            </w:div>
            <w:div w:id="206602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2005</Words>
  <Characters>16709</Characters>
  <Application>Microsoft Office Word</Application>
  <DocSecurity>0</DocSecurity>
  <Lines>341</Lines>
  <Paragraphs>164</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18550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Ines Varvodic</cp:lastModifiedBy>
  <cp:revision>2</cp:revision>
  <dcterms:created xsi:type="dcterms:W3CDTF">2022-02-14T12:58:00Z</dcterms:created>
  <dcterms:modified xsi:type="dcterms:W3CDTF">2022-02-14T12:58:00Z</dcterms:modified>
</cp:coreProperties>
</file>