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501B" w:rsidRPr="00B00403" w:rsidRDefault="00B9501B" w:rsidP="00B9501B">
      <w:pPr>
        <w:pStyle w:val="PlainText"/>
        <w:rPr>
          <w:sz w:val="20"/>
          <w:szCs w:val="20"/>
          <w:rFonts w:ascii="Courier New" w:hAnsi="Courier New" w:cs="Courier New"/>
        </w:rPr>
      </w:pPr>
      <w:r>
        <w:rPr>
          <w:sz w:val="20"/>
          <w:szCs w:val="20"/>
          <w:rFonts w:ascii="Courier New" w:hAnsi="Courier New"/>
        </w:rPr>
        <w:t xml:space="preserve">1.</w:t>
      </w:r>
      <w:r>
        <w:rPr>
          <w:sz w:val="20"/>
          <w:szCs w:val="20"/>
          <w:rFonts w:ascii="Courier New" w:hAnsi="Courier New"/>
        </w:rPr>
        <w:t xml:space="preserve"> </w:t>
      </w:r>
      <w:r>
        <w:rPr>
          <w:sz w:val="20"/>
          <w:szCs w:val="20"/>
          <w:rFonts w:ascii="Courier New" w:hAnsi="Courier New"/>
        </w:rPr>
        <w:t xml:space="preserve">------IND- 2017 0142 F-- FR- ------ 20181109 --- --- FINAL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19 lipca 2018 r.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Dziennik Urzędowy Republiki Francuskiej nr 0130 z dnia 8 czerwca 2018 r.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Tekst nr 6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b/>
          <w:bCs/>
          <w:sz w:val="24"/>
          <w:szCs w:val="24"/>
          <w:rFonts w:ascii="Arial" w:hAnsi="Arial"/>
        </w:rPr>
        <w:t xml:space="preserve">Rozporządzenie z dnia 1 czerwca 2018 r. zmieniające rozporządzenie z dnia 23 grudnia 1999 r., ze zmianami, w sprawie charakterystyki oleju napędowego i oleju napędowego zimowego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NR REF.: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TRER1807855A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sz w:val="24"/>
          <w:szCs w:val="24"/>
          <w:rFonts w:ascii="Arial" w:hAnsi="Arial" w:cs="Arial"/>
        </w:rPr>
      </w:pPr>
      <w:r>
        <w:rPr>
          <w:sz w:val="20"/>
          <w:szCs w:val="20"/>
          <w:rFonts w:ascii="Arial" w:hAnsi="Arial"/>
        </w:rPr>
        <w:t xml:space="preserve">ELI:https://www.legifrance.gouv.fr/eli/arrete/2018/6/1/TRER1807855A/jo/texte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Zainteresowane społeczności: osoby fizyczne lub prawne, które zużywają paliwo stosowane do napędzania pojazdów drogowych.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Przedmiot: aktualizacja kilku specyfikacji technicznych oleju napędowego i oleju napędowego zimowego i wprowadzenie standardowych naklejek na dystrybutorach paliwa.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Wejście w życie: rozporządzenie zawiera niektóre środki dotyczące przedsiębiorstw, które podlegają mechanizmowi odroczonego wejścia w życie.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Niniejsze rozporządzenie wchodzi w życie następnego dnia po jego opublikowaniu z wyjątkiem niektórych przepisów art. 5 i przepisów art. 6, które wchodzą w życie w dniu 12 października 2018 r.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Uwaga: dyrektywa Parlamentu Europejskiego i Rady 2014/94/UE z dnia 22 października 2014 r. w sprawie rozwoju infrastruktury paliw alternatywnych musi być transponowana do prawa krajowego.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Pierwszy i drugi akapit w art. 7 tej dyrektywy wprowadzają informacje ujednolicone na poziomie UE na temat kompatybilności pojazdów oraz paliw tradycyjnych i alternatywnych dostępnych na stacjach.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Stanowią one, że państwa członkowskie muszą zagwarantować dostępność odpowiednich, spójnych i jasnych informacji na temat pojazdów silnikowych, które można regularnie zasilać różnymi paliwami dostępnymi na rynku.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Informacje muszą być proste, łatwo zrozumiałe i umieszczone w widoczny sposób, zwłaszcza w punktach tankowania.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Teksty podstawowe: rozporządzenie stanowi częściową transpozycję dyrektywy Parlamentu Europejskiego i Rady 2014/94/UE z dnia 22 października 2014 r. w sprawie rozwoju infrastruktury paliw alternatywnych.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Z tekstem można zapoznać się w witrynie internetowej Légifrance (http://www.legifrance.gouv.fr).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Stanu, Minister Transformacji Ekologicznej i Solidarnej, Minister Gospodarki i Finansów oraz Minister Działań i Rachunków Publicznych,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dyrektywę 2009/30/WE z dnia 23 kwietnia 2009 r. zmieniającą dyrektywę 98/70/WE odnoszącą się do specyfikacji benzyny i olejów napędowych oraz wprowadzającą mechanizm monitorowania i ograniczania emisji gazów cieplarnianych oraz zmieniającą dyrektywę Rady 1999/32/WE odnoszącą się do specyfikacji paliw wykorzystywanych przez statki żeglugi śródlądowej oraz uchylającą dyrektywę 93/12/EWG,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dyrektywę (UE) 2014/94 z dnia 22 października 2014 r. w sprawie rozwoju infrastruktury paliw alternatywnych,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dyrektywę (UE) 2015/1535 Parlamentu Europejskiego i Rady z dnia 9 września 2015 r. ustanawiającą procedurę udzielania informacji w dziedzinie przepisów technicznych oraz zasad dotyczących usług społeczeństwa informacyjnego,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kodeks energetyki, w szczególności jego art. D. 641-4 do D. 641-11,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rozporządzenie z dnia 23 grudnia 1999 r., ze zmianami, dotyczące charakterystyki oleju napędowego i oleju napędowego zimowego,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rozporządzenie z dnia 30 czerwca 2010 r., ze zmianami, w sprawie charakterystyki estrów metylowych kwasów tłuszczowych (FAME),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rozporządzenie z dnia 19 stycznia 2016 r., ze zmianami, w sprawie wykazu paliw zatwierdzonych zgodnie z przepisami art. 265 ter kodeksu celnego,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uwzględniając opinię komitetu technicznego ds. wykorzystania produktów naftowych z dnia 21 czerwca 2017 r.,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przyjmują następujące rozporządzenie: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1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Artykuł 1 rozporządzenia z dnia 23 grudnia 1999 r., ze zmianami, o którym mowa powyżej, otrzymuje brzmienie: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„Artykuł 1. – Olej napędowy można przechowywać w celu sprzedaży lub sprzedawać wyłącznie pod warunkiem jego zgodności z minimalnymi wymogami zdefiniowanymi w art. 2 lub inną normą bądź specyfikacją obowiązującą w państwie członkowskim Unii Europejskiej, innym państwie członkowskim Europejskiego Obszaru Gospodarczego lub Turcji, gwarantującą równoważny poziom jakości w takich samych warunkach pogodowych.”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2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Artykuł 2 wyżej wymienionego rozporządzenia z dnia 23 grudnia 1999 r., ze zmianami, otrzymuje brzmienie: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„Artykuł 2 .- Nazwą »olej napędowy« określa się mieszaninę węglowodorów pochodzenia mineralnego lub syntetycznego i ewentualnie estrów metylowych kwasów tłuszczowych zgodnie z warunkami przewidzianymi w rozporządzeniu z dnia 30 czerwca 2010 r., ze zmianami, przeznaczoną do zasilania silników cieplnych wysokoprężnych i odpowiadającą specyfikacji podanej poniżej: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a) charakterystyka techniczna jest zgodna z wymogami podanymi w załączniku I do niniejszego rozporządzenia;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b ) w odniesieniu do wymogów zależnych od warunków pogodowych charakterystyka zachowania w niskiej temperaturze oleju napędowego wystawianego na sprzedaż lub sprzedawanego na terenie kraju musi być zgodna ze szczegółowymi przepisami podanymi w załączniku II do niniejszego rozporządzenia;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c) olej napędowy nie może zawierać dodatku żadnego barwnika.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3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Artykuł 3 rozporządzenia z dnia 23 grudnia 1999 r., ze zmianami, dotyczącego charakterystyki oleju napędowego i oleju napędowego zimowego otrzymuje następujące brzmienie: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„Artykuł 3 .- Nazwą »zimowy olej napędowy« określa się olej napędowy zgodny ze specyfikacją zdefiniowaną w art. 2 powyżej, którego charakterystyka zachowania w niskiej temperaturze odpowiada szczegółowym postanowieniom podanym w załączniku 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4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Artykuł 4 rozporządzenia z dnia 23 grudnia 1999 r., ze zmianami, dotyczącego charakterystyki oleju napędowego i oleju napędowego zimowego otrzymuje następujące brzmienie: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„Artykuł 4 – Metody badania i interpretacji wyników pomiarów w odniesieniu do specyfikacji podanych w załącznikach I i II określa dyrektor właściwy do spraw węglowodorów w decyzji opublikowanej w Dzienniku Urzędowym Republiki Francuskiej.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5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Artykuł 6 wyżej wymienionego rozporządzenia z dnia 23 grudnia 1999 r., ze zmianami, otrzymuje brzmienie: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„Artykuł 6 .- Bez uszczerbku dla postanowień art. 2 nazwa Olej napędowy« oraz cena sprzedaży muszą być umieszczone na urządzeniu dystrybutora w postaci nieusuwalnych i bardzo widocznych znaków o wysokości co najmniej 2 cm.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przypadku dostarczania paliwa w pojemnikach wspomniana wyżej nazwa musi znajdować się na nich od momentu napełnienia w celu sprzedaży.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Od dnia 12 października 2018 r. na dystrybutorach należy umieścić w sposób wyraźny specjalne etykiety, do których nie ma zastosowania kryterium wysokości wymienione w akapicie pierwszym niniejszego artykułu.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Charakterystykę tej etykiety wyszczególniono w załączniku III.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”.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6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Od dnia 12 października 2018 r. załącznik I do wyżej wymienionego rozporządzenia z dnia 23 grudnia 1999 r. zastępuje się następującym załącznikiem: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„ZAŁĄCZNIK I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Charakterystyka techniczna</w:t>
      </w:r>
      <w:r>
        <w:rPr>
          <w:sz w:val="24"/>
          <w:szCs w:val="24"/>
          <w:rFonts w:ascii="Arial" w:hAnsi="Arial"/>
        </w:rPr>
        <w:t xml:space="preserve"> 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A268C7" w:rsidTr="00A268C7">
        <w:trPr>
          <w:gridAfter w:val="1"/>
          <w:wAfter w:w="2" w:type="dxa"/>
          <w:trHeight w:val="276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WŁASNOŚCI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JEDNOSTKA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WARTOŚCI DOPUSZCZALNE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</w:tr>
      <w:tr w:rsidR="00432F22">
        <w:trPr>
          <w:gridAfter w:val="1"/>
          <w:wAfter w:w="2" w:type="dxa"/>
          <w:trHeight w:val="276"/>
        </w:trPr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min.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maks.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Liczba cetanowa zmierzona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51,0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Liczba cetanowa obliczona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46,0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Gęstość (w temp. 15°C)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kg/m ³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820,0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845,0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Wielopierścieniowe węglowodory aromatyczne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% (m/m)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8,0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Zawartość siarki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mg/kg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10,0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Zawartość manganu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mg/l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2,0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Temperatura zapłonu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° C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&gt; 55,0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Pozostałość po koksowaniu (z 10% pozostałości destylacyjnej)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% (m/m)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0,30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Pozostałość po spopieleniu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% (m/m)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0,01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Zawartość wody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mg/kg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200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Całkowita zawartość zanieczyszczeń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mg/kg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24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8C7" w:rsidTr="00A268C7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Korozja paska miedzianego (3 godz. w temp. 50°C)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Notowanie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4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Klasa 1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Stabilność oksydacyjna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g/m ³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25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h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20 (1)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Smarowność, skorygowana średnicą śladu zużycia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(wsd 1,4) w 60° C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µm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460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Lepkość w 40° C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mm2/s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2,000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4,500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Destylacja: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- % obj. destyluje do temp. 250°C;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% obj.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&lt; 65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- % obj. destyluje do temp. 350°C;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% obj.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85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-95% obj. destyluje do temp.: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° C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360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Zawartość estru metylowego kwasów tłuszczowych zgodnie z rozporządzeniem z dnia 30 czerwca 2010 r., ze zmianami, w sprawie charakterystyki estru metylowego kwasów tłuszczowych (FAME)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% obj.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–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7,0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268C7" w:rsidTr="00A268C7">
        <w:tc>
          <w:tcPr>
            <w:tcW w:w="9600" w:type="dxa"/>
            <w:gridSpan w:val="4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(1) Dodatkowa specyfikacja dla olejów napędowych, w których zawartość FAME przekracza 2 % obj.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”.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7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Załącznik II do wyżej wymienionego rozporządzenia z dnia 23 grudnia 1999 r. zastępuje się następującym załącznikiem: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„ZAŁĄCZNIK II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Charakterystyka zachowania w niskich temperaturach we Francji metropolitalnej</w:t>
      </w:r>
      <w:r>
        <w:rPr>
          <w:sz w:val="24"/>
          <w:szCs w:val="24"/>
          <w:rFonts w:ascii="Arial" w:hAnsi="Arial"/>
        </w:rPr>
        <w:t xml:space="preserve"> 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2400"/>
        <w:gridCol w:w="2400"/>
        <w:gridCol w:w="2400"/>
        <w:gridCol w:w="30"/>
      </w:tblGrid>
      <w:tr w:rsidR="00432F22">
        <w:trPr>
          <w:gridAfter w:val="1"/>
          <w:wAfter w:w="2" w:type="dxa"/>
          <w:trHeight w:val="276"/>
        </w:trPr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Pora roku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Data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Klasa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Temperatura zablokowania zimnego filtra (maks. ° C)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Lato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1 kwietnia – -31 października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B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0° C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Zima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1 listopada – -31 marca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E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-15° C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432F22"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Zimowy olej napędowy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1 stycznia – -31 grudnia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F</w:t>
            </w:r>
          </w:p>
        </w:tc>
        <w:tc>
          <w:tcPr>
            <w:tcW w:w="24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-20° C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Charakterystyka zachowania w niskich temperaturach na Gwadelupie, Gujanie i Martynice</w:t>
      </w:r>
      <w:r>
        <w:rPr>
          <w:sz w:val="24"/>
          <w:szCs w:val="24"/>
          <w:rFonts w:ascii="Arial" w:hAnsi="Arial"/>
        </w:rPr>
        <w:t xml:space="preserve"> 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432F22">
        <w:trPr>
          <w:gridAfter w:val="1"/>
          <w:wAfter w:w="2" w:type="dxa"/>
          <w:trHeight w:val="276"/>
        </w:trPr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Data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Klasa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Temperatura zablokowania zimnego filtra (maks. ° C)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</w:tr>
      <w:tr w:rsidR="00432F22"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1 stycznia – -31 grudnia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B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0° C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Charakterystyka zachowania w niskich temperaturach na Majotcie i Reunion</w:t>
      </w:r>
      <w:r>
        <w:rPr>
          <w:sz w:val="24"/>
          <w:szCs w:val="24"/>
          <w:rFonts w:ascii="Arial" w:hAnsi="Arial"/>
        </w:rPr>
        <w:t xml:space="preserve">  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00"/>
        <w:gridCol w:w="3200"/>
        <w:gridCol w:w="3200"/>
        <w:gridCol w:w="30"/>
      </w:tblGrid>
      <w:tr w:rsidR="00432F22">
        <w:trPr>
          <w:gridAfter w:val="1"/>
          <w:wAfter w:w="2" w:type="dxa"/>
          <w:trHeight w:val="276"/>
        </w:trPr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Data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Klasa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Temperatura zablokowania zimnego filtra (maks. ° C)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</w:tr>
      <w:tr w:rsidR="00432F22"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1 stycznia – -31 grudnia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B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320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8" w:space="0" w:color="auto"/>
            </w:tcBorders>
            <w:tcMar>
              <w:top w:w="2" w:type="dxa"/>
              <w:left w:w="2" w:type="dxa"/>
              <w:bottom w:w="2" w:type="dxa"/>
              <w:right w:w="2" w:type="dxa"/>
            </w:tcMar>
          </w:tcPr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 </w:t>
            </w:r>
          </w:p>
          <w:p w:rsidR="00432F22" w:rsidRDefault="00BE6C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4"/>
                <w:szCs w:val="24"/>
                <w:rFonts w:ascii="Arial" w:hAnsi="Arial" w:cs="Arial"/>
              </w:rPr>
            </w:pPr>
            <w:r>
              <w:rPr>
                <w:sz w:val="24"/>
                <w:szCs w:val="24"/>
                <w:rFonts w:ascii="Arial" w:hAnsi="Arial"/>
              </w:rPr>
              <w:t xml:space="preserve">0° C</w:t>
            </w:r>
            <w:r>
              <w:rPr>
                <w:sz w:val="24"/>
                <w:szCs w:val="24"/>
                <w:rFonts w:ascii="Arial" w:hAnsi="Arial"/>
              </w:rPr>
              <w:t xml:space="preserve"> </w:t>
            </w:r>
          </w:p>
        </w:tc>
        <w:tc>
          <w:tcPr>
            <w:tcW w:w="2" w:type="dxa"/>
            <w:tcBorders>
              <w:top w:val="nil"/>
              <w:left w:val="nil"/>
              <w:bottom w:val="nil"/>
              <w:right w:val="nil"/>
            </w:tcBorders>
          </w:tcPr>
          <w:p w:rsidR="00432F22" w:rsidRDefault="00432F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”.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8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Do wyżej wspomnianego rozporządzenia z dnia 23 grudnia 1999 r. dodaje się załącznik III do niniejszego rozporządzenia.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9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Niniejsze rozporządzenie wchodzi w życie następnego dnia po jego opublikowaniu w Dzienniku Urzędowym Republiki Francuskiej z wyjątkiem niektórych przepisów art. 5 i przepisów art. 6, które wchodzą w życie w dniu 12 października 2018 r.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Artykuł 10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 wykonanie niniejszego rozporządzenia, które zostanie opublikowane w Dzienniku Urzędowym Republiki Francuskiej, są odpowiedzialni, każdy w zakresie swoich właściwości, Dyrektor ds. Energii, Dyrektor Generalna ds. Konkurencji, Konsumentów i Zwalczania Oszustw i Dyrektor Generalny ds. Ceł i Podatków Pośrednich.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b/>
          <w:rFonts w:ascii="Arial" w:hAnsi="Arial"/>
        </w:rPr>
        <w:t xml:space="preserve">Załącznik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ZAŁĄCZNIK III</w:t>
      </w:r>
      <w:r>
        <w:rPr>
          <w:sz w:val="24"/>
          <w:szCs w:val="24"/>
          <w:rFonts w:ascii="Arial" w:hAnsi="Arial"/>
        </w:rPr>
        <w:t xml:space="preserve"> 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SZCZEGÓŁOWA ETYKIETA, KTÓRĄ NALEŻY UMIESZCZAĆ NA DYSTRYBUTORACH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Na dystrybutorach musi być w widoczny sposób umieszczona szczegółowa etykieta.</w:t>
      </w:r>
      <w:r>
        <w:rPr>
          <w:sz w:val="24"/>
          <w:szCs w:val="24"/>
          <w:rFonts w:ascii="Arial" w:hAnsi="Arial"/>
        </w:rPr>
        <w:t xml:space="preserve"> </w:t>
      </w:r>
      <w:r>
        <w:rPr>
          <w:sz w:val="24"/>
          <w:szCs w:val="24"/>
          <w:rFonts w:ascii="Arial" w:hAnsi="Arial"/>
        </w:rPr>
        <w:t xml:space="preserve">Etykietę przedstawiono poniżej; jej szerokość wynosi co najmniej 4 cm: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Cały tekst z obrazami na podstawie wyciągu z uwierzytelnionego Elektronicznego Dziennika Urzędowego jest dostępny na dole strony.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Również na pistolecie dystrybutora należy umieścić szczegółową etykietę przedstawioną poniżej, o szerokości co najmniej 1,5 cm:</w:t>
      </w:r>
      <w:r>
        <w:rPr>
          <w:sz w:val="24"/>
          <w:szCs w:val="24"/>
          <w:rFonts w:ascii="Arial" w:hAnsi="Arial"/>
        </w:rPr>
        <w:t xml:space="preserve"> 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Cały tekst z obrazami na podstawie wyciągu z uwierzytelnionego Elektronicznego Dziennika Urzędowego jest dostępny na dole strony.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Sporządzono dnia 1 czerwca 2018 r.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Wicepremier, Minister ds. Transformacji Ekologicznej i Solidarnej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imieniu i z upoważnienia Ministra Stanu,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Dyrektor ds. Energii,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V. Schwarz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Gospodarki i Finansów,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imieniu Ministra i z jego upoważnienia: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Dyrektor Generalna ds. Konkurencji, Konsumentów i Zwalczania Oszustw,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V. Beaumeunier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Minister Działań i Finansów Publicznych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W imieniu Ministra i z jego upoważnienia: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Dyrektor Generalny ds. Ceł i Podatków Pośrednich,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R. Gintz</w:t>
      </w: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432F22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sz w:val="24"/>
          <w:szCs w:val="24"/>
          <w:rFonts w:ascii="Arial" w:hAnsi="Arial" w:cs="Arial"/>
        </w:rPr>
      </w:pPr>
      <w:r>
        <w:rPr>
          <w:sz w:val="24"/>
          <w:szCs w:val="24"/>
          <w:rFonts w:ascii="Arial" w:hAnsi="Arial"/>
        </w:rPr>
        <w:t xml:space="preserve"> </w:t>
      </w:r>
    </w:p>
    <w:p w:rsidR="00BE6C4A" w:rsidRDefault="00BE6C4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E6C4A">
      <w:pgSz w:w="11905" w:h="16837"/>
      <w:pgMar w:top="1133" w:right="1133" w:bottom="1133" w:left="1133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68C7"/>
    <w:rsid w:val="00432F22"/>
    <w:rsid w:val="00A268C7"/>
    <w:rsid w:val="00B9501B"/>
    <w:rsid w:val="00BE6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  <w14:defaultImageDpi w14:val="0"/>
  <w15:docId w15:val="{686FC66C-146B-4938-AB42-3F3D7CEAA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B9501B"/>
    <w:pPr>
      <w:spacing w:after="0" w:line="240" w:lineRule="auto"/>
    </w:pPr>
    <w:rPr>
      <w:rFonts w:ascii="Consolas" w:eastAsia="Times New Roman" w:hAnsi="Consolas" w:cs="Times New Roman"/>
      <w:sz w:val="21"/>
      <w:szCs w:val="21"/>
      <w:lang w:val="pl-PL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B9501B"/>
    <w:rPr>
      <w:rFonts w:ascii="Consolas" w:eastAsia="Times New Roman" w:hAnsi="Consolas" w:cs="Times New Roman"/>
      <w:sz w:val="21"/>
      <w:szCs w:val="21"/>
      <w:lang w:val="pl-PL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1677</Words>
  <Characters>9560</Characters>
  <Application>Microsoft Office Word</Application>
  <DocSecurity>0</DocSecurity>
  <Lines>79</Lines>
  <Paragraphs>22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PORTOU-DUPIN Josiane</dc:creator>
  <cp:keywords/>
  <dc:description/>
  <cp:lastModifiedBy>KARAGIANNI, Maria</cp:lastModifiedBy>
  <cp:revision>3</cp:revision>
  <dcterms:created xsi:type="dcterms:W3CDTF">2018-07-19T14:49:00Z</dcterms:created>
  <dcterms:modified xsi:type="dcterms:W3CDTF">2018-11-02T10:58:00Z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jforCreatedThisOn">
    <vt:lpwstr>Thu Jul 19 16:48:11 CEST 2018</vt:lpwstr>
  </property>
  <property fmtid="{D5CDD505-2E9C-101B-9397-08002B2CF9AE}" pid="3" name="jforVersion">
    <vt:lpwstr>jfor V0.7.2rc1 - see http://www.jfor.org</vt:lpwstr>
  </property>
</Properties>
</file>