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293F" w14:textId="77777777" w:rsidR="0055267E" w:rsidRPr="004445F4" w:rsidRDefault="0055267E">
      <w:pPr>
        <w:jc w:val="right"/>
        <w:rPr>
          <w:sz w:val="16"/>
          <w:szCs w:val="16"/>
        </w:rPr>
      </w:pPr>
    </w:p>
    <w:p w14:paraId="69FE2940" w14:textId="77777777" w:rsidR="0055267E" w:rsidRPr="004445F4" w:rsidRDefault="0055267E">
      <w:pPr>
        <w:jc w:val="both"/>
      </w:pPr>
    </w:p>
    <w:tbl>
      <w:tblPr>
        <w:tblW w:w="5000" w:type="pct"/>
        <w:tblCellMar>
          <w:left w:w="70" w:type="dxa"/>
          <w:right w:w="70" w:type="dxa"/>
        </w:tblCellMar>
        <w:tblLook w:val="0000" w:firstRow="0" w:lastRow="0" w:firstColumn="0" w:lastColumn="0" w:noHBand="0" w:noVBand="0"/>
      </w:tblPr>
      <w:tblGrid>
        <w:gridCol w:w="9072"/>
      </w:tblGrid>
      <w:tr w:rsidR="006D6750" w:rsidRPr="006D6750" w14:paraId="4C7CC5CE" w14:textId="77777777" w:rsidTr="006D6750">
        <w:tc>
          <w:tcPr>
            <w:tcW w:w="5000" w:type="pct"/>
          </w:tcPr>
          <w:p w14:paraId="7DB3FCFC" w14:textId="0F45AB35" w:rsidR="006D6750" w:rsidRPr="00565E6D" w:rsidRDefault="006D6750" w:rsidP="00E82EA4">
            <w:pPr>
              <w:jc w:val="both"/>
              <w:rPr>
                <w:rFonts w:asciiTheme="minorHAnsi" w:hAnsiTheme="minorHAnsi" w:cstheme="minorHAnsi"/>
                <w:b/>
                <w:bCs/>
              </w:rPr>
            </w:pPr>
            <w:r>
              <w:rPr>
                <w:rFonts w:asciiTheme="minorHAnsi" w:hAnsiTheme="minorHAnsi"/>
                <w:b/>
              </w:rPr>
              <w:t xml:space="preserve">Draft Royal Decree laying down the procedures for consulting the Centrale des </w:t>
            </w:r>
            <w:proofErr w:type="spellStart"/>
            <w:r>
              <w:rPr>
                <w:rFonts w:asciiTheme="minorHAnsi" w:hAnsiTheme="minorHAnsi"/>
                <w:b/>
              </w:rPr>
              <w:t>crédits</w:t>
            </w:r>
            <w:proofErr w:type="spellEnd"/>
            <w:r>
              <w:rPr>
                <w:rFonts w:asciiTheme="minorHAnsi" w:hAnsiTheme="minorHAnsi"/>
                <w:b/>
              </w:rPr>
              <w:t xml:space="preserve"> aux </w:t>
            </w:r>
            <w:proofErr w:type="spellStart"/>
            <w:r>
              <w:rPr>
                <w:rFonts w:asciiTheme="minorHAnsi" w:hAnsiTheme="minorHAnsi"/>
                <w:b/>
              </w:rPr>
              <w:t>particuliers</w:t>
            </w:r>
            <w:proofErr w:type="spellEnd"/>
            <w:r>
              <w:rPr>
                <w:rFonts w:asciiTheme="minorHAnsi" w:hAnsiTheme="minorHAnsi"/>
                <w:b/>
              </w:rPr>
              <w:t xml:space="preserve"> (Central Register of Credits to Individuals) by the Belgian Gambling Commission and amending the provisions on the limitation of online games of chance.</w:t>
            </w:r>
          </w:p>
          <w:p w14:paraId="1434920F" w14:textId="6F0714C0" w:rsidR="006D6750" w:rsidRPr="00565E6D" w:rsidRDefault="006D6750" w:rsidP="00E82EA4">
            <w:pPr>
              <w:jc w:val="both"/>
              <w:rPr>
                <w:rFonts w:asciiTheme="minorHAnsi" w:hAnsiTheme="minorHAnsi" w:cstheme="minorHAnsi"/>
                <w:b/>
                <w:bCs/>
                <w:lang w:val="fr-FR"/>
              </w:rPr>
            </w:pPr>
          </w:p>
        </w:tc>
      </w:tr>
      <w:tr w:rsidR="006D6750" w:rsidRPr="006D6750" w14:paraId="69FE295D" w14:textId="77777777" w:rsidTr="006D6750">
        <w:tc>
          <w:tcPr>
            <w:tcW w:w="5000" w:type="pct"/>
          </w:tcPr>
          <w:p w14:paraId="69FE2955" w14:textId="77777777" w:rsidR="006D6750" w:rsidRPr="004445F4" w:rsidRDefault="006D6750" w:rsidP="009E2456">
            <w:pPr>
              <w:jc w:val="both"/>
              <w:rPr>
                <w:rFonts w:asciiTheme="minorHAnsi" w:hAnsiTheme="minorHAnsi" w:cstheme="minorHAnsi"/>
                <w:b/>
                <w:bCs/>
              </w:rPr>
            </w:pPr>
            <w:r>
              <w:rPr>
                <w:rFonts w:asciiTheme="minorHAnsi" w:hAnsiTheme="minorHAnsi"/>
                <w:b/>
              </w:rPr>
              <w:t>PHILIPPE, King of the Belgians,</w:t>
            </w:r>
          </w:p>
          <w:p w14:paraId="69FE2956" w14:textId="77777777" w:rsidR="006D6750" w:rsidRPr="004445F4" w:rsidRDefault="006D6750" w:rsidP="009E2456">
            <w:pPr>
              <w:jc w:val="both"/>
              <w:rPr>
                <w:rFonts w:asciiTheme="minorHAnsi" w:hAnsiTheme="minorHAnsi" w:cstheme="minorHAnsi"/>
                <w:b/>
                <w:bCs/>
                <w:lang w:val="fr-FR"/>
              </w:rPr>
            </w:pPr>
          </w:p>
          <w:p w14:paraId="5E422DD3" w14:textId="77777777" w:rsidR="006D6750" w:rsidRDefault="006D6750" w:rsidP="009E2456">
            <w:pPr>
              <w:jc w:val="both"/>
              <w:rPr>
                <w:rFonts w:asciiTheme="minorHAnsi" w:hAnsiTheme="minorHAnsi"/>
                <w:b/>
              </w:rPr>
            </w:pPr>
            <w:r>
              <w:rPr>
                <w:rFonts w:asciiTheme="minorHAnsi" w:hAnsiTheme="minorHAnsi"/>
                <w:b/>
              </w:rPr>
              <w:t>To all those present and those to come, Greetings.</w:t>
            </w:r>
          </w:p>
          <w:p w14:paraId="69FE2957" w14:textId="77777777" w:rsidR="005E0B80" w:rsidRPr="004445F4" w:rsidRDefault="005E0B80" w:rsidP="009E2456">
            <w:pPr>
              <w:jc w:val="both"/>
              <w:rPr>
                <w:rFonts w:asciiTheme="minorHAnsi" w:hAnsiTheme="minorHAnsi" w:cstheme="minorHAnsi"/>
                <w:b/>
                <w:bCs/>
                <w:lang w:val="fr-FR"/>
              </w:rPr>
            </w:pPr>
          </w:p>
        </w:tc>
      </w:tr>
      <w:tr w:rsidR="006D6750" w:rsidRPr="006D6750" w14:paraId="69FE2963" w14:textId="77777777" w:rsidTr="006D6750">
        <w:tc>
          <w:tcPr>
            <w:tcW w:w="5000" w:type="pct"/>
            <w:shd w:val="clear" w:color="auto" w:fill="auto"/>
          </w:tcPr>
          <w:p w14:paraId="50BA5695" w14:textId="121B1587" w:rsidR="006D6750" w:rsidRPr="004445F4" w:rsidRDefault="006D6750" w:rsidP="009E2456">
            <w:pPr>
              <w:autoSpaceDE w:val="0"/>
              <w:autoSpaceDN w:val="0"/>
              <w:adjustRightInd w:val="0"/>
              <w:jc w:val="both"/>
              <w:rPr>
                <w:rFonts w:asciiTheme="minorHAnsi" w:hAnsiTheme="minorHAnsi" w:cstheme="minorHAnsi"/>
              </w:rPr>
            </w:pPr>
            <w:r>
              <w:rPr>
                <w:rFonts w:asciiTheme="minorHAnsi" w:hAnsiTheme="minorHAnsi"/>
              </w:rPr>
              <w:t>Having regard to Article 55/1 of the Act of 7 May 1999 on gambling, betting, gambling establishments and the protection of gamblers, inserted by the Act of 7 May 2019;</w:t>
            </w:r>
          </w:p>
          <w:p w14:paraId="69FE295F" w14:textId="77777777" w:rsidR="006D6750" w:rsidRPr="004445F4" w:rsidRDefault="006D6750" w:rsidP="009E2456">
            <w:pPr>
              <w:jc w:val="both"/>
              <w:rPr>
                <w:rFonts w:asciiTheme="minorHAnsi" w:hAnsiTheme="minorHAnsi" w:cstheme="minorHAnsi"/>
                <w:lang w:val="fr-FR"/>
              </w:rPr>
            </w:pPr>
          </w:p>
        </w:tc>
      </w:tr>
      <w:tr w:rsidR="006D6750" w:rsidRPr="006D6750" w14:paraId="69FE2968" w14:textId="77777777" w:rsidTr="006D6750">
        <w:tc>
          <w:tcPr>
            <w:tcW w:w="5000" w:type="pct"/>
            <w:shd w:val="clear" w:color="auto" w:fill="auto"/>
          </w:tcPr>
          <w:p w14:paraId="1E56E25F" w14:textId="54FA8C9F" w:rsidR="006D6750" w:rsidRPr="004445F4" w:rsidRDefault="006D6750" w:rsidP="00CB0098">
            <w:pPr>
              <w:jc w:val="both"/>
              <w:rPr>
                <w:rFonts w:asciiTheme="minorHAnsi" w:hAnsiTheme="minorHAnsi" w:cstheme="minorHAnsi"/>
              </w:rPr>
            </w:pPr>
            <w:r>
              <w:rPr>
                <w:rFonts w:asciiTheme="minorHAnsi" w:hAnsiTheme="minorHAnsi"/>
              </w:rPr>
              <w:t>Having regard to the Royal Decree of 25 October 2018 on the procedures for operating games of chance and betting using Information Society services;</w:t>
            </w:r>
          </w:p>
          <w:p w14:paraId="69FE2964" w14:textId="50F69249" w:rsidR="006D6750" w:rsidRPr="004445F4" w:rsidRDefault="006D6750" w:rsidP="00CB0098">
            <w:pPr>
              <w:jc w:val="both"/>
              <w:rPr>
                <w:rFonts w:asciiTheme="minorHAnsi" w:hAnsiTheme="minorHAnsi" w:cstheme="minorHAnsi"/>
                <w:lang w:val="fr-FR"/>
              </w:rPr>
            </w:pPr>
          </w:p>
        </w:tc>
      </w:tr>
      <w:tr w:rsidR="006D6750" w:rsidRPr="006D6750" w14:paraId="69FE296D" w14:textId="77777777" w:rsidTr="006D6750">
        <w:tc>
          <w:tcPr>
            <w:tcW w:w="5000" w:type="pct"/>
            <w:shd w:val="clear" w:color="auto" w:fill="auto"/>
          </w:tcPr>
          <w:p w14:paraId="0459D751" w14:textId="211E9380" w:rsidR="006D6750" w:rsidRPr="004445F4" w:rsidRDefault="006D6750" w:rsidP="00CB0098">
            <w:pPr>
              <w:jc w:val="both"/>
              <w:rPr>
                <w:rFonts w:asciiTheme="minorHAnsi" w:hAnsiTheme="minorHAnsi" w:cstheme="minorHAnsi"/>
              </w:rPr>
            </w:pPr>
            <w:r>
              <w:rPr>
                <w:rFonts w:asciiTheme="minorHAnsi" w:hAnsiTheme="minorHAnsi"/>
              </w:rPr>
              <w:t>Having regard to the opinion of the Gambling Commission, issued on 20 January 2021;</w:t>
            </w:r>
          </w:p>
          <w:p w14:paraId="69FE2969" w14:textId="0CDC8EAA" w:rsidR="006D6750" w:rsidRPr="004445F4" w:rsidRDefault="006D6750" w:rsidP="00CB0098">
            <w:pPr>
              <w:jc w:val="both"/>
              <w:rPr>
                <w:rFonts w:asciiTheme="minorHAnsi" w:hAnsiTheme="minorHAnsi" w:cstheme="minorHAnsi"/>
                <w:lang w:val="fr-FR"/>
              </w:rPr>
            </w:pPr>
          </w:p>
        </w:tc>
      </w:tr>
      <w:tr w:rsidR="006D6750" w:rsidRPr="006D6750" w14:paraId="69FE2973" w14:textId="77777777" w:rsidTr="006D6750">
        <w:tc>
          <w:tcPr>
            <w:tcW w:w="5000" w:type="pct"/>
            <w:shd w:val="clear" w:color="auto" w:fill="auto"/>
          </w:tcPr>
          <w:p w14:paraId="4CECFDAE" w14:textId="0C7917FF" w:rsidR="006D6750" w:rsidRPr="004445F4" w:rsidRDefault="006D6750" w:rsidP="00CB0098">
            <w:pPr>
              <w:jc w:val="both"/>
              <w:rPr>
                <w:rFonts w:asciiTheme="minorHAnsi" w:hAnsiTheme="minorHAnsi" w:cstheme="minorHAnsi"/>
              </w:rPr>
            </w:pPr>
            <w:r>
              <w:rPr>
                <w:rFonts w:asciiTheme="minorHAnsi" w:hAnsiTheme="minorHAnsi"/>
              </w:rPr>
              <w:t>Having regard to the opinion of the Finance Inspector, issued on 27 April 2021 and 5 July 2021;</w:t>
            </w:r>
          </w:p>
          <w:p w14:paraId="69FE296F" w14:textId="77777777" w:rsidR="006D6750" w:rsidRPr="004445F4" w:rsidRDefault="006D6750" w:rsidP="00CB0098">
            <w:pPr>
              <w:jc w:val="both"/>
              <w:rPr>
                <w:rFonts w:asciiTheme="minorHAnsi" w:hAnsiTheme="minorHAnsi" w:cstheme="minorHAnsi"/>
                <w:lang w:val="fr-FR"/>
              </w:rPr>
            </w:pPr>
          </w:p>
        </w:tc>
      </w:tr>
      <w:tr w:rsidR="006D6750" w:rsidRPr="006D6750" w14:paraId="229FBB1A" w14:textId="77777777" w:rsidTr="006D6750">
        <w:tc>
          <w:tcPr>
            <w:tcW w:w="5000" w:type="pct"/>
            <w:shd w:val="clear" w:color="auto" w:fill="auto"/>
          </w:tcPr>
          <w:p w14:paraId="63E510E4" w14:textId="6503FF16" w:rsidR="006D6750" w:rsidRPr="004445F4" w:rsidRDefault="006D6750" w:rsidP="00CB0098">
            <w:pPr>
              <w:jc w:val="both"/>
              <w:rPr>
                <w:rFonts w:asciiTheme="minorHAnsi" w:hAnsiTheme="minorHAnsi" w:cstheme="minorHAnsi"/>
              </w:rPr>
            </w:pPr>
            <w:r>
              <w:rPr>
                <w:rFonts w:asciiTheme="minorHAnsi" w:hAnsiTheme="minorHAnsi"/>
              </w:rPr>
              <w:t>Having regard to the agreement of the Secretary of State for the Budget, issued on 11 May 2021 and 15 July 2021;</w:t>
            </w:r>
          </w:p>
          <w:p w14:paraId="36E7A5D9" w14:textId="7FEA8B0B" w:rsidR="006D6750" w:rsidRPr="004445F4" w:rsidRDefault="006D6750" w:rsidP="00CB0098">
            <w:pPr>
              <w:jc w:val="both"/>
              <w:rPr>
                <w:rFonts w:asciiTheme="minorHAnsi" w:hAnsiTheme="minorHAnsi" w:cstheme="minorHAnsi"/>
                <w:lang w:val="fr-BE"/>
              </w:rPr>
            </w:pPr>
          </w:p>
        </w:tc>
      </w:tr>
      <w:tr w:rsidR="006D6750" w:rsidRPr="006D6750" w14:paraId="68E4DBC9" w14:textId="77777777" w:rsidTr="006D6750">
        <w:tc>
          <w:tcPr>
            <w:tcW w:w="5000" w:type="pct"/>
            <w:shd w:val="clear" w:color="auto" w:fill="auto"/>
          </w:tcPr>
          <w:p w14:paraId="2342D0E1" w14:textId="161C102C" w:rsidR="006D6750" w:rsidRPr="004445F4" w:rsidRDefault="006D6750" w:rsidP="00573EE3">
            <w:pPr>
              <w:pStyle w:val="BodyText"/>
              <w:rPr>
                <w:rFonts w:asciiTheme="minorHAnsi" w:hAnsiTheme="minorHAnsi" w:cstheme="minorHAnsi"/>
                <w:bCs/>
              </w:rPr>
            </w:pPr>
            <w:r>
              <w:rPr>
                <w:rFonts w:asciiTheme="minorHAnsi" w:hAnsiTheme="minorHAnsi"/>
              </w:rPr>
              <w:t>Having regard to opinion No. 177/2021 of the Data Protection Authority, issued on 4 October 2021;</w:t>
            </w:r>
          </w:p>
          <w:p w14:paraId="0765C876" w14:textId="77777777" w:rsidR="006D6750" w:rsidRPr="004445F4" w:rsidRDefault="006D6750" w:rsidP="00573EE3">
            <w:pPr>
              <w:jc w:val="both"/>
              <w:rPr>
                <w:rFonts w:asciiTheme="minorHAnsi" w:hAnsiTheme="minorHAnsi" w:cstheme="minorHAnsi"/>
                <w:lang w:val="fr-BE"/>
              </w:rPr>
            </w:pPr>
          </w:p>
        </w:tc>
      </w:tr>
      <w:tr w:rsidR="006D6750" w:rsidRPr="006D6750" w14:paraId="69FE2979" w14:textId="77777777" w:rsidTr="006D6750">
        <w:tc>
          <w:tcPr>
            <w:tcW w:w="5000" w:type="pct"/>
          </w:tcPr>
          <w:p w14:paraId="69FE2974" w14:textId="77777777" w:rsidR="006D6750" w:rsidRPr="004445F4" w:rsidRDefault="006D6750" w:rsidP="00573EE3">
            <w:pPr>
              <w:pStyle w:val="BodyText"/>
              <w:rPr>
                <w:rFonts w:asciiTheme="minorHAnsi" w:hAnsiTheme="minorHAnsi" w:cstheme="minorHAnsi"/>
              </w:rPr>
            </w:pPr>
            <w:r>
              <w:rPr>
                <w:rFonts w:asciiTheme="minorHAnsi" w:hAnsiTheme="minorHAnsi"/>
              </w:rPr>
              <w:t>Having regard to the impact assessment of the regulation, conducted in accordance with Articles 6 and 7 of the Act of 15 December 2013, containing various provisions relating to administrative simplification;</w:t>
            </w:r>
          </w:p>
          <w:p w14:paraId="69FE2975" w14:textId="73C6F6CE" w:rsidR="006D6750" w:rsidRPr="004445F4" w:rsidRDefault="006D6750" w:rsidP="00573EE3">
            <w:pPr>
              <w:jc w:val="both"/>
              <w:rPr>
                <w:rFonts w:asciiTheme="minorHAnsi" w:hAnsiTheme="minorHAnsi" w:cstheme="minorHAnsi"/>
                <w:lang w:val="fr-FR"/>
              </w:rPr>
            </w:pPr>
          </w:p>
        </w:tc>
      </w:tr>
      <w:tr w:rsidR="006D6750" w:rsidRPr="006D6750" w14:paraId="69FE297D" w14:textId="77777777" w:rsidTr="006D6750">
        <w:tc>
          <w:tcPr>
            <w:tcW w:w="5000" w:type="pct"/>
          </w:tcPr>
          <w:p w14:paraId="5016ABDE" w14:textId="77777777" w:rsidR="006D6750" w:rsidRPr="004445F4" w:rsidRDefault="006D6750" w:rsidP="00573EE3">
            <w:pPr>
              <w:jc w:val="both"/>
              <w:rPr>
                <w:rFonts w:asciiTheme="minorHAnsi" w:hAnsiTheme="minorHAnsi" w:cstheme="minorHAnsi"/>
              </w:rPr>
            </w:pPr>
            <w:r>
              <w:rPr>
                <w:rFonts w:asciiTheme="minorHAnsi" w:hAnsiTheme="minorHAnsi"/>
              </w:rPr>
              <w:t xml:space="preserve">Having regard to opinion XXX of the Council of State issued on </w:t>
            </w:r>
            <w:proofErr w:type="spellStart"/>
            <w:r>
              <w:rPr>
                <w:rFonts w:asciiTheme="minorHAnsi" w:hAnsiTheme="minorHAnsi"/>
              </w:rPr>
              <w:t>xxxx</w:t>
            </w:r>
            <w:proofErr w:type="spellEnd"/>
            <w:r>
              <w:rPr>
                <w:rFonts w:asciiTheme="minorHAnsi" w:hAnsiTheme="minorHAnsi"/>
              </w:rPr>
              <w:t xml:space="preserve">, pursuant to Article 84(1)(1)(2) of the laws on the Council of State, consolidated on 12 January 1973; </w:t>
            </w:r>
          </w:p>
          <w:p w14:paraId="10CC4D60" w14:textId="77777777" w:rsidR="006D6750" w:rsidRPr="004445F4" w:rsidRDefault="006D6750" w:rsidP="00573EE3">
            <w:pPr>
              <w:jc w:val="both"/>
              <w:rPr>
                <w:rFonts w:asciiTheme="minorHAnsi" w:hAnsiTheme="minorHAnsi" w:cstheme="minorHAnsi"/>
                <w:lang w:val="fr-FR"/>
              </w:rPr>
            </w:pPr>
          </w:p>
          <w:p w14:paraId="69FE297A" w14:textId="06CEE2C1" w:rsidR="006D6750" w:rsidRPr="004445F4" w:rsidRDefault="006D6750" w:rsidP="00573EE3">
            <w:pPr>
              <w:jc w:val="both"/>
              <w:rPr>
                <w:rFonts w:asciiTheme="minorHAnsi" w:hAnsiTheme="minorHAnsi" w:cstheme="minorHAnsi"/>
                <w:lang w:val="fr-FR"/>
              </w:rPr>
            </w:pPr>
          </w:p>
        </w:tc>
      </w:tr>
      <w:tr w:rsidR="006D6750" w:rsidRPr="006D6750" w14:paraId="69FE2981" w14:textId="77777777" w:rsidTr="006D6750">
        <w:tc>
          <w:tcPr>
            <w:tcW w:w="5000" w:type="pct"/>
          </w:tcPr>
          <w:p w14:paraId="69FE297E" w14:textId="77777777" w:rsidR="006D6750" w:rsidRPr="006D6750" w:rsidRDefault="006D6750" w:rsidP="00573EE3">
            <w:pPr>
              <w:jc w:val="both"/>
              <w:rPr>
                <w:rFonts w:asciiTheme="minorHAnsi" w:hAnsiTheme="minorHAnsi" w:cstheme="minorHAnsi"/>
                <w:lang w:val="fr-BE"/>
              </w:rPr>
            </w:pPr>
          </w:p>
        </w:tc>
      </w:tr>
      <w:tr w:rsidR="006D6750" w:rsidRPr="006D6750" w14:paraId="69FE2986" w14:textId="77777777" w:rsidTr="006D6750">
        <w:tc>
          <w:tcPr>
            <w:tcW w:w="5000" w:type="pct"/>
          </w:tcPr>
          <w:p w14:paraId="2F3A7E78" w14:textId="77777777" w:rsidR="006D6750" w:rsidRDefault="006D6750" w:rsidP="00573EE3">
            <w:pPr>
              <w:jc w:val="both"/>
              <w:rPr>
                <w:rFonts w:asciiTheme="minorHAnsi" w:hAnsiTheme="minorHAnsi"/>
              </w:rPr>
            </w:pPr>
            <w:r>
              <w:rPr>
                <w:rFonts w:asciiTheme="minorHAnsi" w:hAnsiTheme="minorHAnsi"/>
              </w:rPr>
              <w:t xml:space="preserve">On the proposal of the </w:t>
            </w:r>
            <w:proofErr w:type="spellStart"/>
            <w:r>
              <w:rPr>
                <w:rFonts w:asciiTheme="minorHAnsi" w:hAnsiTheme="minorHAnsi"/>
              </w:rPr>
              <w:t>The</w:t>
            </w:r>
            <w:proofErr w:type="spellEnd"/>
            <w:r>
              <w:rPr>
                <w:rFonts w:asciiTheme="minorHAnsi" w:hAnsiTheme="minorHAnsi"/>
              </w:rPr>
              <w:t xml:space="preserve"> Minister for the Economy, the </w:t>
            </w:r>
            <w:proofErr w:type="gramStart"/>
            <w:r>
              <w:rPr>
                <w:rFonts w:asciiTheme="minorHAnsi" w:hAnsiTheme="minorHAnsi"/>
              </w:rPr>
              <w:t>Finance Minister</w:t>
            </w:r>
            <w:proofErr w:type="gramEnd"/>
            <w:r>
              <w:rPr>
                <w:rFonts w:asciiTheme="minorHAnsi" w:hAnsiTheme="minorHAnsi"/>
              </w:rPr>
              <w:t>, the Minister for Public Health, the Minister for Justice, the Minister for the Interior, and the Secretary of State for the National Lottery, and in the opinion of the Ministers who have deliberated them in the Council,</w:t>
            </w:r>
          </w:p>
          <w:p w14:paraId="69FE2982" w14:textId="4FFFC71A" w:rsidR="008E3CEE" w:rsidRPr="004445F4" w:rsidRDefault="008E3CEE" w:rsidP="00573EE3">
            <w:pPr>
              <w:jc w:val="both"/>
              <w:rPr>
                <w:rFonts w:asciiTheme="minorHAnsi" w:hAnsiTheme="minorHAnsi" w:cstheme="minorHAnsi"/>
                <w:bCs/>
                <w:lang w:val="fr-FR"/>
              </w:rPr>
            </w:pPr>
          </w:p>
        </w:tc>
      </w:tr>
      <w:tr w:rsidR="006D6750" w:rsidRPr="006D6750" w14:paraId="69FE298C" w14:textId="77777777" w:rsidTr="006D6750">
        <w:tc>
          <w:tcPr>
            <w:tcW w:w="5000" w:type="pct"/>
          </w:tcPr>
          <w:p w14:paraId="69FE2987" w14:textId="77777777" w:rsidR="006D6750" w:rsidRPr="004445F4" w:rsidRDefault="006D6750" w:rsidP="00573EE3">
            <w:pPr>
              <w:jc w:val="both"/>
              <w:rPr>
                <w:rFonts w:asciiTheme="minorHAnsi" w:hAnsiTheme="minorHAnsi" w:cstheme="minorHAnsi"/>
                <w:b/>
                <w:bCs/>
              </w:rPr>
            </w:pPr>
            <w:r>
              <w:rPr>
                <w:rFonts w:asciiTheme="minorHAnsi" w:hAnsiTheme="minorHAnsi"/>
                <w:b/>
              </w:rPr>
              <w:t>IT IS HEREBY DECREED:</w:t>
            </w:r>
          </w:p>
          <w:p w14:paraId="69FE2988" w14:textId="77777777" w:rsidR="006D6750" w:rsidRPr="004445F4" w:rsidRDefault="006D6750" w:rsidP="00573EE3">
            <w:pPr>
              <w:jc w:val="both"/>
              <w:rPr>
                <w:rFonts w:asciiTheme="minorHAnsi" w:hAnsiTheme="minorHAnsi" w:cstheme="minorHAnsi"/>
                <w:lang w:val="fr-FR"/>
              </w:rPr>
            </w:pPr>
          </w:p>
        </w:tc>
      </w:tr>
      <w:tr w:rsidR="006D6750" w:rsidRPr="006D6750" w14:paraId="69FE299E" w14:textId="77777777" w:rsidTr="006D6750">
        <w:tc>
          <w:tcPr>
            <w:tcW w:w="5000" w:type="pct"/>
          </w:tcPr>
          <w:p w14:paraId="3FB29413" w14:textId="2C05D336" w:rsidR="006D6750" w:rsidRPr="004445F4" w:rsidRDefault="006D6750" w:rsidP="00BC48AD">
            <w:pPr>
              <w:jc w:val="both"/>
              <w:rPr>
                <w:rFonts w:asciiTheme="minorHAnsi" w:hAnsiTheme="minorHAnsi" w:cstheme="minorHAnsi"/>
                <w:b/>
              </w:rPr>
            </w:pPr>
            <w:r>
              <w:rPr>
                <w:rFonts w:asciiTheme="minorHAnsi" w:hAnsiTheme="minorHAnsi"/>
                <w:b/>
              </w:rPr>
              <w:t>CHAPTER 1 — Procedures for consultation by the Gambling Commission of the Central Register of Credits to Individuals of the National Bank of Belgium</w:t>
            </w:r>
          </w:p>
          <w:p w14:paraId="69FE299A" w14:textId="144F4263" w:rsidR="006D6750" w:rsidRPr="004445F4" w:rsidRDefault="006D6750" w:rsidP="00BC48AD">
            <w:pPr>
              <w:jc w:val="both"/>
              <w:rPr>
                <w:rFonts w:asciiTheme="minorHAnsi" w:hAnsiTheme="minorHAnsi" w:cstheme="minorHAnsi"/>
                <w:b/>
                <w:lang w:val="fr-BE"/>
              </w:rPr>
            </w:pPr>
          </w:p>
        </w:tc>
      </w:tr>
      <w:tr w:rsidR="006D6750" w:rsidRPr="004445F4" w14:paraId="59B4219A" w14:textId="77777777" w:rsidTr="006D6750">
        <w:tc>
          <w:tcPr>
            <w:tcW w:w="5000" w:type="pct"/>
          </w:tcPr>
          <w:p w14:paraId="66374E72" w14:textId="77777777" w:rsidR="006D6750" w:rsidRPr="004445F4" w:rsidRDefault="006D6750" w:rsidP="00573EE3">
            <w:pPr>
              <w:pStyle w:val="Heading5"/>
              <w:rPr>
                <w:rFonts w:asciiTheme="minorHAnsi" w:hAnsiTheme="minorHAnsi" w:cstheme="minorHAnsi"/>
              </w:rPr>
            </w:pPr>
            <w:r>
              <w:rPr>
                <w:rFonts w:asciiTheme="minorHAnsi" w:hAnsiTheme="minorHAnsi"/>
              </w:rPr>
              <w:lastRenderedPageBreak/>
              <w:t>Article 1</w:t>
            </w:r>
          </w:p>
          <w:p w14:paraId="72C95A28" w14:textId="77777777" w:rsidR="006D6750" w:rsidRPr="004445F4" w:rsidRDefault="006D6750" w:rsidP="00573EE3">
            <w:pPr>
              <w:pStyle w:val="Heading5"/>
              <w:rPr>
                <w:rFonts w:asciiTheme="minorHAnsi" w:hAnsiTheme="minorHAnsi" w:cstheme="minorHAnsi"/>
                <w:lang w:val="fr-FR"/>
              </w:rPr>
            </w:pPr>
          </w:p>
        </w:tc>
      </w:tr>
      <w:tr w:rsidR="006D6750" w:rsidRPr="006D6750" w14:paraId="410D1932" w14:textId="77777777" w:rsidTr="006D6750">
        <w:tc>
          <w:tcPr>
            <w:tcW w:w="5000" w:type="pct"/>
          </w:tcPr>
          <w:p w14:paraId="3AACEF6A" w14:textId="15C45F00" w:rsidR="006D6750" w:rsidRPr="00565E6D" w:rsidRDefault="006D6750" w:rsidP="00D31BCD">
            <w:pPr>
              <w:jc w:val="both"/>
              <w:rPr>
                <w:rFonts w:asciiTheme="minorHAnsi" w:hAnsiTheme="minorHAnsi" w:cstheme="minorHAnsi"/>
              </w:rPr>
            </w:pPr>
            <w:r>
              <w:rPr>
                <w:rFonts w:asciiTheme="minorHAnsi" w:hAnsiTheme="minorHAnsi"/>
              </w:rPr>
              <w:t>The consultation of the National Bank of Belgium’s Central Register of Credits to Individuals by the Gambling Commission is motivated by the purposes referred to in Article 6(1) of the Royal Decree of 25 October 2018 on the procedures for operating games of chance and betting using Information Society services.</w:t>
            </w:r>
          </w:p>
        </w:tc>
      </w:tr>
      <w:tr w:rsidR="006D6750" w:rsidRPr="006D6750" w14:paraId="5E681C82" w14:textId="77777777" w:rsidTr="006D6750">
        <w:tc>
          <w:tcPr>
            <w:tcW w:w="5000" w:type="pct"/>
          </w:tcPr>
          <w:p w14:paraId="613AE267" w14:textId="220767F0" w:rsidR="006D6750" w:rsidRPr="006D6750" w:rsidRDefault="006D6750" w:rsidP="00573EE3">
            <w:pPr>
              <w:pStyle w:val="Heading5"/>
              <w:jc w:val="both"/>
              <w:rPr>
                <w:rFonts w:asciiTheme="minorHAnsi" w:hAnsiTheme="minorHAnsi" w:cstheme="minorHAnsi"/>
                <w:b w:val="0"/>
                <w:u w:val="none"/>
                <w:lang w:val="fr-BE"/>
              </w:rPr>
            </w:pPr>
          </w:p>
        </w:tc>
      </w:tr>
      <w:tr w:rsidR="006D6750" w:rsidRPr="004445F4" w14:paraId="74D3E781" w14:textId="77777777" w:rsidTr="006D6750">
        <w:tc>
          <w:tcPr>
            <w:tcW w:w="5000" w:type="pct"/>
          </w:tcPr>
          <w:p w14:paraId="6B060EBB" w14:textId="12C53141" w:rsidR="006D6750" w:rsidRPr="004445F4" w:rsidRDefault="006D6750" w:rsidP="00573EE3">
            <w:pPr>
              <w:jc w:val="both"/>
              <w:rPr>
                <w:rFonts w:asciiTheme="minorHAnsi" w:hAnsiTheme="minorHAnsi" w:cstheme="minorHAnsi"/>
                <w:b/>
                <w:u w:val="single"/>
              </w:rPr>
            </w:pPr>
            <w:r>
              <w:rPr>
                <w:rFonts w:asciiTheme="minorHAnsi" w:hAnsiTheme="minorHAnsi"/>
                <w:b/>
                <w:u w:val="single"/>
              </w:rPr>
              <w:t>Article 2</w:t>
            </w:r>
          </w:p>
          <w:p w14:paraId="2C115128" w14:textId="77777777" w:rsidR="006D6750" w:rsidRPr="004445F4" w:rsidRDefault="006D6750" w:rsidP="00573EE3">
            <w:pPr>
              <w:jc w:val="both"/>
              <w:rPr>
                <w:rFonts w:asciiTheme="minorHAnsi" w:hAnsiTheme="minorHAnsi" w:cstheme="minorHAnsi"/>
                <w:lang w:val="nl-BE"/>
              </w:rPr>
            </w:pPr>
          </w:p>
        </w:tc>
      </w:tr>
      <w:tr w:rsidR="006D6750" w:rsidRPr="006D6750" w14:paraId="5035965D" w14:textId="77777777" w:rsidTr="006D6750">
        <w:tc>
          <w:tcPr>
            <w:tcW w:w="5000" w:type="pct"/>
          </w:tcPr>
          <w:p w14:paraId="2A9C66C1" w14:textId="432D4B3A" w:rsidR="006D6750" w:rsidRPr="004445F4" w:rsidRDefault="006D6750" w:rsidP="00573EE3">
            <w:pPr>
              <w:jc w:val="both"/>
              <w:rPr>
                <w:rFonts w:asciiTheme="minorHAnsi" w:hAnsiTheme="minorHAnsi" w:cstheme="minorHAnsi"/>
              </w:rPr>
            </w:pPr>
            <w:r>
              <w:rPr>
                <w:rFonts w:asciiTheme="minorHAnsi" w:hAnsiTheme="minorHAnsi"/>
              </w:rPr>
              <w:t xml:space="preserve">The National Bank of Belgium shall determine the technical procedures for the consultation of the National Bank of Belgium's Central Register of Credits to Individuals by the Gambling Commission. </w:t>
            </w:r>
          </w:p>
          <w:p w14:paraId="15CF00B9" w14:textId="77777777" w:rsidR="006D6750" w:rsidRPr="004445F4" w:rsidRDefault="006D6750" w:rsidP="00573EE3">
            <w:pPr>
              <w:jc w:val="both"/>
              <w:rPr>
                <w:rFonts w:asciiTheme="minorHAnsi" w:hAnsiTheme="minorHAnsi" w:cstheme="minorHAnsi"/>
                <w:b/>
                <w:u w:val="single"/>
                <w:lang w:val="fr-FR"/>
              </w:rPr>
            </w:pPr>
          </w:p>
        </w:tc>
      </w:tr>
      <w:tr w:rsidR="006D6750" w:rsidRPr="004445F4" w14:paraId="25AB1968" w14:textId="77777777" w:rsidTr="006D6750">
        <w:tc>
          <w:tcPr>
            <w:tcW w:w="5000" w:type="pct"/>
          </w:tcPr>
          <w:p w14:paraId="1A635219" w14:textId="63BB25AB" w:rsidR="006D6750" w:rsidRPr="004445F4" w:rsidRDefault="006D6750" w:rsidP="00573EE3">
            <w:pPr>
              <w:jc w:val="both"/>
              <w:rPr>
                <w:rFonts w:asciiTheme="minorHAnsi" w:hAnsiTheme="minorHAnsi" w:cstheme="minorHAnsi"/>
                <w:b/>
                <w:u w:val="single"/>
              </w:rPr>
            </w:pPr>
            <w:r>
              <w:rPr>
                <w:rFonts w:asciiTheme="minorHAnsi" w:hAnsiTheme="minorHAnsi"/>
                <w:b/>
                <w:u w:val="single"/>
              </w:rPr>
              <w:t xml:space="preserve">Article 3 </w:t>
            </w:r>
          </w:p>
          <w:p w14:paraId="7EF8643B" w14:textId="77777777" w:rsidR="006D6750" w:rsidRPr="004445F4" w:rsidRDefault="006D6750" w:rsidP="00573EE3">
            <w:pPr>
              <w:jc w:val="both"/>
              <w:rPr>
                <w:rFonts w:asciiTheme="minorHAnsi" w:hAnsiTheme="minorHAnsi" w:cstheme="minorHAnsi"/>
                <w:b/>
                <w:u w:val="single"/>
                <w:lang w:val="nl-BE"/>
              </w:rPr>
            </w:pPr>
          </w:p>
        </w:tc>
      </w:tr>
      <w:tr w:rsidR="006D6750" w:rsidRPr="006D6750" w14:paraId="6CF4AEC0" w14:textId="77777777" w:rsidTr="006D6750">
        <w:tc>
          <w:tcPr>
            <w:tcW w:w="5000" w:type="pct"/>
          </w:tcPr>
          <w:p w14:paraId="5C0796E6" w14:textId="5567999E" w:rsidR="006D6750" w:rsidRPr="00565E6D" w:rsidRDefault="006D6750" w:rsidP="00E703FB">
            <w:pPr>
              <w:jc w:val="both"/>
              <w:rPr>
                <w:rFonts w:asciiTheme="minorHAnsi" w:hAnsiTheme="minorHAnsi" w:cstheme="minorHAnsi"/>
              </w:rPr>
            </w:pPr>
            <w:r>
              <w:rPr>
                <w:rFonts w:asciiTheme="minorHAnsi" w:hAnsiTheme="minorHAnsi"/>
              </w:rPr>
              <w:t>§1. The identification information</w:t>
            </w:r>
            <w:r>
              <w:t xml:space="preserve"> of players</w:t>
            </w:r>
            <w:r>
              <w:rPr>
                <w:rFonts w:asciiTheme="minorHAnsi" w:hAnsiTheme="minorHAnsi"/>
              </w:rPr>
              <w:t xml:space="preserve"> in default of payment within the meaning of Article VII.148 of the Code of Economic Law may be shared with the National Bank of Belgium to verify whether the player is known to be in default of payment in the file in the Central Register of Credits to Individuals.</w:t>
            </w:r>
          </w:p>
          <w:p w14:paraId="3495578E" w14:textId="2EEE5299" w:rsidR="006D6750" w:rsidRPr="00565E6D" w:rsidRDefault="006D6750" w:rsidP="002C2588">
            <w:pPr>
              <w:jc w:val="both"/>
              <w:rPr>
                <w:rFonts w:asciiTheme="minorHAnsi" w:hAnsiTheme="minorHAnsi" w:cstheme="minorHAnsi"/>
                <w:lang w:val="fr-FR"/>
              </w:rPr>
            </w:pPr>
          </w:p>
        </w:tc>
      </w:tr>
      <w:tr w:rsidR="006D6750" w:rsidRPr="006D6750" w14:paraId="6C08B47A" w14:textId="77777777" w:rsidTr="006D6750">
        <w:tc>
          <w:tcPr>
            <w:tcW w:w="5000" w:type="pct"/>
          </w:tcPr>
          <w:p w14:paraId="05C69597" w14:textId="77777777" w:rsidR="006D6750" w:rsidRPr="00565E6D" w:rsidRDefault="006D6750" w:rsidP="002C2588">
            <w:pPr>
              <w:jc w:val="both"/>
              <w:rPr>
                <w:rFonts w:asciiTheme="minorHAnsi" w:hAnsiTheme="minorHAnsi" w:cstheme="minorHAnsi"/>
              </w:rPr>
            </w:pPr>
            <w:r>
              <w:rPr>
                <w:rFonts w:asciiTheme="minorHAnsi" w:hAnsiTheme="minorHAnsi"/>
              </w:rPr>
              <w:t>The identification information referred to in the first subparagraph shall include:</w:t>
            </w:r>
          </w:p>
          <w:p w14:paraId="2E81CB1F" w14:textId="77777777" w:rsidR="006D6750" w:rsidRPr="00565E6D" w:rsidRDefault="006D6750" w:rsidP="00E703FB">
            <w:pPr>
              <w:jc w:val="both"/>
              <w:rPr>
                <w:rFonts w:asciiTheme="minorHAnsi" w:hAnsiTheme="minorHAnsi" w:cstheme="minorHAnsi"/>
                <w:lang w:val="fr-FR"/>
              </w:rPr>
            </w:pPr>
          </w:p>
        </w:tc>
      </w:tr>
      <w:tr w:rsidR="006D6750" w:rsidRPr="006D6750" w14:paraId="0B4AF87D" w14:textId="77777777" w:rsidTr="006D6750">
        <w:tc>
          <w:tcPr>
            <w:tcW w:w="5000" w:type="pct"/>
          </w:tcPr>
          <w:p w14:paraId="45791653" w14:textId="77777777" w:rsidR="006D6750" w:rsidRPr="00565E6D" w:rsidRDefault="006D6750" w:rsidP="002C2588">
            <w:pPr>
              <w:jc w:val="both"/>
              <w:rPr>
                <w:rFonts w:asciiTheme="minorHAnsi" w:hAnsiTheme="minorHAnsi" w:cstheme="minorHAnsi"/>
              </w:rPr>
            </w:pPr>
            <w:r>
              <w:rPr>
                <w:rFonts w:asciiTheme="minorHAnsi" w:hAnsiTheme="minorHAnsi"/>
              </w:rPr>
              <w:t xml:space="preserve">1. the player’s national registration number, if known to the licensee; </w:t>
            </w:r>
          </w:p>
          <w:p w14:paraId="7F669882" w14:textId="77777777" w:rsidR="006D6750" w:rsidRPr="00565E6D" w:rsidRDefault="006D6750" w:rsidP="00E703FB">
            <w:pPr>
              <w:jc w:val="both"/>
              <w:rPr>
                <w:rFonts w:asciiTheme="minorHAnsi" w:hAnsiTheme="minorHAnsi" w:cstheme="minorHAnsi"/>
                <w:lang w:val="fr-FR"/>
              </w:rPr>
            </w:pPr>
          </w:p>
        </w:tc>
      </w:tr>
      <w:tr w:rsidR="006D6750" w:rsidRPr="006D6750" w14:paraId="1E14614F" w14:textId="77777777" w:rsidTr="006D6750">
        <w:tc>
          <w:tcPr>
            <w:tcW w:w="5000" w:type="pct"/>
          </w:tcPr>
          <w:p w14:paraId="7E81FD9F" w14:textId="77777777" w:rsidR="006D6750" w:rsidRPr="00565E6D" w:rsidRDefault="006D6750" w:rsidP="002C2588">
            <w:pPr>
              <w:jc w:val="both"/>
              <w:rPr>
                <w:rFonts w:asciiTheme="minorHAnsi" w:hAnsiTheme="minorHAnsi" w:cstheme="minorHAnsi"/>
              </w:rPr>
            </w:pPr>
            <w:r>
              <w:rPr>
                <w:rFonts w:asciiTheme="minorHAnsi" w:hAnsiTheme="minorHAnsi"/>
              </w:rPr>
              <w:t>2. if the player’s national registration number is not known to the licensee, the player’s surname, first name and date of birth.</w:t>
            </w:r>
          </w:p>
          <w:p w14:paraId="798400C1" w14:textId="77777777" w:rsidR="006D6750" w:rsidRPr="00565E6D" w:rsidRDefault="006D6750" w:rsidP="00E703FB">
            <w:pPr>
              <w:jc w:val="both"/>
              <w:rPr>
                <w:rFonts w:asciiTheme="minorHAnsi" w:hAnsiTheme="minorHAnsi" w:cstheme="minorHAnsi"/>
                <w:lang w:val="fr-FR"/>
              </w:rPr>
            </w:pPr>
          </w:p>
        </w:tc>
      </w:tr>
      <w:tr w:rsidR="006D6750" w:rsidRPr="006D6750" w14:paraId="0823AAD0" w14:textId="77777777" w:rsidTr="006D6750">
        <w:tc>
          <w:tcPr>
            <w:tcW w:w="5000" w:type="pct"/>
          </w:tcPr>
          <w:p w14:paraId="76713262" w14:textId="77777777" w:rsidR="006D6750" w:rsidRPr="006D6750" w:rsidRDefault="006D6750" w:rsidP="00095C9F">
            <w:pPr>
              <w:jc w:val="both"/>
              <w:rPr>
                <w:rFonts w:asciiTheme="minorHAnsi" w:hAnsiTheme="minorHAnsi" w:cstheme="minorHAnsi"/>
                <w:lang w:val="fr-BE"/>
              </w:rPr>
            </w:pPr>
          </w:p>
        </w:tc>
      </w:tr>
      <w:tr w:rsidR="006D6750" w:rsidRPr="006D6750" w14:paraId="5CFE6D61" w14:textId="77777777" w:rsidTr="006D6750">
        <w:tc>
          <w:tcPr>
            <w:tcW w:w="5000" w:type="pct"/>
          </w:tcPr>
          <w:p w14:paraId="68D2BA3B" w14:textId="6BFA1CF3" w:rsidR="006D6750" w:rsidRPr="004445F4" w:rsidRDefault="006D6750" w:rsidP="00DA1D75">
            <w:pPr>
              <w:jc w:val="both"/>
              <w:rPr>
                <w:rFonts w:asciiTheme="minorHAnsi" w:hAnsiTheme="minorHAnsi" w:cstheme="minorHAnsi"/>
              </w:rPr>
            </w:pPr>
            <w:r>
              <w:rPr>
                <w:rFonts w:asciiTheme="minorHAnsi" w:hAnsiTheme="minorHAnsi"/>
              </w:rPr>
              <w:t>No data on recorded loans shall be provided.</w:t>
            </w:r>
          </w:p>
        </w:tc>
      </w:tr>
      <w:tr w:rsidR="006D6750" w:rsidRPr="006D6750" w14:paraId="4E0E95DE" w14:textId="77777777" w:rsidTr="006D6750">
        <w:tc>
          <w:tcPr>
            <w:tcW w:w="5000" w:type="pct"/>
          </w:tcPr>
          <w:p w14:paraId="41571734" w14:textId="4521FA8F" w:rsidR="006D6750" w:rsidRPr="00565E6D" w:rsidRDefault="006D6750" w:rsidP="00095C9F">
            <w:pPr>
              <w:jc w:val="both"/>
              <w:rPr>
                <w:rFonts w:asciiTheme="minorHAnsi" w:hAnsiTheme="minorHAnsi" w:cstheme="minorHAnsi"/>
              </w:rPr>
            </w:pPr>
            <w:r>
              <w:rPr>
                <w:rFonts w:asciiTheme="minorHAnsi" w:hAnsiTheme="minorHAnsi"/>
              </w:rPr>
              <w:t>§2. The player’s national registration number shall be used for the sole purpose of determining whether the player is known to be in default of payment in the file in the Central Register of Credits to Individuals.</w:t>
            </w:r>
          </w:p>
          <w:p w14:paraId="75D3FE2F" w14:textId="77777777" w:rsidR="006D6750" w:rsidRPr="00565E6D" w:rsidRDefault="006D6750" w:rsidP="00DA1D75">
            <w:pPr>
              <w:jc w:val="both"/>
              <w:rPr>
                <w:rFonts w:asciiTheme="minorHAnsi" w:hAnsiTheme="minorHAnsi" w:cstheme="minorHAnsi"/>
                <w:lang w:val="fr-BE"/>
              </w:rPr>
            </w:pPr>
          </w:p>
        </w:tc>
      </w:tr>
      <w:tr w:rsidR="006D6750" w:rsidRPr="006D6750" w14:paraId="06070F40" w14:textId="77777777" w:rsidTr="006D6750">
        <w:tc>
          <w:tcPr>
            <w:tcW w:w="5000" w:type="pct"/>
          </w:tcPr>
          <w:p w14:paraId="4C79E482" w14:textId="28357319" w:rsidR="006D6750" w:rsidRPr="00565E6D" w:rsidRDefault="006D6750" w:rsidP="00DA1D75">
            <w:pPr>
              <w:jc w:val="both"/>
              <w:rPr>
                <w:rFonts w:asciiTheme="minorHAnsi" w:hAnsiTheme="minorHAnsi" w:cstheme="minorHAnsi"/>
              </w:rPr>
            </w:pPr>
            <w:r>
              <w:rPr>
                <w:rFonts w:asciiTheme="minorHAnsi" w:hAnsiTheme="minorHAnsi"/>
              </w:rPr>
              <w:t xml:space="preserve">As a result of the purposes referred to in Article 6(1) of the Royal Decree of 25 October 2018 on the procedures for operating games of chance and betting using Information Society services, the Gambling Commission is entitled to use the national registration number as a </w:t>
            </w:r>
            <w:proofErr w:type="gramStart"/>
            <w:r>
              <w:rPr>
                <w:rFonts w:asciiTheme="minorHAnsi" w:hAnsiTheme="minorHAnsi"/>
              </w:rPr>
              <w:t>search criteria</w:t>
            </w:r>
            <w:proofErr w:type="gramEnd"/>
            <w:r>
              <w:rPr>
                <w:rFonts w:asciiTheme="minorHAnsi" w:hAnsiTheme="minorHAnsi"/>
              </w:rPr>
              <w:t xml:space="preserve"> within the National Bank of Belgium's Central Register of Credits to Individuals.</w:t>
            </w:r>
          </w:p>
          <w:p w14:paraId="31254EEA" w14:textId="77777777" w:rsidR="006D6750" w:rsidRPr="00565E6D" w:rsidDel="008C4A7C" w:rsidRDefault="006D6750" w:rsidP="00DA1D75">
            <w:pPr>
              <w:jc w:val="both"/>
              <w:rPr>
                <w:rFonts w:asciiTheme="minorHAnsi" w:hAnsiTheme="minorHAnsi" w:cstheme="minorHAnsi"/>
                <w:lang w:val="fr-FR"/>
              </w:rPr>
            </w:pPr>
          </w:p>
        </w:tc>
      </w:tr>
      <w:tr w:rsidR="006D6750" w:rsidRPr="006D6750" w14:paraId="4E6B106E" w14:textId="77777777" w:rsidTr="006D6750">
        <w:tc>
          <w:tcPr>
            <w:tcW w:w="5000" w:type="pct"/>
          </w:tcPr>
          <w:p w14:paraId="0E222FC3" w14:textId="68E386F9" w:rsidR="006D6750" w:rsidRPr="00565E6D" w:rsidRDefault="006D6750" w:rsidP="00DA1D75">
            <w:pPr>
              <w:jc w:val="both"/>
              <w:rPr>
                <w:rFonts w:asciiTheme="minorHAnsi" w:hAnsiTheme="minorHAnsi" w:cstheme="minorHAnsi"/>
              </w:rPr>
            </w:pPr>
            <w:r>
              <w:rPr>
                <w:rFonts w:asciiTheme="minorHAnsi" w:hAnsiTheme="minorHAnsi"/>
              </w:rPr>
              <w:t>When a request is submitted to the Gambling Commission to increase the gambling limit, licensees of Class A+, B+ or F1+ shall collect the player’s national registration number and communicate this to the Gambling Commission.</w:t>
            </w:r>
          </w:p>
        </w:tc>
      </w:tr>
      <w:tr w:rsidR="006D6750" w:rsidRPr="006D6750" w14:paraId="05B3D863" w14:textId="77777777" w:rsidTr="006D6750">
        <w:tc>
          <w:tcPr>
            <w:tcW w:w="5000" w:type="pct"/>
          </w:tcPr>
          <w:p w14:paraId="2FFA6633" w14:textId="381C5FA6" w:rsidR="006D6750" w:rsidRPr="006D6750" w:rsidRDefault="006D6750" w:rsidP="00DA1D75">
            <w:pPr>
              <w:jc w:val="both"/>
              <w:rPr>
                <w:rFonts w:asciiTheme="minorHAnsi" w:hAnsiTheme="minorHAnsi" w:cstheme="minorHAnsi"/>
                <w:highlight w:val="yellow"/>
                <w:lang w:val="fr-BE"/>
              </w:rPr>
            </w:pPr>
          </w:p>
        </w:tc>
      </w:tr>
      <w:tr w:rsidR="006D6750" w:rsidRPr="004445F4" w14:paraId="52185598" w14:textId="77777777" w:rsidTr="006D6750">
        <w:tc>
          <w:tcPr>
            <w:tcW w:w="5000" w:type="pct"/>
          </w:tcPr>
          <w:p w14:paraId="1B4F08F6" w14:textId="7C9C1075" w:rsidR="006D6750" w:rsidRPr="00565E6D" w:rsidRDefault="006D6750" w:rsidP="00DA1D75">
            <w:pPr>
              <w:jc w:val="both"/>
              <w:rPr>
                <w:rFonts w:asciiTheme="minorHAnsi" w:hAnsiTheme="minorHAnsi" w:cstheme="minorHAnsi"/>
                <w:b/>
                <w:u w:val="single"/>
              </w:rPr>
            </w:pPr>
            <w:r>
              <w:rPr>
                <w:rFonts w:asciiTheme="minorHAnsi" w:hAnsiTheme="minorHAnsi"/>
                <w:b/>
                <w:u w:val="single"/>
              </w:rPr>
              <w:t>Article 4</w:t>
            </w:r>
          </w:p>
          <w:p w14:paraId="51967E00" w14:textId="7A153995" w:rsidR="006D6750" w:rsidRPr="00565E6D" w:rsidRDefault="006D6750" w:rsidP="00DA1D75">
            <w:pPr>
              <w:jc w:val="both"/>
              <w:rPr>
                <w:rFonts w:asciiTheme="minorHAnsi" w:hAnsiTheme="minorHAnsi" w:cstheme="minorHAnsi"/>
                <w:b/>
                <w:u w:val="single"/>
                <w:lang w:val="fr-BE"/>
              </w:rPr>
            </w:pPr>
          </w:p>
        </w:tc>
      </w:tr>
      <w:tr w:rsidR="006D6750" w:rsidRPr="006D6750" w14:paraId="5D5145E8" w14:textId="77777777" w:rsidTr="006D6750">
        <w:tc>
          <w:tcPr>
            <w:tcW w:w="5000" w:type="pct"/>
          </w:tcPr>
          <w:p w14:paraId="7C17CA52" w14:textId="6F0995A7" w:rsidR="006D6750" w:rsidRPr="00565E6D" w:rsidRDefault="006D6750" w:rsidP="00DA1D75">
            <w:pPr>
              <w:jc w:val="both"/>
              <w:rPr>
                <w:rFonts w:asciiTheme="minorHAnsi" w:hAnsiTheme="minorHAnsi" w:cstheme="minorHAnsi"/>
              </w:rPr>
            </w:pPr>
            <w:r>
              <w:rPr>
                <w:rFonts w:asciiTheme="minorHAnsi" w:hAnsiTheme="minorHAnsi"/>
              </w:rPr>
              <w:t>The Gambling Commission shall keep the national registration number or player identification data referred to in Article 4 for the period necessary for its monthly verification task if the authorisation to increase the gambling limit is to remain.</w:t>
            </w:r>
          </w:p>
          <w:p w14:paraId="41E8D6AC" w14:textId="77777777" w:rsidR="006D6750" w:rsidRPr="00565E6D" w:rsidRDefault="006D6750" w:rsidP="00DA1D75">
            <w:pPr>
              <w:jc w:val="both"/>
              <w:rPr>
                <w:rFonts w:asciiTheme="minorHAnsi" w:hAnsiTheme="minorHAnsi" w:cstheme="minorHAnsi"/>
                <w:b/>
                <w:u w:val="single"/>
                <w:lang w:val="fr-BE"/>
              </w:rPr>
            </w:pPr>
          </w:p>
        </w:tc>
      </w:tr>
      <w:tr w:rsidR="006D6750" w:rsidRPr="004445F4" w14:paraId="6DB980FD" w14:textId="77777777" w:rsidTr="006D6750">
        <w:tc>
          <w:tcPr>
            <w:tcW w:w="5000" w:type="pct"/>
          </w:tcPr>
          <w:p w14:paraId="0395A791" w14:textId="77777777" w:rsidR="006D6750" w:rsidRPr="00565E6D" w:rsidRDefault="006D6750" w:rsidP="00DA1D75">
            <w:pPr>
              <w:jc w:val="both"/>
              <w:rPr>
                <w:rFonts w:asciiTheme="minorHAnsi" w:hAnsiTheme="minorHAnsi" w:cstheme="minorHAnsi"/>
                <w:b/>
                <w:u w:val="single"/>
              </w:rPr>
            </w:pPr>
            <w:r>
              <w:rPr>
                <w:rFonts w:asciiTheme="minorHAnsi" w:hAnsiTheme="minorHAnsi"/>
                <w:b/>
                <w:u w:val="single"/>
              </w:rPr>
              <w:lastRenderedPageBreak/>
              <w:t>Article 5</w:t>
            </w:r>
          </w:p>
          <w:p w14:paraId="41AB2BF1" w14:textId="0655E699" w:rsidR="006D6750" w:rsidRPr="00565E6D" w:rsidRDefault="006D6750" w:rsidP="00DA1D75">
            <w:pPr>
              <w:jc w:val="both"/>
              <w:rPr>
                <w:rFonts w:asciiTheme="minorHAnsi" w:hAnsiTheme="minorHAnsi" w:cstheme="minorHAnsi"/>
                <w:b/>
                <w:u w:val="single"/>
                <w:lang w:val="fr-BE"/>
              </w:rPr>
            </w:pPr>
          </w:p>
        </w:tc>
      </w:tr>
      <w:tr w:rsidR="006D6750" w:rsidRPr="006D6750" w14:paraId="3468D20D" w14:textId="77777777" w:rsidTr="006D6750">
        <w:tc>
          <w:tcPr>
            <w:tcW w:w="5000" w:type="pct"/>
          </w:tcPr>
          <w:p w14:paraId="618F0761" w14:textId="56C6EFB9" w:rsidR="006D6750" w:rsidRPr="00565E6D" w:rsidRDefault="006D6750" w:rsidP="00DA1D75">
            <w:pPr>
              <w:jc w:val="both"/>
              <w:rPr>
                <w:rFonts w:asciiTheme="minorHAnsi" w:hAnsiTheme="minorHAnsi" w:cstheme="minorHAnsi"/>
              </w:rPr>
            </w:pPr>
            <w:r>
              <w:rPr>
                <w:rFonts w:asciiTheme="minorHAnsi" w:hAnsiTheme="minorHAnsi"/>
              </w:rPr>
              <w:t xml:space="preserve">§1. The Gambling Commission shall create log files of consultations of the National Bank of Belgium's Central Register of Credits to Individuals. </w:t>
            </w:r>
          </w:p>
          <w:p w14:paraId="50470140" w14:textId="784796E1" w:rsidR="006D6750" w:rsidRPr="00565E6D" w:rsidRDefault="006D6750" w:rsidP="00DA1D75">
            <w:pPr>
              <w:jc w:val="both"/>
              <w:rPr>
                <w:rFonts w:asciiTheme="minorHAnsi" w:hAnsiTheme="minorHAnsi" w:cstheme="minorHAnsi"/>
                <w:lang w:val="fr-BE"/>
              </w:rPr>
            </w:pPr>
          </w:p>
        </w:tc>
      </w:tr>
      <w:tr w:rsidR="006D6750" w:rsidRPr="006D6750" w14:paraId="639284BB" w14:textId="77777777" w:rsidTr="006D6750">
        <w:tc>
          <w:tcPr>
            <w:tcW w:w="5000" w:type="pct"/>
          </w:tcPr>
          <w:p w14:paraId="683F7EA4" w14:textId="05AB456F" w:rsidR="006D6750" w:rsidRPr="00565E6D" w:rsidRDefault="006D6750" w:rsidP="00DA1D75">
            <w:pPr>
              <w:jc w:val="both"/>
              <w:rPr>
                <w:rFonts w:asciiTheme="minorHAnsi" w:hAnsiTheme="minorHAnsi" w:cstheme="minorHAnsi"/>
              </w:rPr>
            </w:pPr>
            <w:r>
              <w:rPr>
                <w:rFonts w:asciiTheme="minorHAnsi" w:hAnsiTheme="minorHAnsi"/>
              </w:rPr>
              <w:t>These consultation log files shall be used to establish:</w:t>
            </w:r>
          </w:p>
          <w:p w14:paraId="71096EB1" w14:textId="77777777" w:rsidR="006D6750" w:rsidRPr="00565E6D" w:rsidRDefault="006D6750" w:rsidP="00DA1D75">
            <w:pPr>
              <w:jc w:val="both"/>
              <w:rPr>
                <w:rFonts w:asciiTheme="minorHAnsi" w:hAnsiTheme="minorHAnsi" w:cstheme="minorHAnsi"/>
                <w:lang w:val="fr-BE"/>
              </w:rPr>
            </w:pPr>
          </w:p>
        </w:tc>
      </w:tr>
      <w:tr w:rsidR="006D6750" w:rsidRPr="006D6750" w14:paraId="3485DDC6" w14:textId="77777777" w:rsidTr="006D6750">
        <w:tc>
          <w:tcPr>
            <w:tcW w:w="5000" w:type="pct"/>
          </w:tcPr>
          <w:p w14:paraId="7D1CCAA9" w14:textId="26669351" w:rsidR="006D6750" w:rsidRPr="00565E6D" w:rsidRDefault="006D6750" w:rsidP="00DA1D75">
            <w:pPr>
              <w:jc w:val="both"/>
              <w:rPr>
                <w:rFonts w:asciiTheme="minorHAnsi" w:hAnsiTheme="minorHAnsi" w:cstheme="minorHAnsi"/>
              </w:rPr>
            </w:pPr>
            <w:r>
              <w:rPr>
                <w:rFonts w:asciiTheme="minorHAnsi" w:hAnsiTheme="minorHAnsi"/>
              </w:rPr>
              <w:t>1. the date and time of the consultation;</w:t>
            </w:r>
          </w:p>
          <w:p w14:paraId="69473C33" w14:textId="77777777" w:rsidR="006D6750" w:rsidRPr="00565E6D" w:rsidRDefault="006D6750" w:rsidP="00DA1D75">
            <w:pPr>
              <w:jc w:val="both"/>
              <w:rPr>
                <w:rFonts w:asciiTheme="minorHAnsi" w:hAnsiTheme="minorHAnsi" w:cstheme="minorHAnsi"/>
                <w:lang w:val="fr-BE"/>
              </w:rPr>
            </w:pPr>
          </w:p>
        </w:tc>
      </w:tr>
      <w:tr w:rsidR="006D6750" w:rsidRPr="006D6750" w14:paraId="2351AB13" w14:textId="77777777" w:rsidTr="006D6750">
        <w:tc>
          <w:tcPr>
            <w:tcW w:w="5000" w:type="pct"/>
          </w:tcPr>
          <w:p w14:paraId="72F1E742" w14:textId="358764DC" w:rsidR="006D6750" w:rsidRPr="00565E6D" w:rsidRDefault="006D6750" w:rsidP="00DA1D75">
            <w:pPr>
              <w:jc w:val="both"/>
              <w:rPr>
                <w:rFonts w:asciiTheme="minorHAnsi" w:hAnsiTheme="minorHAnsi" w:cstheme="minorHAnsi"/>
              </w:rPr>
            </w:pPr>
            <w:r>
              <w:rPr>
                <w:rFonts w:asciiTheme="minorHAnsi" w:hAnsiTheme="minorHAnsi"/>
              </w:rPr>
              <w:t>2. the identification of the individual user or, failing that, the process or system that accessed the data;</w:t>
            </w:r>
          </w:p>
          <w:p w14:paraId="42E9EAC8" w14:textId="77777777" w:rsidR="006D6750" w:rsidRPr="00565E6D" w:rsidRDefault="006D6750" w:rsidP="00DA1D75">
            <w:pPr>
              <w:jc w:val="both"/>
              <w:rPr>
                <w:rFonts w:asciiTheme="minorHAnsi" w:hAnsiTheme="minorHAnsi" w:cstheme="minorHAnsi"/>
                <w:lang w:val="fr-BE"/>
              </w:rPr>
            </w:pPr>
          </w:p>
        </w:tc>
      </w:tr>
      <w:tr w:rsidR="006D6750" w:rsidRPr="004445F4" w14:paraId="06ADDE02" w14:textId="77777777" w:rsidTr="006D6750">
        <w:tc>
          <w:tcPr>
            <w:tcW w:w="5000" w:type="pct"/>
          </w:tcPr>
          <w:p w14:paraId="13F39EBB" w14:textId="77777777" w:rsidR="006D6750" w:rsidRPr="00565E6D" w:rsidRDefault="006D6750" w:rsidP="00DA1D75">
            <w:pPr>
              <w:jc w:val="both"/>
              <w:rPr>
                <w:rFonts w:asciiTheme="minorHAnsi" w:hAnsiTheme="minorHAnsi" w:cstheme="minorHAnsi"/>
              </w:rPr>
            </w:pPr>
            <w:r>
              <w:rPr>
                <w:rFonts w:asciiTheme="minorHAnsi" w:hAnsiTheme="minorHAnsi"/>
              </w:rPr>
              <w:t xml:space="preserve">3. the type of request; </w:t>
            </w:r>
          </w:p>
          <w:p w14:paraId="749E7490" w14:textId="45D3BBAC" w:rsidR="006D6750" w:rsidRPr="00565E6D" w:rsidRDefault="006D6750" w:rsidP="00DA1D75">
            <w:pPr>
              <w:jc w:val="both"/>
              <w:rPr>
                <w:rFonts w:asciiTheme="minorHAnsi" w:hAnsiTheme="minorHAnsi" w:cstheme="minorHAnsi"/>
              </w:rPr>
            </w:pPr>
          </w:p>
        </w:tc>
      </w:tr>
      <w:tr w:rsidR="006D6750" w:rsidRPr="006D6750" w14:paraId="72FBC45E" w14:textId="77777777" w:rsidTr="006D6750">
        <w:tc>
          <w:tcPr>
            <w:tcW w:w="5000" w:type="pct"/>
          </w:tcPr>
          <w:p w14:paraId="7AFD0FE6" w14:textId="77777777" w:rsidR="006D6750" w:rsidRPr="00565E6D" w:rsidRDefault="006D6750" w:rsidP="00DA1D75">
            <w:pPr>
              <w:jc w:val="both"/>
              <w:rPr>
                <w:rFonts w:asciiTheme="minorHAnsi" w:hAnsiTheme="minorHAnsi" w:cstheme="minorHAnsi"/>
              </w:rPr>
            </w:pPr>
            <w:r>
              <w:rPr>
                <w:rFonts w:asciiTheme="minorHAnsi" w:hAnsiTheme="minorHAnsi"/>
              </w:rPr>
              <w:t>4. the purpose of the consultation.</w:t>
            </w:r>
          </w:p>
          <w:p w14:paraId="061E65D0" w14:textId="77777777" w:rsidR="006D6750" w:rsidRPr="00565E6D" w:rsidRDefault="006D6750" w:rsidP="00DA1D75">
            <w:pPr>
              <w:jc w:val="both"/>
              <w:rPr>
                <w:rFonts w:asciiTheme="minorHAnsi" w:hAnsiTheme="minorHAnsi" w:cstheme="minorHAnsi"/>
                <w:lang w:val="fr-BE"/>
              </w:rPr>
            </w:pPr>
          </w:p>
        </w:tc>
      </w:tr>
      <w:tr w:rsidR="006D6750" w:rsidRPr="006D6750" w14:paraId="78BF45AE" w14:textId="77777777" w:rsidTr="006D6750">
        <w:tc>
          <w:tcPr>
            <w:tcW w:w="5000" w:type="pct"/>
          </w:tcPr>
          <w:p w14:paraId="31058F53" w14:textId="4F080699" w:rsidR="006D6750" w:rsidRPr="00565E6D" w:rsidRDefault="006D6750" w:rsidP="00DA1D75">
            <w:pPr>
              <w:jc w:val="both"/>
              <w:rPr>
                <w:rFonts w:asciiTheme="minorHAnsi" w:hAnsiTheme="minorHAnsi" w:cstheme="minorHAnsi"/>
              </w:rPr>
            </w:pPr>
            <w:r>
              <w:rPr>
                <w:rFonts w:asciiTheme="minorHAnsi" w:hAnsiTheme="minorHAnsi"/>
              </w:rPr>
              <w:t>§2. The National Bank of Belgium shall create log files to establish:</w:t>
            </w:r>
          </w:p>
          <w:p w14:paraId="31972E44" w14:textId="77777777" w:rsidR="006D6750" w:rsidRPr="00565E6D" w:rsidRDefault="006D6750" w:rsidP="00DA1D75">
            <w:pPr>
              <w:jc w:val="both"/>
              <w:rPr>
                <w:rFonts w:asciiTheme="minorHAnsi" w:hAnsiTheme="minorHAnsi" w:cstheme="minorHAnsi"/>
                <w:lang w:val="fr-BE"/>
              </w:rPr>
            </w:pPr>
          </w:p>
        </w:tc>
      </w:tr>
      <w:tr w:rsidR="006D6750" w:rsidRPr="006D6750" w14:paraId="1B061C40" w14:textId="77777777" w:rsidTr="006D6750">
        <w:tc>
          <w:tcPr>
            <w:tcW w:w="5000" w:type="pct"/>
          </w:tcPr>
          <w:p w14:paraId="7A3E5BA4" w14:textId="77777777" w:rsidR="006D6750" w:rsidRPr="00565E6D" w:rsidRDefault="006D6750" w:rsidP="00DA1D75">
            <w:pPr>
              <w:jc w:val="both"/>
              <w:rPr>
                <w:rFonts w:asciiTheme="minorHAnsi" w:hAnsiTheme="minorHAnsi" w:cstheme="minorHAnsi"/>
              </w:rPr>
            </w:pPr>
            <w:r>
              <w:rPr>
                <w:rFonts w:asciiTheme="minorHAnsi" w:hAnsiTheme="minorHAnsi"/>
              </w:rPr>
              <w:t xml:space="preserve">1. the identification of the user who has accessed or received communication of the data, </w:t>
            </w:r>
          </w:p>
          <w:p w14:paraId="509228AE" w14:textId="77777777" w:rsidR="006D6750" w:rsidRPr="00565E6D" w:rsidRDefault="006D6750" w:rsidP="00DA1D75">
            <w:pPr>
              <w:jc w:val="both"/>
              <w:rPr>
                <w:rFonts w:asciiTheme="minorHAnsi" w:hAnsiTheme="minorHAnsi" w:cstheme="minorHAnsi"/>
                <w:lang w:val="fr-BE"/>
              </w:rPr>
            </w:pPr>
          </w:p>
        </w:tc>
      </w:tr>
      <w:tr w:rsidR="006D6750" w:rsidRPr="006D6750" w14:paraId="34CE527C" w14:textId="77777777" w:rsidTr="006D6750">
        <w:tc>
          <w:tcPr>
            <w:tcW w:w="5000" w:type="pct"/>
          </w:tcPr>
          <w:p w14:paraId="113C10DB" w14:textId="1DA7FFE8" w:rsidR="006D6750" w:rsidRPr="00565E6D" w:rsidRDefault="006D6750" w:rsidP="00DA1D75">
            <w:pPr>
              <w:jc w:val="both"/>
              <w:rPr>
                <w:rFonts w:asciiTheme="minorHAnsi" w:hAnsiTheme="minorHAnsi" w:cstheme="minorHAnsi"/>
              </w:rPr>
            </w:pPr>
            <w:r>
              <w:rPr>
                <w:rFonts w:asciiTheme="minorHAnsi" w:hAnsiTheme="minorHAnsi"/>
              </w:rPr>
              <w:t xml:space="preserve">2. the type of request made; </w:t>
            </w:r>
          </w:p>
          <w:p w14:paraId="230E54E2" w14:textId="77777777" w:rsidR="006D6750" w:rsidRPr="00565E6D" w:rsidRDefault="006D6750" w:rsidP="00DA1D75">
            <w:pPr>
              <w:jc w:val="both"/>
              <w:rPr>
                <w:rFonts w:asciiTheme="minorHAnsi" w:hAnsiTheme="minorHAnsi" w:cstheme="minorHAnsi"/>
                <w:lang w:val="fr-BE"/>
              </w:rPr>
            </w:pPr>
          </w:p>
        </w:tc>
      </w:tr>
      <w:tr w:rsidR="006D6750" w:rsidRPr="006D6750" w14:paraId="26BFDCD2" w14:textId="77777777" w:rsidTr="006D6750">
        <w:tc>
          <w:tcPr>
            <w:tcW w:w="5000" w:type="pct"/>
          </w:tcPr>
          <w:p w14:paraId="21C90560" w14:textId="05DCFE55" w:rsidR="006D6750" w:rsidRPr="00565E6D" w:rsidRDefault="006D6750" w:rsidP="00DA1D75">
            <w:pPr>
              <w:jc w:val="both"/>
              <w:rPr>
                <w:rFonts w:asciiTheme="minorHAnsi" w:hAnsiTheme="minorHAnsi" w:cstheme="minorHAnsi"/>
              </w:rPr>
            </w:pPr>
            <w:r>
              <w:rPr>
                <w:rFonts w:asciiTheme="minorHAnsi" w:hAnsiTheme="minorHAnsi"/>
              </w:rPr>
              <w:t>3. the date and time of the consultation or communication.</w:t>
            </w:r>
          </w:p>
          <w:p w14:paraId="21F27E53" w14:textId="77777777" w:rsidR="006D6750" w:rsidRPr="00565E6D" w:rsidRDefault="006D6750" w:rsidP="00DA1D75">
            <w:pPr>
              <w:jc w:val="both"/>
              <w:rPr>
                <w:rFonts w:asciiTheme="minorHAnsi" w:hAnsiTheme="minorHAnsi" w:cstheme="minorHAnsi"/>
                <w:lang w:val="fr-BE"/>
              </w:rPr>
            </w:pPr>
          </w:p>
        </w:tc>
      </w:tr>
      <w:tr w:rsidR="006D6750" w:rsidRPr="006D6750" w14:paraId="51D67BDC" w14:textId="77777777" w:rsidTr="006D6750">
        <w:tc>
          <w:tcPr>
            <w:tcW w:w="5000" w:type="pct"/>
          </w:tcPr>
          <w:p w14:paraId="51489C91" w14:textId="0A15C3D8" w:rsidR="006D6750" w:rsidRPr="00565E6D" w:rsidRDefault="006D6750" w:rsidP="00DA1D75">
            <w:pPr>
              <w:jc w:val="both"/>
              <w:rPr>
                <w:rFonts w:asciiTheme="minorHAnsi" w:hAnsiTheme="minorHAnsi" w:cstheme="minorHAnsi"/>
              </w:rPr>
            </w:pPr>
            <w:r>
              <w:rPr>
                <w:rFonts w:asciiTheme="minorHAnsi" w:hAnsiTheme="minorHAnsi"/>
              </w:rPr>
              <w:t>§3. Appropriate measures shall be adopted by the Gambling Commission and the National Bank of Belgium to ensure the security of log files and</w:t>
            </w:r>
            <w:proofErr w:type="gramStart"/>
            <w:r>
              <w:rPr>
                <w:rFonts w:asciiTheme="minorHAnsi" w:hAnsiTheme="minorHAnsi"/>
              </w:rPr>
              <w:t>, in particular, prevent</w:t>
            </w:r>
            <w:proofErr w:type="gramEnd"/>
            <w:r>
              <w:rPr>
                <w:rFonts w:asciiTheme="minorHAnsi" w:hAnsiTheme="minorHAnsi"/>
              </w:rPr>
              <w:t xml:space="preserve"> unauthorised processing and ensure the integrity of the data processed.</w:t>
            </w:r>
          </w:p>
          <w:p w14:paraId="3579A70D" w14:textId="61DC08C0" w:rsidR="006D6750" w:rsidRPr="00565E6D" w:rsidRDefault="006D6750" w:rsidP="00DA1D75">
            <w:pPr>
              <w:jc w:val="both"/>
              <w:rPr>
                <w:rFonts w:asciiTheme="minorHAnsi" w:hAnsiTheme="minorHAnsi" w:cstheme="minorHAnsi"/>
                <w:lang w:val="fr-BE"/>
              </w:rPr>
            </w:pPr>
          </w:p>
        </w:tc>
      </w:tr>
      <w:tr w:rsidR="006D6750" w:rsidRPr="006D6750" w14:paraId="4651C79C" w14:textId="77777777" w:rsidTr="006D6750">
        <w:tc>
          <w:tcPr>
            <w:tcW w:w="5000" w:type="pct"/>
          </w:tcPr>
          <w:p w14:paraId="286B980D" w14:textId="6605B038" w:rsidR="006D6750" w:rsidRPr="00565E6D" w:rsidRDefault="006D6750" w:rsidP="00DA1D75">
            <w:pPr>
              <w:jc w:val="both"/>
              <w:rPr>
                <w:rFonts w:asciiTheme="minorHAnsi" w:hAnsiTheme="minorHAnsi" w:cstheme="minorHAnsi"/>
              </w:rPr>
            </w:pPr>
            <w:r>
              <w:rPr>
                <w:rFonts w:asciiTheme="minorHAnsi" w:hAnsiTheme="minorHAnsi"/>
              </w:rPr>
              <w:t>Log files shall be kept for ten years from the date of consultation.</w:t>
            </w:r>
          </w:p>
          <w:p w14:paraId="5AA2A87D" w14:textId="0E57A743" w:rsidR="006D6750" w:rsidRPr="00565E6D" w:rsidRDefault="006D6750" w:rsidP="00DA1D75">
            <w:pPr>
              <w:jc w:val="both"/>
              <w:rPr>
                <w:rFonts w:asciiTheme="minorHAnsi" w:hAnsiTheme="minorHAnsi" w:cstheme="minorHAnsi"/>
                <w:lang w:val="fr-BE"/>
              </w:rPr>
            </w:pPr>
          </w:p>
        </w:tc>
      </w:tr>
      <w:tr w:rsidR="006D6750" w:rsidRPr="006D6750" w14:paraId="699AD9F6" w14:textId="77777777" w:rsidTr="006D6750">
        <w:tc>
          <w:tcPr>
            <w:tcW w:w="5000" w:type="pct"/>
          </w:tcPr>
          <w:p w14:paraId="72B70189" w14:textId="5C07FF84" w:rsidR="006D6750" w:rsidRPr="00565E6D" w:rsidRDefault="006D6750" w:rsidP="00DA1D75">
            <w:pPr>
              <w:jc w:val="both"/>
              <w:rPr>
                <w:rFonts w:asciiTheme="minorHAnsi" w:hAnsiTheme="minorHAnsi" w:cstheme="minorHAnsi"/>
              </w:rPr>
            </w:pPr>
            <w:r>
              <w:rPr>
                <w:rFonts w:asciiTheme="minorHAnsi" w:hAnsiTheme="minorHAnsi"/>
              </w:rPr>
              <w:t>The log files of the Gambling Commission shall be kept and made available to the Data Protection Authority at first request.</w:t>
            </w:r>
          </w:p>
          <w:p w14:paraId="6977894F" w14:textId="4C8057D9" w:rsidR="006D6750" w:rsidRPr="00565E6D" w:rsidRDefault="006D6750" w:rsidP="00DA1D75">
            <w:pPr>
              <w:jc w:val="both"/>
              <w:rPr>
                <w:rFonts w:asciiTheme="minorHAnsi" w:hAnsiTheme="minorHAnsi" w:cstheme="minorHAnsi"/>
                <w:lang w:val="fr-BE"/>
              </w:rPr>
            </w:pPr>
          </w:p>
        </w:tc>
      </w:tr>
      <w:tr w:rsidR="006D6750" w:rsidRPr="004445F4" w14:paraId="1863A8A9" w14:textId="77777777" w:rsidTr="006D6750">
        <w:tc>
          <w:tcPr>
            <w:tcW w:w="5000" w:type="pct"/>
          </w:tcPr>
          <w:p w14:paraId="415B0A2E" w14:textId="6990C065" w:rsidR="006D6750" w:rsidRPr="00565E6D" w:rsidRDefault="006D6750" w:rsidP="00DA1D75">
            <w:pPr>
              <w:jc w:val="both"/>
              <w:rPr>
                <w:rFonts w:asciiTheme="minorHAnsi" w:hAnsiTheme="minorHAnsi" w:cstheme="minorHAnsi"/>
                <w:b/>
                <w:u w:val="single"/>
              </w:rPr>
            </w:pPr>
            <w:r>
              <w:rPr>
                <w:rFonts w:asciiTheme="minorHAnsi" w:hAnsiTheme="minorHAnsi"/>
                <w:b/>
                <w:u w:val="single"/>
              </w:rPr>
              <w:t>Article 6</w:t>
            </w:r>
          </w:p>
          <w:p w14:paraId="565921D5" w14:textId="2FCF5E22" w:rsidR="006D6750" w:rsidRPr="00565E6D" w:rsidRDefault="006D6750" w:rsidP="00DA1D75">
            <w:pPr>
              <w:jc w:val="both"/>
              <w:rPr>
                <w:rFonts w:asciiTheme="minorHAnsi" w:hAnsiTheme="minorHAnsi" w:cstheme="minorHAnsi"/>
                <w:b/>
                <w:u w:val="single"/>
              </w:rPr>
            </w:pPr>
          </w:p>
        </w:tc>
      </w:tr>
      <w:tr w:rsidR="006D6750" w:rsidRPr="006D6750" w14:paraId="6D54AC83" w14:textId="77777777" w:rsidTr="006D6750">
        <w:tc>
          <w:tcPr>
            <w:tcW w:w="5000" w:type="pct"/>
          </w:tcPr>
          <w:p w14:paraId="7C3AD2B0" w14:textId="77777777" w:rsidR="006D6750" w:rsidRPr="00565E6D" w:rsidRDefault="006D6750" w:rsidP="00DA1D75">
            <w:pPr>
              <w:jc w:val="both"/>
              <w:rPr>
                <w:rFonts w:asciiTheme="minorHAnsi" w:hAnsiTheme="minorHAnsi" w:cstheme="minorHAnsi"/>
              </w:rPr>
            </w:pPr>
            <w:r>
              <w:rPr>
                <w:rFonts w:asciiTheme="minorHAnsi" w:hAnsiTheme="minorHAnsi"/>
              </w:rPr>
              <w:t xml:space="preserve">The agents of the Secretariat of the Gambling Commission, whose role requires access to the National Bank of Belgium's Central Register of Credits to Individuals, may only have access to information that a player is in default of payment within the meaning of Article VII.148 of the Code of Economic Law and only after authentication by means of an electronic identity card, either in relation to the application of the Gambling Commission or with regard to the application of the National Bank of Belgium. </w:t>
            </w:r>
          </w:p>
          <w:p w14:paraId="12174FEB" w14:textId="17B0FF32" w:rsidR="006D6750" w:rsidRPr="00565E6D" w:rsidRDefault="006D6750" w:rsidP="00DA1D75">
            <w:pPr>
              <w:jc w:val="both"/>
              <w:rPr>
                <w:rFonts w:asciiTheme="minorHAnsi" w:hAnsiTheme="minorHAnsi" w:cstheme="minorHAnsi"/>
                <w:lang w:val="fr-BE"/>
              </w:rPr>
            </w:pPr>
          </w:p>
        </w:tc>
      </w:tr>
      <w:tr w:rsidR="006D6750" w:rsidRPr="006D6750" w14:paraId="5A96940E" w14:textId="77777777" w:rsidTr="006D6750">
        <w:tc>
          <w:tcPr>
            <w:tcW w:w="5000" w:type="pct"/>
          </w:tcPr>
          <w:p w14:paraId="2A7F19B7" w14:textId="1DC7DE04" w:rsidR="006D6750" w:rsidRPr="00565E6D" w:rsidRDefault="006D6750" w:rsidP="00DA1D75">
            <w:pPr>
              <w:jc w:val="both"/>
              <w:rPr>
                <w:rFonts w:asciiTheme="minorHAnsi" w:hAnsiTheme="minorHAnsi" w:cstheme="minorHAnsi"/>
              </w:rPr>
            </w:pPr>
            <w:r>
              <w:rPr>
                <w:rFonts w:asciiTheme="minorHAnsi" w:hAnsiTheme="minorHAnsi"/>
              </w:rPr>
              <w:t>The Gambling Commission shall, at first request, provide the National Bank of Belgium or the Data Protection Authority with the identity of the member of its staff who has consulted or become aware of the personal data referred to in the preceding subparagraph.</w:t>
            </w:r>
          </w:p>
          <w:p w14:paraId="3BCFBC1A" w14:textId="77777777" w:rsidR="006D6750" w:rsidRPr="00565E6D" w:rsidRDefault="006D6750" w:rsidP="00DA1D75">
            <w:pPr>
              <w:jc w:val="both"/>
              <w:rPr>
                <w:rFonts w:asciiTheme="minorHAnsi" w:hAnsiTheme="minorHAnsi" w:cstheme="minorHAnsi"/>
                <w:lang w:val="fr-BE"/>
              </w:rPr>
            </w:pPr>
          </w:p>
        </w:tc>
      </w:tr>
      <w:tr w:rsidR="006D6750" w:rsidRPr="004445F4" w14:paraId="28CAA371" w14:textId="77777777" w:rsidTr="006D6750">
        <w:tc>
          <w:tcPr>
            <w:tcW w:w="5000" w:type="pct"/>
          </w:tcPr>
          <w:p w14:paraId="4C7BB0D4" w14:textId="76A6BBFF" w:rsidR="006D6750" w:rsidRPr="00565E6D" w:rsidRDefault="006D6750" w:rsidP="00DA1D75">
            <w:pPr>
              <w:jc w:val="both"/>
              <w:rPr>
                <w:rFonts w:asciiTheme="minorHAnsi" w:hAnsiTheme="minorHAnsi" w:cstheme="minorHAnsi"/>
                <w:b/>
                <w:u w:val="single"/>
              </w:rPr>
            </w:pPr>
            <w:r>
              <w:rPr>
                <w:rFonts w:asciiTheme="minorHAnsi" w:hAnsiTheme="minorHAnsi"/>
                <w:b/>
                <w:u w:val="single"/>
              </w:rPr>
              <w:t>Article 7</w:t>
            </w:r>
          </w:p>
        </w:tc>
      </w:tr>
      <w:tr w:rsidR="006D6750" w:rsidRPr="006D6750" w14:paraId="23EAEED6" w14:textId="77777777" w:rsidTr="006D6750">
        <w:tc>
          <w:tcPr>
            <w:tcW w:w="5000" w:type="pct"/>
          </w:tcPr>
          <w:p w14:paraId="384E2120" w14:textId="2957531C" w:rsidR="006D6750" w:rsidRPr="00565E6D" w:rsidRDefault="000C3BA6" w:rsidP="00DA1D75">
            <w:pPr>
              <w:jc w:val="both"/>
              <w:rPr>
                <w:rFonts w:asciiTheme="minorHAnsi" w:hAnsiTheme="minorHAnsi" w:cstheme="minorHAnsi"/>
              </w:rPr>
            </w:pPr>
            <w:r>
              <w:rPr>
                <w:rFonts w:asciiTheme="minorHAnsi" w:hAnsiTheme="minorHAnsi"/>
              </w:rPr>
              <w:lastRenderedPageBreak/>
              <w:t>The Gambling Commission shall keep the personal data consulted by the National Bank of Belgium’s Central Register of Credits to Individual for the time necessary to carry out the tasks referred to in Article 6(1) of the Royal Decree of 25 October 2018 on the procedures for operating games of chance and betting using Information Society services.</w:t>
            </w:r>
          </w:p>
          <w:p w14:paraId="288CDA19" w14:textId="77777777" w:rsidR="006D6750" w:rsidRPr="00565E6D" w:rsidRDefault="006D6750" w:rsidP="00DA1D75">
            <w:pPr>
              <w:jc w:val="both"/>
              <w:rPr>
                <w:rFonts w:asciiTheme="minorHAnsi" w:hAnsiTheme="minorHAnsi" w:cstheme="minorHAnsi"/>
                <w:lang w:val="fr-BE"/>
              </w:rPr>
            </w:pPr>
          </w:p>
        </w:tc>
      </w:tr>
      <w:tr w:rsidR="006D6750" w:rsidRPr="004445F4" w14:paraId="540DE0BE" w14:textId="77777777" w:rsidTr="006D6750">
        <w:tc>
          <w:tcPr>
            <w:tcW w:w="5000" w:type="pct"/>
          </w:tcPr>
          <w:p w14:paraId="70C9ACE2" w14:textId="5B452C20" w:rsidR="006D6750" w:rsidRPr="004445F4" w:rsidRDefault="006D6750" w:rsidP="00DA1D75">
            <w:pPr>
              <w:jc w:val="both"/>
              <w:rPr>
                <w:rFonts w:asciiTheme="minorHAnsi" w:hAnsiTheme="minorHAnsi" w:cstheme="minorHAnsi"/>
                <w:b/>
                <w:u w:val="single"/>
              </w:rPr>
            </w:pPr>
            <w:r>
              <w:rPr>
                <w:rFonts w:asciiTheme="minorHAnsi" w:hAnsiTheme="minorHAnsi"/>
                <w:b/>
                <w:u w:val="single"/>
              </w:rPr>
              <w:t>Article 8</w:t>
            </w:r>
          </w:p>
          <w:p w14:paraId="5F80FDB1" w14:textId="77777777" w:rsidR="006D6750" w:rsidRPr="004445F4" w:rsidRDefault="006D6750" w:rsidP="00DA1D75">
            <w:pPr>
              <w:jc w:val="both"/>
              <w:rPr>
                <w:rFonts w:asciiTheme="minorHAnsi" w:hAnsiTheme="minorHAnsi" w:cstheme="minorHAnsi"/>
                <w:b/>
                <w:u w:val="single"/>
                <w:lang w:val="nl-BE"/>
              </w:rPr>
            </w:pPr>
          </w:p>
        </w:tc>
      </w:tr>
      <w:tr w:rsidR="006D6750" w:rsidRPr="006D6750" w14:paraId="69FE29A4" w14:textId="77777777" w:rsidTr="006D6750">
        <w:trPr>
          <w:trHeight w:val="931"/>
        </w:trPr>
        <w:tc>
          <w:tcPr>
            <w:tcW w:w="5000" w:type="pct"/>
          </w:tcPr>
          <w:p w14:paraId="69FE29A0" w14:textId="3B6A9E30" w:rsidR="006D6750" w:rsidRPr="004445F4" w:rsidRDefault="006D6750" w:rsidP="00DA1D75">
            <w:pPr>
              <w:jc w:val="both"/>
              <w:rPr>
                <w:rFonts w:asciiTheme="minorHAnsi" w:hAnsiTheme="minorHAnsi" w:cstheme="minorHAnsi"/>
              </w:rPr>
            </w:pPr>
            <w:r>
              <w:rPr>
                <w:rFonts w:asciiTheme="minorHAnsi" w:hAnsiTheme="minorHAnsi"/>
              </w:rPr>
              <w:t>The costs of consulting the National Bank of Belgium’s Central Register of Credits to Individuals shall be borne entirely by the funds of the Gambling Commission, as referred to in Article 19(2) of the Act of 7 May 1999 on gambling, betting, gambling establishments and the protection of gamblers.</w:t>
            </w:r>
          </w:p>
        </w:tc>
      </w:tr>
      <w:tr w:rsidR="006D6750" w:rsidRPr="006D6750" w14:paraId="2689BF07" w14:textId="77777777" w:rsidTr="006D6750">
        <w:tc>
          <w:tcPr>
            <w:tcW w:w="5000" w:type="pct"/>
          </w:tcPr>
          <w:p w14:paraId="3C762D43" w14:textId="57105C2C" w:rsidR="006D6750" w:rsidRPr="004445F4" w:rsidRDefault="006D6750" w:rsidP="00DA1D75">
            <w:pPr>
              <w:jc w:val="both"/>
              <w:rPr>
                <w:rFonts w:asciiTheme="minorHAnsi" w:hAnsiTheme="minorHAnsi" w:cstheme="minorHAnsi"/>
                <w:b/>
              </w:rPr>
            </w:pPr>
            <w:r>
              <w:br w:type="page"/>
            </w:r>
            <w:r>
              <w:br w:type="page"/>
            </w:r>
            <w:r>
              <w:rPr>
                <w:rFonts w:asciiTheme="minorHAnsi" w:hAnsiTheme="minorHAnsi"/>
                <w:b/>
              </w:rPr>
              <w:t>CHAPTER II — Amendments to the Royal Decree of 25 October 2018 on the procedures for operating games of chance and betting using Information Society services</w:t>
            </w:r>
          </w:p>
          <w:p w14:paraId="4FF11E25" w14:textId="3BB6C610" w:rsidR="006D6750" w:rsidRPr="004445F4" w:rsidRDefault="006D6750" w:rsidP="00DA1D75">
            <w:pPr>
              <w:jc w:val="both"/>
              <w:rPr>
                <w:rFonts w:asciiTheme="minorHAnsi" w:hAnsiTheme="minorHAnsi" w:cstheme="minorHAnsi"/>
                <w:b/>
                <w:lang w:val="fr-BE"/>
              </w:rPr>
            </w:pPr>
          </w:p>
        </w:tc>
      </w:tr>
      <w:tr w:rsidR="006D6750" w:rsidRPr="004445F4" w14:paraId="2DB84B4E" w14:textId="77777777" w:rsidTr="006D6750">
        <w:tc>
          <w:tcPr>
            <w:tcW w:w="5000" w:type="pct"/>
            <w:shd w:val="clear" w:color="auto" w:fill="auto"/>
          </w:tcPr>
          <w:p w14:paraId="2A91C65F" w14:textId="5875BAAD" w:rsidR="006D6750" w:rsidRPr="004445F4" w:rsidRDefault="006D6750" w:rsidP="00DA1D75">
            <w:pPr>
              <w:jc w:val="both"/>
              <w:rPr>
                <w:rFonts w:asciiTheme="minorHAnsi" w:hAnsiTheme="minorHAnsi" w:cstheme="minorHAnsi"/>
                <w:b/>
                <w:u w:val="single"/>
              </w:rPr>
            </w:pPr>
            <w:r>
              <w:rPr>
                <w:rFonts w:asciiTheme="minorHAnsi" w:hAnsiTheme="minorHAnsi"/>
                <w:b/>
                <w:u w:val="single"/>
              </w:rPr>
              <w:t>Article 9</w:t>
            </w:r>
          </w:p>
          <w:p w14:paraId="602390EC" w14:textId="77777777" w:rsidR="006D6750" w:rsidRPr="004445F4" w:rsidRDefault="006D6750" w:rsidP="00DA1D75">
            <w:pPr>
              <w:jc w:val="both"/>
              <w:rPr>
                <w:rFonts w:asciiTheme="minorHAnsi" w:hAnsiTheme="minorHAnsi" w:cstheme="minorHAnsi"/>
                <w:b/>
              </w:rPr>
            </w:pPr>
          </w:p>
        </w:tc>
      </w:tr>
      <w:tr w:rsidR="006D6750" w:rsidRPr="006D6750" w14:paraId="30578FAD" w14:textId="77777777" w:rsidTr="006D6750">
        <w:tc>
          <w:tcPr>
            <w:tcW w:w="5000" w:type="pct"/>
          </w:tcPr>
          <w:p w14:paraId="5EDE13F6" w14:textId="372F3ABF" w:rsidR="006D6750" w:rsidRPr="004445F4" w:rsidRDefault="006D6750" w:rsidP="00DA1D75">
            <w:pPr>
              <w:jc w:val="both"/>
              <w:rPr>
                <w:rFonts w:asciiTheme="minorHAnsi" w:hAnsiTheme="minorHAnsi" w:cstheme="minorHAnsi"/>
              </w:rPr>
            </w:pPr>
            <w:r>
              <w:rPr>
                <w:rFonts w:asciiTheme="minorHAnsi" w:hAnsiTheme="minorHAnsi"/>
              </w:rPr>
              <w:t>In Article 6(1)(1)(a) of the Royal Decree of 25 October 2018 on the procedures for operating games of chance and betting using Information Society services, the number ‘500’ shall be replaced by the number ‘200’ and the words ‘on all participated games of chance and betting’ shall be repealed. </w:t>
            </w:r>
          </w:p>
          <w:p w14:paraId="5793F906" w14:textId="77777777" w:rsidR="006D6750" w:rsidRPr="004445F4" w:rsidRDefault="006D6750" w:rsidP="00DA1D75">
            <w:pPr>
              <w:jc w:val="both"/>
              <w:rPr>
                <w:rFonts w:asciiTheme="minorHAnsi" w:hAnsiTheme="minorHAnsi" w:cstheme="minorHAnsi"/>
                <w:lang w:val="fr-BE"/>
              </w:rPr>
            </w:pPr>
          </w:p>
        </w:tc>
      </w:tr>
      <w:tr w:rsidR="006D6750" w:rsidRPr="004445F4" w14:paraId="173956E5" w14:textId="77777777" w:rsidTr="006D6750">
        <w:tc>
          <w:tcPr>
            <w:tcW w:w="5000" w:type="pct"/>
          </w:tcPr>
          <w:p w14:paraId="72129D27" w14:textId="77777777" w:rsidR="006D6750" w:rsidRDefault="006D6750" w:rsidP="00DA1D75">
            <w:pPr>
              <w:jc w:val="both"/>
              <w:rPr>
                <w:rFonts w:asciiTheme="minorHAnsi" w:hAnsiTheme="minorHAnsi"/>
                <w:b/>
              </w:rPr>
            </w:pPr>
            <w:r>
              <w:rPr>
                <w:rFonts w:asciiTheme="minorHAnsi" w:hAnsiTheme="minorHAnsi"/>
                <w:b/>
              </w:rPr>
              <w:t>CHAPTER III – Final provisions</w:t>
            </w:r>
          </w:p>
          <w:p w14:paraId="69C1A6D2" w14:textId="430ADE7F" w:rsidR="008E3CEE" w:rsidRPr="00662139" w:rsidRDefault="008E3CEE" w:rsidP="00DA1D75">
            <w:pPr>
              <w:jc w:val="both"/>
              <w:rPr>
                <w:rFonts w:asciiTheme="minorHAnsi" w:hAnsiTheme="minorHAnsi" w:cstheme="minorHAnsi"/>
                <w:b/>
              </w:rPr>
            </w:pPr>
          </w:p>
        </w:tc>
      </w:tr>
      <w:tr w:rsidR="006D6750" w:rsidRPr="004445F4" w14:paraId="716A353B" w14:textId="77777777" w:rsidTr="006D6750">
        <w:tc>
          <w:tcPr>
            <w:tcW w:w="5000" w:type="pct"/>
          </w:tcPr>
          <w:p w14:paraId="402DEB68" w14:textId="5F595E7C" w:rsidR="006D6750" w:rsidRPr="004445F4" w:rsidRDefault="006D6750" w:rsidP="00DA1D75">
            <w:pPr>
              <w:pStyle w:val="Heading5"/>
              <w:rPr>
                <w:rFonts w:asciiTheme="minorHAnsi" w:hAnsiTheme="minorHAnsi" w:cstheme="minorHAnsi"/>
                <w:bCs w:val="0"/>
              </w:rPr>
            </w:pPr>
            <w:r>
              <w:rPr>
                <w:rFonts w:asciiTheme="minorHAnsi" w:hAnsiTheme="minorHAnsi"/>
              </w:rPr>
              <w:t>Article 10</w:t>
            </w:r>
          </w:p>
          <w:p w14:paraId="599DE083" w14:textId="52ED68A5" w:rsidR="006D6750" w:rsidRPr="004445F4" w:rsidRDefault="006D6750" w:rsidP="00DA1D75">
            <w:pPr>
              <w:jc w:val="both"/>
              <w:rPr>
                <w:rFonts w:asciiTheme="minorHAnsi" w:hAnsiTheme="minorHAnsi" w:cstheme="minorHAnsi"/>
                <w:lang w:val="nl-BE"/>
              </w:rPr>
            </w:pPr>
          </w:p>
        </w:tc>
      </w:tr>
      <w:tr w:rsidR="006D6750" w:rsidRPr="006D6750" w14:paraId="71A52779" w14:textId="77777777" w:rsidTr="006D6750">
        <w:tc>
          <w:tcPr>
            <w:tcW w:w="5000" w:type="pct"/>
          </w:tcPr>
          <w:p w14:paraId="6775501A" w14:textId="7EC5D350" w:rsidR="006D6750" w:rsidRPr="004445F4" w:rsidRDefault="006D6750" w:rsidP="00DA1D75">
            <w:pPr>
              <w:jc w:val="both"/>
              <w:rPr>
                <w:rFonts w:asciiTheme="minorHAnsi" w:hAnsiTheme="minorHAnsi" w:cstheme="minorHAnsi"/>
              </w:rPr>
            </w:pPr>
            <w:r>
              <w:rPr>
                <w:rFonts w:asciiTheme="minorHAnsi" w:hAnsiTheme="minorHAnsi"/>
              </w:rPr>
              <w:t>Article 6(1)(1)(b) of the same decree shall enter into force on the same day as this decree.</w:t>
            </w:r>
          </w:p>
          <w:p w14:paraId="34E92F27" w14:textId="1B347A62" w:rsidR="006D6750" w:rsidRPr="004445F4" w:rsidRDefault="006D6750" w:rsidP="00DA1D75">
            <w:pPr>
              <w:jc w:val="both"/>
              <w:rPr>
                <w:rFonts w:asciiTheme="minorHAnsi" w:hAnsiTheme="minorHAnsi" w:cstheme="minorHAnsi"/>
                <w:lang w:val="fr-BE"/>
              </w:rPr>
            </w:pPr>
          </w:p>
        </w:tc>
      </w:tr>
      <w:tr w:rsidR="006D6750" w:rsidRPr="006D6750" w14:paraId="13416A97" w14:textId="77777777" w:rsidTr="006D6750">
        <w:tc>
          <w:tcPr>
            <w:tcW w:w="5000" w:type="pct"/>
          </w:tcPr>
          <w:p w14:paraId="58B8A783" w14:textId="77777777" w:rsidR="006D6750" w:rsidRPr="006D6750" w:rsidRDefault="006D6750" w:rsidP="00DA1D75">
            <w:pPr>
              <w:jc w:val="both"/>
              <w:rPr>
                <w:rFonts w:asciiTheme="minorHAnsi" w:hAnsiTheme="minorHAnsi" w:cstheme="minorHAnsi"/>
                <w:lang w:val="fr-BE"/>
              </w:rPr>
            </w:pPr>
          </w:p>
        </w:tc>
      </w:tr>
      <w:tr w:rsidR="006D6750" w:rsidRPr="004445F4" w14:paraId="22606D6A" w14:textId="77777777" w:rsidTr="006D6750">
        <w:tc>
          <w:tcPr>
            <w:tcW w:w="5000" w:type="pct"/>
          </w:tcPr>
          <w:p w14:paraId="7627436F" w14:textId="1DCE687A" w:rsidR="006D6750" w:rsidRPr="004445F4" w:rsidRDefault="006D6750" w:rsidP="00DA1D75">
            <w:pPr>
              <w:rPr>
                <w:rFonts w:asciiTheme="minorHAnsi" w:hAnsiTheme="minorHAnsi" w:cstheme="minorHAnsi"/>
                <w:b/>
                <w:u w:val="single"/>
              </w:rPr>
            </w:pPr>
            <w:r>
              <w:rPr>
                <w:rFonts w:asciiTheme="minorHAnsi" w:hAnsiTheme="minorHAnsi"/>
                <w:b/>
                <w:u w:val="single"/>
              </w:rPr>
              <w:t>Article 11</w:t>
            </w:r>
          </w:p>
          <w:p w14:paraId="6DD94AEA" w14:textId="77777777" w:rsidR="006D6750" w:rsidRPr="004445F4" w:rsidRDefault="006D6750" w:rsidP="00DA1D75">
            <w:pPr>
              <w:jc w:val="both"/>
              <w:rPr>
                <w:rFonts w:asciiTheme="minorHAnsi" w:hAnsiTheme="minorHAnsi" w:cstheme="minorHAnsi"/>
                <w:b/>
                <w:lang w:val="nl-BE"/>
              </w:rPr>
            </w:pPr>
          </w:p>
        </w:tc>
      </w:tr>
      <w:tr w:rsidR="006D6750" w:rsidRPr="006D6750" w14:paraId="78314E93" w14:textId="77777777" w:rsidTr="006D6750">
        <w:tc>
          <w:tcPr>
            <w:tcW w:w="5000" w:type="pct"/>
          </w:tcPr>
          <w:p w14:paraId="4AAD5746" w14:textId="5A018DD1" w:rsidR="006D6750" w:rsidRPr="00E22F2C" w:rsidRDefault="006D6750" w:rsidP="00E22F2C">
            <w:pPr>
              <w:jc w:val="both"/>
              <w:rPr>
                <w:rFonts w:asciiTheme="minorHAnsi" w:hAnsiTheme="minorHAnsi" w:cstheme="minorHAnsi"/>
              </w:rPr>
            </w:pPr>
            <w:r>
              <w:br w:type="page"/>
            </w:r>
            <w:r>
              <w:rPr>
                <w:rFonts w:asciiTheme="minorHAnsi" w:hAnsiTheme="minorHAnsi"/>
              </w:rPr>
              <w:t xml:space="preserve">The Minister for the Economy, the </w:t>
            </w:r>
            <w:proofErr w:type="gramStart"/>
            <w:r>
              <w:rPr>
                <w:rFonts w:asciiTheme="minorHAnsi" w:hAnsiTheme="minorHAnsi"/>
              </w:rPr>
              <w:t>Finance Minister</w:t>
            </w:r>
            <w:proofErr w:type="gramEnd"/>
            <w:r>
              <w:rPr>
                <w:rFonts w:asciiTheme="minorHAnsi" w:hAnsiTheme="minorHAnsi"/>
              </w:rPr>
              <w:t>, the Minister for Public Health, the Minister for Justice, the Minister for the Interior, and the Secretary of State for the National Lottery are each responsible, as far as concerned, for the implementation of this decree.</w:t>
            </w:r>
          </w:p>
        </w:tc>
      </w:tr>
    </w:tbl>
    <w:p w14:paraId="69FE2AA1" w14:textId="77777777" w:rsidR="009E6A62" w:rsidRPr="006D6750" w:rsidRDefault="009E6A62">
      <w:pPr>
        <w:jc w:val="center"/>
        <w:rPr>
          <w:lang w:val="fr-BE"/>
        </w:rPr>
      </w:pPr>
    </w:p>
    <w:sectPr w:rsidR="009E6A62" w:rsidRPr="006D6750">
      <w:headerReference w:type="default" r:id="rId13"/>
      <w:pgSz w:w="11906" w:h="16838"/>
      <w:pgMar w:top="1417" w:right="1417" w:bottom="1260"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6562D" w14:textId="77777777" w:rsidR="003611EA" w:rsidRDefault="003611EA">
      <w:r>
        <w:separator/>
      </w:r>
    </w:p>
  </w:endnote>
  <w:endnote w:type="continuationSeparator" w:id="0">
    <w:p w14:paraId="336F0039" w14:textId="77777777" w:rsidR="003611EA" w:rsidRDefault="00361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20457" w14:textId="77777777" w:rsidR="003611EA" w:rsidRDefault="003611EA">
      <w:r>
        <w:separator/>
      </w:r>
    </w:p>
  </w:footnote>
  <w:footnote w:type="continuationSeparator" w:id="0">
    <w:p w14:paraId="1E1E1E99" w14:textId="77777777" w:rsidR="003611EA" w:rsidRDefault="00361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2AA6" w14:textId="37B9B95D" w:rsidR="007F6935" w:rsidRDefault="007F6935">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3CEE">
      <w:rPr>
        <w:rStyle w:val="PageNumber"/>
      </w:rPr>
      <w:t>4</w:t>
    </w:r>
    <w:r>
      <w:rPr>
        <w:rStyle w:val="PageNumber"/>
      </w:rPr>
      <w:fldChar w:fldCharType="end"/>
    </w:r>
  </w:p>
  <w:p w14:paraId="69FE2AA7" w14:textId="77777777" w:rsidR="007F6935" w:rsidRDefault="007F6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6244"/>
    <w:multiLevelType w:val="hybridMultilevel"/>
    <w:tmpl w:val="A9A0F3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272A7"/>
    <w:multiLevelType w:val="hybridMultilevel"/>
    <w:tmpl w:val="77E647E4"/>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11191E51"/>
    <w:multiLevelType w:val="hybridMultilevel"/>
    <w:tmpl w:val="EDB4D196"/>
    <w:lvl w:ilvl="0" w:tplc="FFFFFFFF">
      <w:start w:val="7"/>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154F3AC8"/>
    <w:multiLevelType w:val="multilevel"/>
    <w:tmpl w:val="C0480F0E"/>
    <w:lvl w:ilvl="0">
      <w:start w:val="1"/>
      <w:numFmt w:val="decimal"/>
      <w:pStyle w:val="Standaardwetgeving"/>
      <w:lvlText w:val="Artikel %1."/>
      <w:lvlJc w:val="left"/>
      <w:pPr>
        <w:ind w:left="360" w:hanging="360"/>
      </w:pPr>
      <w:rPr>
        <w:b/>
        <w:bCs/>
      </w:rPr>
    </w:lvl>
    <w:lvl w:ilvl="1">
      <w:start w:val="1"/>
      <w:numFmt w:val="decimal"/>
      <w:lvlText w:val="%2°"/>
      <w:lvlJc w:val="left"/>
      <w:pPr>
        <w:ind w:left="720" w:hanging="360"/>
      </w:pPr>
    </w:lvl>
    <w:lvl w:ilvl="2">
      <w:start w:val="1"/>
      <w:numFmt w:val="bullet"/>
      <w:lvlText w:val="-"/>
      <w:lvlJc w:val="left"/>
      <w:pPr>
        <w:ind w:left="1080" w:hanging="360"/>
      </w:pPr>
      <w:rPr>
        <w:rFonts w:ascii="Courier New" w:hAnsi="Courier New" w:cs="Times New Roman" w:hint="default"/>
      </w:rPr>
    </w:lvl>
    <w:lvl w:ilvl="3">
      <w:start w:val="1"/>
      <w:numFmt w:val="bullet"/>
      <w:lvlText w:val="-"/>
      <w:lvlJc w:val="left"/>
      <w:pPr>
        <w:ind w:left="1440" w:hanging="360"/>
      </w:pPr>
      <w:rPr>
        <w:rFonts w:ascii="Courier New" w:hAnsi="Courier New" w:cs="Times New Roman"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32743DB"/>
    <w:multiLevelType w:val="hybridMultilevel"/>
    <w:tmpl w:val="A3AC90A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95970AD"/>
    <w:multiLevelType w:val="hybridMultilevel"/>
    <w:tmpl w:val="ED58066A"/>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2F267360"/>
    <w:multiLevelType w:val="hybridMultilevel"/>
    <w:tmpl w:val="93629396"/>
    <w:lvl w:ilvl="0" w:tplc="FFFFFFFF">
      <w:start w:val="1"/>
      <w:numFmt w:val="lowerLetter"/>
      <w:lvlText w:val="%1)"/>
      <w:lvlJc w:val="left"/>
      <w:pPr>
        <w:tabs>
          <w:tab w:val="num" w:pos="1776"/>
        </w:tabs>
        <w:ind w:left="1776" w:hanging="360"/>
      </w:pPr>
      <w:rPr>
        <w:rFonts w:hint="default"/>
      </w:rPr>
    </w:lvl>
    <w:lvl w:ilvl="1" w:tplc="FFFFFFFF">
      <w:start w:val="1"/>
      <w:numFmt w:val="lowerLetter"/>
      <w:lvlText w:val="%2."/>
      <w:lvlJc w:val="left"/>
      <w:pPr>
        <w:tabs>
          <w:tab w:val="num" w:pos="2496"/>
        </w:tabs>
        <w:ind w:left="2496" w:hanging="360"/>
      </w:pPr>
    </w:lvl>
    <w:lvl w:ilvl="2" w:tplc="FFFFFFFF">
      <w:start w:val="1"/>
      <w:numFmt w:val="lowerRoman"/>
      <w:lvlText w:val="%3."/>
      <w:lvlJc w:val="right"/>
      <w:pPr>
        <w:tabs>
          <w:tab w:val="num" w:pos="3216"/>
        </w:tabs>
        <w:ind w:left="3216" w:hanging="180"/>
      </w:pPr>
    </w:lvl>
    <w:lvl w:ilvl="3" w:tplc="FFFFFFFF">
      <w:start w:val="1"/>
      <w:numFmt w:val="decimal"/>
      <w:lvlText w:val="%4."/>
      <w:lvlJc w:val="left"/>
      <w:pPr>
        <w:tabs>
          <w:tab w:val="num" w:pos="3936"/>
        </w:tabs>
        <w:ind w:left="3936" w:hanging="360"/>
      </w:pPr>
    </w:lvl>
    <w:lvl w:ilvl="4" w:tplc="FFFFFFFF">
      <w:start w:val="1"/>
      <w:numFmt w:val="lowerLetter"/>
      <w:lvlText w:val="%5."/>
      <w:lvlJc w:val="left"/>
      <w:pPr>
        <w:tabs>
          <w:tab w:val="num" w:pos="4656"/>
        </w:tabs>
        <w:ind w:left="4656" w:hanging="360"/>
      </w:pPr>
    </w:lvl>
    <w:lvl w:ilvl="5" w:tplc="FFFFFFFF">
      <w:start w:val="1"/>
      <w:numFmt w:val="lowerRoman"/>
      <w:lvlText w:val="%6."/>
      <w:lvlJc w:val="right"/>
      <w:pPr>
        <w:tabs>
          <w:tab w:val="num" w:pos="5376"/>
        </w:tabs>
        <w:ind w:left="5376" w:hanging="180"/>
      </w:pPr>
    </w:lvl>
    <w:lvl w:ilvl="6" w:tplc="FFFFFFFF">
      <w:start w:val="1"/>
      <w:numFmt w:val="decimal"/>
      <w:lvlText w:val="%7."/>
      <w:lvlJc w:val="left"/>
      <w:pPr>
        <w:tabs>
          <w:tab w:val="num" w:pos="6096"/>
        </w:tabs>
        <w:ind w:left="6096" w:hanging="360"/>
      </w:pPr>
    </w:lvl>
    <w:lvl w:ilvl="7" w:tplc="FFFFFFFF">
      <w:start w:val="1"/>
      <w:numFmt w:val="lowerLetter"/>
      <w:lvlText w:val="%8."/>
      <w:lvlJc w:val="left"/>
      <w:pPr>
        <w:tabs>
          <w:tab w:val="num" w:pos="6816"/>
        </w:tabs>
        <w:ind w:left="6816" w:hanging="360"/>
      </w:pPr>
    </w:lvl>
    <w:lvl w:ilvl="8" w:tplc="FFFFFFFF">
      <w:start w:val="1"/>
      <w:numFmt w:val="lowerRoman"/>
      <w:lvlText w:val="%9."/>
      <w:lvlJc w:val="right"/>
      <w:pPr>
        <w:tabs>
          <w:tab w:val="num" w:pos="7536"/>
        </w:tabs>
        <w:ind w:left="7536" w:hanging="180"/>
      </w:pPr>
    </w:lvl>
  </w:abstractNum>
  <w:abstractNum w:abstractNumId="7" w15:restartNumberingAfterBreak="0">
    <w:nsid w:val="2FF62C53"/>
    <w:multiLevelType w:val="multilevel"/>
    <w:tmpl w:val="482A01E4"/>
    <w:lvl w:ilvl="0">
      <w:start w:val="1"/>
      <w:numFmt w:val="upperRoman"/>
      <w:lvlText w:val="%1."/>
      <w:lvlJc w:val="left"/>
      <w:pPr>
        <w:tabs>
          <w:tab w:val="num" w:pos="720"/>
        </w:tabs>
        <w:ind w:left="72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177BD9"/>
    <w:multiLevelType w:val="hybridMultilevel"/>
    <w:tmpl w:val="DC36C6E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4E8205B8"/>
    <w:multiLevelType w:val="hybridMultilevel"/>
    <w:tmpl w:val="6B4A89C0"/>
    <w:lvl w:ilvl="0" w:tplc="FFFFFFFF">
      <w:start w:val="830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10" w15:restartNumberingAfterBreak="0">
    <w:nsid w:val="4F0A79BE"/>
    <w:multiLevelType w:val="hybridMultilevel"/>
    <w:tmpl w:val="0D8C0CB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E5E05A7"/>
    <w:multiLevelType w:val="multilevel"/>
    <w:tmpl w:val="040C000F"/>
    <w:lvl w:ilvl="0">
      <w:start w:val="1"/>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751E90"/>
    <w:multiLevelType w:val="hybridMultilevel"/>
    <w:tmpl w:val="025E4C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1"/>
  </w:num>
  <w:num w:numId="5">
    <w:abstractNumId w:val="9"/>
  </w:num>
  <w:num w:numId="6">
    <w:abstractNumId w:val="2"/>
  </w:num>
  <w:num w:numId="7">
    <w:abstractNumId w:val="11"/>
  </w:num>
  <w:num w:numId="8">
    <w:abstractNumId w:val="4"/>
  </w:num>
  <w:num w:numId="9">
    <w:abstractNumId w:val="8"/>
  </w:num>
  <w:num w:numId="10">
    <w:abstractNumId w:val="12"/>
  </w:num>
  <w:num w:numId="11">
    <w:abstractNumId w:val="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7E"/>
    <w:rsid w:val="000003D1"/>
    <w:rsid w:val="00002835"/>
    <w:rsid w:val="00007073"/>
    <w:rsid w:val="0000749B"/>
    <w:rsid w:val="000143DB"/>
    <w:rsid w:val="00015057"/>
    <w:rsid w:val="00016219"/>
    <w:rsid w:val="0001647E"/>
    <w:rsid w:val="0003531C"/>
    <w:rsid w:val="00036E33"/>
    <w:rsid w:val="00043739"/>
    <w:rsid w:val="00051A63"/>
    <w:rsid w:val="00057875"/>
    <w:rsid w:val="00060BF6"/>
    <w:rsid w:val="00060C6C"/>
    <w:rsid w:val="00062249"/>
    <w:rsid w:val="00063311"/>
    <w:rsid w:val="00063C53"/>
    <w:rsid w:val="0006676B"/>
    <w:rsid w:val="000703E2"/>
    <w:rsid w:val="0007249A"/>
    <w:rsid w:val="000763CF"/>
    <w:rsid w:val="000801B8"/>
    <w:rsid w:val="00080386"/>
    <w:rsid w:val="00082EA8"/>
    <w:rsid w:val="00095C9F"/>
    <w:rsid w:val="000A0778"/>
    <w:rsid w:val="000A07A9"/>
    <w:rsid w:val="000A083D"/>
    <w:rsid w:val="000A57BF"/>
    <w:rsid w:val="000A78C4"/>
    <w:rsid w:val="000B20C2"/>
    <w:rsid w:val="000B3C51"/>
    <w:rsid w:val="000C3BA6"/>
    <w:rsid w:val="000D05B5"/>
    <w:rsid w:val="000D2A49"/>
    <w:rsid w:val="000D2FC0"/>
    <w:rsid w:val="000E3B6E"/>
    <w:rsid w:val="000E40C6"/>
    <w:rsid w:val="000F46AC"/>
    <w:rsid w:val="000F7935"/>
    <w:rsid w:val="000F7D13"/>
    <w:rsid w:val="00124F6F"/>
    <w:rsid w:val="00127893"/>
    <w:rsid w:val="00133273"/>
    <w:rsid w:val="0013697C"/>
    <w:rsid w:val="0014038C"/>
    <w:rsid w:val="00146732"/>
    <w:rsid w:val="00147DD1"/>
    <w:rsid w:val="0015179D"/>
    <w:rsid w:val="0015323E"/>
    <w:rsid w:val="00154246"/>
    <w:rsid w:val="0015505F"/>
    <w:rsid w:val="0016343E"/>
    <w:rsid w:val="00164A61"/>
    <w:rsid w:val="00165C7E"/>
    <w:rsid w:val="0016681B"/>
    <w:rsid w:val="00175C13"/>
    <w:rsid w:val="00176436"/>
    <w:rsid w:val="0017714F"/>
    <w:rsid w:val="001826CA"/>
    <w:rsid w:val="00185735"/>
    <w:rsid w:val="00191261"/>
    <w:rsid w:val="00191A53"/>
    <w:rsid w:val="00193913"/>
    <w:rsid w:val="001A562F"/>
    <w:rsid w:val="001B2F1C"/>
    <w:rsid w:val="001B578F"/>
    <w:rsid w:val="001C3B01"/>
    <w:rsid w:val="001C4980"/>
    <w:rsid w:val="001C4C9D"/>
    <w:rsid w:val="001C559B"/>
    <w:rsid w:val="001D664B"/>
    <w:rsid w:val="001D6C4E"/>
    <w:rsid w:val="001E0139"/>
    <w:rsid w:val="001E07DD"/>
    <w:rsid w:val="001E0BBA"/>
    <w:rsid w:val="001E558B"/>
    <w:rsid w:val="001E5B6E"/>
    <w:rsid w:val="001E6E7A"/>
    <w:rsid w:val="001F2095"/>
    <w:rsid w:val="001F2441"/>
    <w:rsid w:val="001F2FC1"/>
    <w:rsid w:val="001F3A65"/>
    <w:rsid w:val="001F6307"/>
    <w:rsid w:val="002019D1"/>
    <w:rsid w:val="0020730A"/>
    <w:rsid w:val="00214D78"/>
    <w:rsid w:val="0022227E"/>
    <w:rsid w:val="002235D5"/>
    <w:rsid w:val="00224B07"/>
    <w:rsid w:val="00235F1A"/>
    <w:rsid w:val="00237DAB"/>
    <w:rsid w:val="00242968"/>
    <w:rsid w:val="0025387F"/>
    <w:rsid w:val="00254EEE"/>
    <w:rsid w:val="00266523"/>
    <w:rsid w:val="00275E8B"/>
    <w:rsid w:val="00281DE8"/>
    <w:rsid w:val="00284CA5"/>
    <w:rsid w:val="002872F9"/>
    <w:rsid w:val="00287A4A"/>
    <w:rsid w:val="00294083"/>
    <w:rsid w:val="002959EA"/>
    <w:rsid w:val="002A414C"/>
    <w:rsid w:val="002A707A"/>
    <w:rsid w:val="002B0E32"/>
    <w:rsid w:val="002B1C2F"/>
    <w:rsid w:val="002B1EDB"/>
    <w:rsid w:val="002C1C6B"/>
    <w:rsid w:val="002C1DF8"/>
    <w:rsid w:val="002C24AB"/>
    <w:rsid w:val="002C2588"/>
    <w:rsid w:val="002C557B"/>
    <w:rsid w:val="002C7B8C"/>
    <w:rsid w:val="002D1DB3"/>
    <w:rsid w:val="002D2ACB"/>
    <w:rsid w:val="002D4452"/>
    <w:rsid w:val="002D4B2B"/>
    <w:rsid w:val="002D4E42"/>
    <w:rsid w:val="002E124C"/>
    <w:rsid w:val="002E2992"/>
    <w:rsid w:val="002E40F6"/>
    <w:rsid w:val="002F151D"/>
    <w:rsid w:val="002F27C0"/>
    <w:rsid w:val="002F32DD"/>
    <w:rsid w:val="002F4F59"/>
    <w:rsid w:val="002F6D7F"/>
    <w:rsid w:val="002F718A"/>
    <w:rsid w:val="0030693E"/>
    <w:rsid w:val="00312CFB"/>
    <w:rsid w:val="00314F67"/>
    <w:rsid w:val="00315AB5"/>
    <w:rsid w:val="0032178B"/>
    <w:rsid w:val="00325DD6"/>
    <w:rsid w:val="003335C7"/>
    <w:rsid w:val="00333E5F"/>
    <w:rsid w:val="003340FD"/>
    <w:rsid w:val="00334107"/>
    <w:rsid w:val="003361C4"/>
    <w:rsid w:val="0033707E"/>
    <w:rsid w:val="00340156"/>
    <w:rsid w:val="0034480A"/>
    <w:rsid w:val="00356B0C"/>
    <w:rsid w:val="00356BB8"/>
    <w:rsid w:val="00357825"/>
    <w:rsid w:val="0036032F"/>
    <w:rsid w:val="00360998"/>
    <w:rsid w:val="003611EA"/>
    <w:rsid w:val="00361783"/>
    <w:rsid w:val="003635C6"/>
    <w:rsid w:val="00370DC2"/>
    <w:rsid w:val="0037563A"/>
    <w:rsid w:val="00381387"/>
    <w:rsid w:val="00382B71"/>
    <w:rsid w:val="0038764B"/>
    <w:rsid w:val="00390BE1"/>
    <w:rsid w:val="00391004"/>
    <w:rsid w:val="003920BC"/>
    <w:rsid w:val="003928C6"/>
    <w:rsid w:val="003935C7"/>
    <w:rsid w:val="003A2DD6"/>
    <w:rsid w:val="003A303F"/>
    <w:rsid w:val="003A3A7C"/>
    <w:rsid w:val="003A443E"/>
    <w:rsid w:val="003A461C"/>
    <w:rsid w:val="003A6163"/>
    <w:rsid w:val="003A6F18"/>
    <w:rsid w:val="003C1257"/>
    <w:rsid w:val="003C26FD"/>
    <w:rsid w:val="003C45DC"/>
    <w:rsid w:val="003C71AD"/>
    <w:rsid w:val="003D06CE"/>
    <w:rsid w:val="003D5A5B"/>
    <w:rsid w:val="003D6B80"/>
    <w:rsid w:val="003D751F"/>
    <w:rsid w:val="003E449F"/>
    <w:rsid w:val="003F4F69"/>
    <w:rsid w:val="003F516C"/>
    <w:rsid w:val="003F6043"/>
    <w:rsid w:val="003F6B70"/>
    <w:rsid w:val="00400E4D"/>
    <w:rsid w:val="004027A1"/>
    <w:rsid w:val="00402AF0"/>
    <w:rsid w:val="00405A1A"/>
    <w:rsid w:val="00406691"/>
    <w:rsid w:val="00410955"/>
    <w:rsid w:val="0042100D"/>
    <w:rsid w:val="00433507"/>
    <w:rsid w:val="00437C30"/>
    <w:rsid w:val="00443167"/>
    <w:rsid w:val="004445F4"/>
    <w:rsid w:val="00447A8D"/>
    <w:rsid w:val="004531DC"/>
    <w:rsid w:val="0045596F"/>
    <w:rsid w:val="00455B4F"/>
    <w:rsid w:val="0045629A"/>
    <w:rsid w:val="0046479A"/>
    <w:rsid w:val="00475015"/>
    <w:rsid w:val="00476B62"/>
    <w:rsid w:val="004818C7"/>
    <w:rsid w:val="00484CCB"/>
    <w:rsid w:val="00485206"/>
    <w:rsid w:val="0049053C"/>
    <w:rsid w:val="0049115B"/>
    <w:rsid w:val="00491D38"/>
    <w:rsid w:val="00495C07"/>
    <w:rsid w:val="00495D61"/>
    <w:rsid w:val="0049604B"/>
    <w:rsid w:val="004A333B"/>
    <w:rsid w:val="004A6FE1"/>
    <w:rsid w:val="004B51A1"/>
    <w:rsid w:val="004B5AE7"/>
    <w:rsid w:val="004B7330"/>
    <w:rsid w:val="004C287B"/>
    <w:rsid w:val="004C55EA"/>
    <w:rsid w:val="004C5C05"/>
    <w:rsid w:val="004C63DF"/>
    <w:rsid w:val="004D11F4"/>
    <w:rsid w:val="004D12BF"/>
    <w:rsid w:val="004D3ED4"/>
    <w:rsid w:val="004D4DF4"/>
    <w:rsid w:val="004D64FC"/>
    <w:rsid w:val="004D7B97"/>
    <w:rsid w:val="004F2087"/>
    <w:rsid w:val="004F3BF4"/>
    <w:rsid w:val="0050288A"/>
    <w:rsid w:val="0050697D"/>
    <w:rsid w:val="00506C86"/>
    <w:rsid w:val="00513FCC"/>
    <w:rsid w:val="00524734"/>
    <w:rsid w:val="005253F9"/>
    <w:rsid w:val="0052608A"/>
    <w:rsid w:val="00526C98"/>
    <w:rsid w:val="00535122"/>
    <w:rsid w:val="00544722"/>
    <w:rsid w:val="005448AD"/>
    <w:rsid w:val="00546773"/>
    <w:rsid w:val="005504C1"/>
    <w:rsid w:val="0055267E"/>
    <w:rsid w:val="00552D09"/>
    <w:rsid w:val="005552FB"/>
    <w:rsid w:val="005575BD"/>
    <w:rsid w:val="00557D4A"/>
    <w:rsid w:val="00561B0A"/>
    <w:rsid w:val="00562FB4"/>
    <w:rsid w:val="00563A07"/>
    <w:rsid w:val="005647F9"/>
    <w:rsid w:val="00565E6D"/>
    <w:rsid w:val="00573EE3"/>
    <w:rsid w:val="00581089"/>
    <w:rsid w:val="005832DA"/>
    <w:rsid w:val="00583F66"/>
    <w:rsid w:val="00587AC9"/>
    <w:rsid w:val="0059126F"/>
    <w:rsid w:val="005918EA"/>
    <w:rsid w:val="0059242B"/>
    <w:rsid w:val="0059320D"/>
    <w:rsid w:val="00595153"/>
    <w:rsid w:val="005A0F62"/>
    <w:rsid w:val="005A1411"/>
    <w:rsid w:val="005A761B"/>
    <w:rsid w:val="005A7C84"/>
    <w:rsid w:val="005B0D02"/>
    <w:rsid w:val="005B3601"/>
    <w:rsid w:val="005C1801"/>
    <w:rsid w:val="005C1D1C"/>
    <w:rsid w:val="005C35E1"/>
    <w:rsid w:val="005C492D"/>
    <w:rsid w:val="005C55A0"/>
    <w:rsid w:val="005C74DA"/>
    <w:rsid w:val="005D003E"/>
    <w:rsid w:val="005D0783"/>
    <w:rsid w:val="005D0FA5"/>
    <w:rsid w:val="005E0B80"/>
    <w:rsid w:val="005E63AA"/>
    <w:rsid w:val="005F0EFF"/>
    <w:rsid w:val="005F69E1"/>
    <w:rsid w:val="006063FD"/>
    <w:rsid w:val="00613E29"/>
    <w:rsid w:val="00617461"/>
    <w:rsid w:val="00633757"/>
    <w:rsid w:val="00633EB0"/>
    <w:rsid w:val="006403EF"/>
    <w:rsid w:val="00640A49"/>
    <w:rsid w:val="00640B80"/>
    <w:rsid w:val="006473ED"/>
    <w:rsid w:val="00662139"/>
    <w:rsid w:val="00664BBB"/>
    <w:rsid w:val="006661E8"/>
    <w:rsid w:val="00671B4D"/>
    <w:rsid w:val="00681EA3"/>
    <w:rsid w:val="00685794"/>
    <w:rsid w:val="006941F6"/>
    <w:rsid w:val="00695BBC"/>
    <w:rsid w:val="006A30B9"/>
    <w:rsid w:val="006A4747"/>
    <w:rsid w:val="006B556D"/>
    <w:rsid w:val="006B7536"/>
    <w:rsid w:val="006B763D"/>
    <w:rsid w:val="006C3787"/>
    <w:rsid w:val="006D1600"/>
    <w:rsid w:val="006D560F"/>
    <w:rsid w:val="006D6750"/>
    <w:rsid w:val="006D682F"/>
    <w:rsid w:val="006E34E3"/>
    <w:rsid w:val="006E55A0"/>
    <w:rsid w:val="006E5C82"/>
    <w:rsid w:val="006E7A44"/>
    <w:rsid w:val="006F209C"/>
    <w:rsid w:val="006F22D5"/>
    <w:rsid w:val="006F24B2"/>
    <w:rsid w:val="006F45E5"/>
    <w:rsid w:val="006F795B"/>
    <w:rsid w:val="0070647E"/>
    <w:rsid w:val="007112FB"/>
    <w:rsid w:val="00712F67"/>
    <w:rsid w:val="00714C89"/>
    <w:rsid w:val="00715988"/>
    <w:rsid w:val="00717284"/>
    <w:rsid w:val="00720619"/>
    <w:rsid w:val="007248C3"/>
    <w:rsid w:val="007269CA"/>
    <w:rsid w:val="00727460"/>
    <w:rsid w:val="00731983"/>
    <w:rsid w:val="00731DAE"/>
    <w:rsid w:val="007377C9"/>
    <w:rsid w:val="007507D1"/>
    <w:rsid w:val="00760635"/>
    <w:rsid w:val="00760DAD"/>
    <w:rsid w:val="00765214"/>
    <w:rsid w:val="00773B38"/>
    <w:rsid w:val="0077462D"/>
    <w:rsid w:val="007757B0"/>
    <w:rsid w:val="00785AF2"/>
    <w:rsid w:val="00794807"/>
    <w:rsid w:val="00794F9A"/>
    <w:rsid w:val="00797C84"/>
    <w:rsid w:val="00797FFB"/>
    <w:rsid w:val="007A393A"/>
    <w:rsid w:val="007A69F1"/>
    <w:rsid w:val="007B1A21"/>
    <w:rsid w:val="007B4F9E"/>
    <w:rsid w:val="007B6912"/>
    <w:rsid w:val="007C6B4F"/>
    <w:rsid w:val="007D38DE"/>
    <w:rsid w:val="007D5FEB"/>
    <w:rsid w:val="007E313D"/>
    <w:rsid w:val="007E553F"/>
    <w:rsid w:val="007E6F84"/>
    <w:rsid w:val="007F153D"/>
    <w:rsid w:val="007F1E2F"/>
    <w:rsid w:val="007F5C40"/>
    <w:rsid w:val="007F6935"/>
    <w:rsid w:val="007F6EEC"/>
    <w:rsid w:val="00803C5B"/>
    <w:rsid w:val="0081171B"/>
    <w:rsid w:val="00814045"/>
    <w:rsid w:val="00814C44"/>
    <w:rsid w:val="008234F2"/>
    <w:rsid w:val="00823C1E"/>
    <w:rsid w:val="00825483"/>
    <w:rsid w:val="00827A35"/>
    <w:rsid w:val="008321C0"/>
    <w:rsid w:val="00832C4C"/>
    <w:rsid w:val="00832E80"/>
    <w:rsid w:val="00833399"/>
    <w:rsid w:val="008360A6"/>
    <w:rsid w:val="00840E67"/>
    <w:rsid w:val="00841347"/>
    <w:rsid w:val="00841D3A"/>
    <w:rsid w:val="00843E6D"/>
    <w:rsid w:val="0084730F"/>
    <w:rsid w:val="008474A7"/>
    <w:rsid w:val="00852042"/>
    <w:rsid w:val="0085257D"/>
    <w:rsid w:val="008526BA"/>
    <w:rsid w:val="0085576F"/>
    <w:rsid w:val="00861DD8"/>
    <w:rsid w:val="00863174"/>
    <w:rsid w:val="00864590"/>
    <w:rsid w:val="008652CB"/>
    <w:rsid w:val="00865F1E"/>
    <w:rsid w:val="008661E8"/>
    <w:rsid w:val="008676CF"/>
    <w:rsid w:val="00876BA1"/>
    <w:rsid w:val="00884F2D"/>
    <w:rsid w:val="0089312C"/>
    <w:rsid w:val="00897C0D"/>
    <w:rsid w:val="008A0A18"/>
    <w:rsid w:val="008A668F"/>
    <w:rsid w:val="008B1A4F"/>
    <w:rsid w:val="008B221B"/>
    <w:rsid w:val="008B4C02"/>
    <w:rsid w:val="008C4A7C"/>
    <w:rsid w:val="008C572A"/>
    <w:rsid w:val="008D0B74"/>
    <w:rsid w:val="008D2F43"/>
    <w:rsid w:val="008D78EE"/>
    <w:rsid w:val="008E1263"/>
    <w:rsid w:val="008E28F1"/>
    <w:rsid w:val="008E3CEE"/>
    <w:rsid w:val="008E4784"/>
    <w:rsid w:val="008E620A"/>
    <w:rsid w:val="008E6514"/>
    <w:rsid w:val="008E6A43"/>
    <w:rsid w:val="008E74A8"/>
    <w:rsid w:val="008F2BBC"/>
    <w:rsid w:val="008F3AD9"/>
    <w:rsid w:val="008F60F2"/>
    <w:rsid w:val="0090322B"/>
    <w:rsid w:val="00907B06"/>
    <w:rsid w:val="00910B6D"/>
    <w:rsid w:val="009125C0"/>
    <w:rsid w:val="009148A0"/>
    <w:rsid w:val="009155B4"/>
    <w:rsid w:val="00922D32"/>
    <w:rsid w:val="009272CB"/>
    <w:rsid w:val="009272D1"/>
    <w:rsid w:val="00927F91"/>
    <w:rsid w:val="009308CF"/>
    <w:rsid w:val="00936F46"/>
    <w:rsid w:val="0093778E"/>
    <w:rsid w:val="00937FB3"/>
    <w:rsid w:val="00951343"/>
    <w:rsid w:val="00951524"/>
    <w:rsid w:val="00952FE9"/>
    <w:rsid w:val="0095489D"/>
    <w:rsid w:val="00954A9C"/>
    <w:rsid w:val="009656C3"/>
    <w:rsid w:val="00965BF2"/>
    <w:rsid w:val="00972A6D"/>
    <w:rsid w:val="00973D0B"/>
    <w:rsid w:val="00975F66"/>
    <w:rsid w:val="009807DA"/>
    <w:rsid w:val="0098108A"/>
    <w:rsid w:val="00981CA4"/>
    <w:rsid w:val="0099433E"/>
    <w:rsid w:val="00995845"/>
    <w:rsid w:val="00997FC4"/>
    <w:rsid w:val="009A0F77"/>
    <w:rsid w:val="009A23C0"/>
    <w:rsid w:val="009A328E"/>
    <w:rsid w:val="009A544C"/>
    <w:rsid w:val="009A6AFC"/>
    <w:rsid w:val="009B16D6"/>
    <w:rsid w:val="009C31AA"/>
    <w:rsid w:val="009C3DC3"/>
    <w:rsid w:val="009D19A8"/>
    <w:rsid w:val="009D3B91"/>
    <w:rsid w:val="009E21FB"/>
    <w:rsid w:val="009E2446"/>
    <w:rsid w:val="009E2456"/>
    <w:rsid w:val="009E56BD"/>
    <w:rsid w:val="009E6A62"/>
    <w:rsid w:val="009E703F"/>
    <w:rsid w:val="009F5395"/>
    <w:rsid w:val="00A00D4D"/>
    <w:rsid w:val="00A047EE"/>
    <w:rsid w:val="00A146A0"/>
    <w:rsid w:val="00A203CA"/>
    <w:rsid w:val="00A30223"/>
    <w:rsid w:val="00A3025B"/>
    <w:rsid w:val="00A31645"/>
    <w:rsid w:val="00A35544"/>
    <w:rsid w:val="00A369D9"/>
    <w:rsid w:val="00A37EC3"/>
    <w:rsid w:val="00A40957"/>
    <w:rsid w:val="00A425FC"/>
    <w:rsid w:val="00A42C83"/>
    <w:rsid w:val="00A43BDD"/>
    <w:rsid w:val="00A4517B"/>
    <w:rsid w:val="00A4691C"/>
    <w:rsid w:val="00A46FA0"/>
    <w:rsid w:val="00A509C2"/>
    <w:rsid w:val="00A53C81"/>
    <w:rsid w:val="00A60132"/>
    <w:rsid w:val="00A62244"/>
    <w:rsid w:val="00A633E1"/>
    <w:rsid w:val="00A638B0"/>
    <w:rsid w:val="00A6494B"/>
    <w:rsid w:val="00A71B42"/>
    <w:rsid w:val="00A72C53"/>
    <w:rsid w:val="00A72F21"/>
    <w:rsid w:val="00A8088E"/>
    <w:rsid w:val="00A8311E"/>
    <w:rsid w:val="00AA2C7F"/>
    <w:rsid w:val="00AA59B3"/>
    <w:rsid w:val="00AB12BC"/>
    <w:rsid w:val="00AB3422"/>
    <w:rsid w:val="00AB3D8F"/>
    <w:rsid w:val="00AB7E03"/>
    <w:rsid w:val="00AC4196"/>
    <w:rsid w:val="00AC4894"/>
    <w:rsid w:val="00AC7458"/>
    <w:rsid w:val="00AD1769"/>
    <w:rsid w:val="00AD59E6"/>
    <w:rsid w:val="00AE2ED2"/>
    <w:rsid w:val="00AE5087"/>
    <w:rsid w:val="00AE5101"/>
    <w:rsid w:val="00AE62BF"/>
    <w:rsid w:val="00AF08FF"/>
    <w:rsid w:val="00AF0CBA"/>
    <w:rsid w:val="00AF124F"/>
    <w:rsid w:val="00AF25F5"/>
    <w:rsid w:val="00B0046D"/>
    <w:rsid w:val="00B06482"/>
    <w:rsid w:val="00B11F78"/>
    <w:rsid w:val="00B15580"/>
    <w:rsid w:val="00B21506"/>
    <w:rsid w:val="00B22D88"/>
    <w:rsid w:val="00B23C04"/>
    <w:rsid w:val="00B50B6B"/>
    <w:rsid w:val="00B50BA6"/>
    <w:rsid w:val="00B528AB"/>
    <w:rsid w:val="00B538D3"/>
    <w:rsid w:val="00B57775"/>
    <w:rsid w:val="00B62955"/>
    <w:rsid w:val="00B64629"/>
    <w:rsid w:val="00B65443"/>
    <w:rsid w:val="00B66D1C"/>
    <w:rsid w:val="00B73016"/>
    <w:rsid w:val="00B733CC"/>
    <w:rsid w:val="00B805A3"/>
    <w:rsid w:val="00B83E9F"/>
    <w:rsid w:val="00B84F67"/>
    <w:rsid w:val="00B85FBC"/>
    <w:rsid w:val="00B86E09"/>
    <w:rsid w:val="00B91CED"/>
    <w:rsid w:val="00B9294A"/>
    <w:rsid w:val="00B93BB4"/>
    <w:rsid w:val="00B950BF"/>
    <w:rsid w:val="00B9742E"/>
    <w:rsid w:val="00BA1916"/>
    <w:rsid w:val="00BA294D"/>
    <w:rsid w:val="00BA532E"/>
    <w:rsid w:val="00BA764F"/>
    <w:rsid w:val="00BB267B"/>
    <w:rsid w:val="00BB49F4"/>
    <w:rsid w:val="00BB5732"/>
    <w:rsid w:val="00BB5BC4"/>
    <w:rsid w:val="00BC2E4A"/>
    <w:rsid w:val="00BC406B"/>
    <w:rsid w:val="00BC48AD"/>
    <w:rsid w:val="00BC52A3"/>
    <w:rsid w:val="00BD4979"/>
    <w:rsid w:val="00BE04FF"/>
    <w:rsid w:val="00BE1728"/>
    <w:rsid w:val="00BE2E03"/>
    <w:rsid w:val="00BE5EFE"/>
    <w:rsid w:val="00BF0331"/>
    <w:rsid w:val="00BF13A1"/>
    <w:rsid w:val="00BF3D13"/>
    <w:rsid w:val="00BF52C6"/>
    <w:rsid w:val="00BF5EB8"/>
    <w:rsid w:val="00BF7847"/>
    <w:rsid w:val="00C0207F"/>
    <w:rsid w:val="00C1059F"/>
    <w:rsid w:val="00C10E52"/>
    <w:rsid w:val="00C116EF"/>
    <w:rsid w:val="00C20C82"/>
    <w:rsid w:val="00C27258"/>
    <w:rsid w:val="00C32646"/>
    <w:rsid w:val="00C35CC6"/>
    <w:rsid w:val="00C36B52"/>
    <w:rsid w:val="00C434CE"/>
    <w:rsid w:val="00C450D3"/>
    <w:rsid w:val="00C605D0"/>
    <w:rsid w:val="00C61C01"/>
    <w:rsid w:val="00C625EF"/>
    <w:rsid w:val="00C67B61"/>
    <w:rsid w:val="00C67BE0"/>
    <w:rsid w:val="00C702DD"/>
    <w:rsid w:val="00C7147F"/>
    <w:rsid w:val="00C73C13"/>
    <w:rsid w:val="00C8019E"/>
    <w:rsid w:val="00C80D13"/>
    <w:rsid w:val="00C85902"/>
    <w:rsid w:val="00C923CB"/>
    <w:rsid w:val="00C94EB0"/>
    <w:rsid w:val="00C96472"/>
    <w:rsid w:val="00CA217B"/>
    <w:rsid w:val="00CA2C4A"/>
    <w:rsid w:val="00CA4F5E"/>
    <w:rsid w:val="00CB0098"/>
    <w:rsid w:val="00CB1E81"/>
    <w:rsid w:val="00CB38DE"/>
    <w:rsid w:val="00CB3D73"/>
    <w:rsid w:val="00CB77B5"/>
    <w:rsid w:val="00CC245A"/>
    <w:rsid w:val="00CD3EA1"/>
    <w:rsid w:val="00CD417F"/>
    <w:rsid w:val="00CD60C9"/>
    <w:rsid w:val="00CE187B"/>
    <w:rsid w:val="00CE430A"/>
    <w:rsid w:val="00CE5387"/>
    <w:rsid w:val="00D0077F"/>
    <w:rsid w:val="00D0172C"/>
    <w:rsid w:val="00D01FEA"/>
    <w:rsid w:val="00D02E65"/>
    <w:rsid w:val="00D05DB4"/>
    <w:rsid w:val="00D07A36"/>
    <w:rsid w:val="00D10942"/>
    <w:rsid w:val="00D13AB3"/>
    <w:rsid w:val="00D20014"/>
    <w:rsid w:val="00D20041"/>
    <w:rsid w:val="00D210B1"/>
    <w:rsid w:val="00D275FE"/>
    <w:rsid w:val="00D30829"/>
    <w:rsid w:val="00D31BCD"/>
    <w:rsid w:val="00D341D9"/>
    <w:rsid w:val="00D35753"/>
    <w:rsid w:val="00D35945"/>
    <w:rsid w:val="00D36A41"/>
    <w:rsid w:val="00D4117F"/>
    <w:rsid w:val="00D4285E"/>
    <w:rsid w:val="00D5196B"/>
    <w:rsid w:val="00D63BF6"/>
    <w:rsid w:val="00D64262"/>
    <w:rsid w:val="00D741A9"/>
    <w:rsid w:val="00D77A0A"/>
    <w:rsid w:val="00D85416"/>
    <w:rsid w:val="00D92970"/>
    <w:rsid w:val="00D9317B"/>
    <w:rsid w:val="00D95163"/>
    <w:rsid w:val="00D9658E"/>
    <w:rsid w:val="00D96F74"/>
    <w:rsid w:val="00DA00DC"/>
    <w:rsid w:val="00DA1D75"/>
    <w:rsid w:val="00DA34AE"/>
    <w:rsid w:val="00DB3A6C"/>
    <w:rsid w:val="00DC05D6"/>
    <w:rsid w:val="00DC6562"/>
    <w:rsid w:val="00DD05D8"/>
    <w:rsid w:val="00DD2823"/>
    <w:rsid w:val="00DD2E94"/>
    <w:rsid w:val="00DD2F87"/>
    <w:rsid w:val="00DD3B10"/>
    <w:rsid w:val="00DD5DD8"/>
    <w:rsid w:val="00DE0FC0"/>
    <w:rsid w:val="00DE21EC"/>
    <w:rsid w:val="00DE3C81"/>
    <w:rsid w:val="00DE7049"/>
    <w:rsid w:val="00DF01B8"/>
    <w:rsid w:val="00DF52C0"/>
    <w:rsid w:val="00E050B8"/>
    <w:rsid w:val="00E06571"/>
    <w:rsid w:val="00E123AE"/>
    <w:rsid w:val="00E1544C"/>
    <w:rsid w:val="00E22428"/>
    <w:rsid w:val="00E22F2C"/>
    <w:rsid w:val="00E31165"/>
    <w:rsid w:val="00E31729"/>
    <w:rsid w:val="00E368C4"/>
    <w:rsid w:val="00E401E4"/>
    <w:rsid w:val="00E4149C"/>
    <w:rsid w:val="00E43C76"/>
    <w:rsid w:val="00E45E18"/>
    <w:rsid w:val="00E51FC7"/>
    <w:rsid w:val="00E52731"/>
    <w:rsid w:val="00E54134"/>
    <w:rsid w:val="00E54EF4"/>
    <w:rsid w:val="00E57A59"/>
    <w:rsid w:val="00E62D01"/>
    <w:rsid w:val="00E703FB"/>
    <w:rsid w:val="00E70B72"/>
    <w:rsid w:val="00E737D7"/>
    <w:rsid w:val="00E804C2"/>
    <w:rsid w:val="00E80A42"/>
    <w:rsid w:val="00E82EA4"/>
    <w:rsid w:val="00E83522"/>
    <w:rsid w:val="00E86CE2"/>
    <w:rsid w:val="00E904E0"/>
    <w:rsid w:val="00E90A2A"/>
    <w:rsid w:val="00E92976"/>
    <w:rsid w:val="00E9405B"/>
    <w:rsid w:val="00EA66B6"/>
    <w:rsid w:val="00EA73C1"/>
    <w:rsid w:val="00EB13B3"/>
    <w:rsid w:val="00EC0121"/>
    <w:rsid w:val="00EC0A09"/>
    <w:rsid w:val="00EC1643"/>
    <w:rsid w:val="00EC30CB"/>
    <w:rsid w:val="00EC5713"/>
    <w:rsid w:val="00EC7394"/>
    <w:rsid w:val="00EC773E"/>
    <w:rsid w:val="00ED14E3"/>
    <w:rsid w:val="00ED2AC6"/>
    <w:rsid w:val="00ED44CA"/>
    <w:rsid w:val="00ED5EA7"/>
    <w:rsid w:val="00ED60A7"/>
    <w:rsid w:val="00ED66CA"/>
    <w:rsid w:val="00EE12D2"/>
    <w:rsid w:val="00EE4FAA"/>
    <w:rsid w:val="00EE5071"/>
    <w:rsid w:val="00EF0182"/>
    <w:rsid w:val="00EF4E24"/>
    <w:rsid w:val="00F00D67"/>
    <w:rsid w:val="00F0148F"/>
    <w:rsid w:val="00F01F55"/>
    <w:rsid w:val="00F02163"/>
    <w:rsid w:val="00F05465"/>
    <w:rsid w:val="00F05D42"/>
    <w:rsid w:val="00F06088"/>
    <w:rsid w:val="00F13009"/>
    <w:rsid w:val="00F13DEB"/>
    <w:rsid w:val="00F20D9C"/>
    <w:rsid w:val="00F21859"/>
    <w:rsid w:val="00F237D9"/>
    <w:rsid w:val="00F26A2C"/>
    <w:rsid w:val="00F2778A"/>
    <w:rsid w:val="00F27A9A"/>
    <w:rsid w:val="00F27CAC"/>
    <w:rsid w:val="00F3212F"/>
    <w:rsid w:val="00F32844"/>
    <w:rsid w:val="00F32FE1"/>
    <w:rsid w:val="00F33A5D"/>
    <w:rsid w:val="00F34BDB"/>
    <w:rsid w:val="00F4189A"/>
    <w:rsid w:val="00F43ACA"/>
    <w:rsid w:val="00F528B1"/>
    <w:rsid w:val="00F53516"/>
    <w:rsid w:val="00F547E7"/>
    <w:rsid w:val="00F56B6A"/>
    <w:rsid w:val="00F62498"/>
    <w:rsid w:val="00F70EE8"/>
    <w:rsid w:val="00F73C35"/>
    <w:rsid w:val="00F86DAB"/>
    <w:rsid w:val="00F91625"/>
    <w:rsid w:val="00F92EFF"/>
    <w:rsid w:val="00F96A55"/>
    <w:rsid w:val="00F97EE9"/>
    <w:rsid w:val="00FA56E3"/>
    <w:rsid w:val="00FA5EAA"/>
    <w:rsid w:val="00FA60B9"/>
    <w:rsid w:val="00FA7B88"/>
    <w:rsid w:val="00FB1FE6"/>
    <w:rsid w:val="00FB2C71"/>
    <w:rsid w:val="00FB36E7"/>
    <w:rsid w:val="00FB5465"/>
    <w:rsid w:val="00FC19CE"/>
    <w:rsid w:val="00FC1F05"/>
    <w:rsid w:val="00FC35D0"/>
    <w:rsid w:val="00FC6DF2"/>
    <w:rsid w:val="00FD07F5"/>
    <w:rsid w:val="00FD1A64"/>
    <w:rsid w:val="00FD23B3"/>
    <w:rsid w:val="00FD59CA"/>
    <w:rsid w:val="00FD5FBE"/>
    <w:rsid w:val="00FE2523"/>
    <w:rsid w:val="00FE2B3E"/>
    <w:rsid w:val="00FE4321"/>
    <w:rsid w:val="00FE4DA2"/>
    <w:rsid w:val="00FE5753"/>
    <w:rsid w:val="00FF0499"/>
    <w:rsid w:val="00FF0794"/>
    <w:rsid w:val="00FF34A3"/>
    <w:rsid w:val="00FF45EC"/>
    <w:rsid w:val="00FF5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E293F"/>
  <w15:docId w15:val="{1B3F6E95-64AB-4A05-81C2-41B9665C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fr-FR"/>
    </w:rPr>
  </w:style>
  <w:style w:type="paragraph" w:styleId="Heading4">
    <w:name w:val="heading 4"/>
    <w:basedOn w:val="Normal"/>
    <w:next w:val="Normal"/>
    <w:qFormat/>
    <w:pPr>
      <w:keepNext/>
      <w:jc w:val="both"/>
      <w:outlineLvl w:val="3"/>
    </w:pPr>
    <w:rPr>
      <w:b/>
      <w:bCs/>
      <w:snapToGrid w:val="0"/>
      <w:u w:val="single"/>
      <w:lang w:eastAsia="en-US"/>
    </w:rPr>
  </w:style>
  <w:style w:type="paragraph" w:styleId="Heading5">
    <w:name w:val="heading 5"/>
    <w:basedOn w:val="Normal"/>
    <w:next w:val="Normal"/>
    <w:qFormat/>
    <w:pPr>
      <w:keepNext/>
      <w:outlineLvl w:val="4"/>
    </w:pPr>
    <w:rPr>
      <w:b/>
      <w:bCs/>
      <w:snapToGrid w:val="0"/>
      <w:u w:val="single"/>
      <w:lang w:eastAsia="en-US"/>
    </w:rPr>
  </w:style>
  <w:style w:type="paragraph" w:styleId="Heading6">
    <w:name w:val="heading 6"/>
    <w:basedOn w:val="Normal"/>
    <w:next w:val="Normal"/>
    <w:qFormat/>
    <w:pPr>
      <w:keepNext/>
      <w:jc w:val="both"/>
      <w:outlineLvl w:val="5"/>
    </w:pPr>
    <w:rPr>
      <w:b/>
      <w:bCs/>
      <w:snapToGrid w:val="0"/>
      <w:lang w:eastAsia="en-US"/>
    </w:rPr>
  </w:style>
  <w:style w:type="paragraph" w:styleId="Heading7">
    <w:name w:val="heading 7"/>
    <w:basedOn w:val="Normal"/>
    <w:next w:val="Normal"/>
    <w:qFormat/>
    <w:pPr>
      <w:keepNext/>
      <w:ind w:left="-70"/>
      <w:jc w:val="center"/>
      <w:outlineLvl w:val="6"/>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pPr>
      <w:ind w:firstLine="1631"/>
      <w:jc w:val="both"/>
    </w:pPr>
    <w:rPr>
      <w:snapToGrid w:val="0"/>
      <w:lang w:eastAsia="en-US"/>
    </w:rPr>
  </w:style>
  <w:style w:type="character" w:styleId="PageNumber">
    <w:name w:val="page number"/>
    <w:basedOn w:val="DefaultParagraphFont"/>
    <w:semiHidden/>
  </w:style>
  <w:style w:type="paragraph" w:styleId="Header">
    <w:name w:val="header"/>
    <w:basedOn w:val="Normal"/>
    <w:semiHidden/>
    <w:pPr>
      <w:tabs>
        <w:tab w:val="center" w:pos="4536"/>
        <w:tab w:val="right" w:pos="9072"/>
      </w:tabs>
    </w:pPr>
    <w:rPr>
      <w:snapToGrid w:val="0"/>
      <w:sz w:val="20"/>
      <w:szCs w:val="20"/>
      <w:lang w:eastAsia="en-US"/>
    </w:rPr>
  </w:style>
  <w:style w:type="character" w:styleId="Hyperlink">
    <w:name w:val="Hyperlink"/>
    <w:semiHidden/>
    <w:rPr>
      <w:color w:val="0000FF"/>
      <w:u w:val="single"/>
    </w:rPr>
  </w:style>
  <w:style w:type="paragraph" w:styleId="BodyText">
    <w:name w:val="Body Text"/>
    <w:basedOn w:val="Normal"/>
    <w:semiHidden/>
    <w:pPr>
      <w:jc w:val="both"/>
    </w:pPr>
  </w:style>
  <w:style w:type="paragraph" w:styleId="BalloonText">
    <w:name w:val="Balloon Text"/>
    <w:basedOn w:val="Normal"/>
    <w:link w:val="BalloonTextChar"/>
    <w:uiPriority w:val="99"/>
    <w:semiHidden/>
    <w:unhideWhenUsed/>
    <w:rsid w:val="007F6EEC"/>
    <w:rPr>
      <w:rFonts w:ascii="Tahoma" w:hAnsi="Tahoma" w:cs="Tahoma"/>
      <w:sz w:val="16"/>
      <w:szCs w:val="16"/>
    </w:rPr>
  </w:style>
  <w:style w:type="character" w:customStyle="1" w:styleId="BalloonTextChar">
    <w:name w:val="Balloon Text Char"/>
    <w:link w:val="BalloonText"/>
    <w:uiPriority w:val="99"/>
    <w:semiHidden/>
    <w:rsid w:val="007F6EEC"/>
    <w:rPr>
      <w:rFonts w:ascii="Tahoma" w:hAnsi="Tahoma" w:cs="Tahoma"/>
      <w:sz w:val="16"/>
      <w:szCs w:val="16"/>
      <w:lang w:val="en-GB" w:eastAsia="fr-FR"/>
    </w:rPr>
  </w:style>
  <w:style w:type="character" w:customStyle="1" w:styleId="BodyTextIndent2Char">
    <w:name w:val="Body Text Indent 2 Char"/>
    <w:link w:val="BodyTextIndent2"/>
    <w:semiHidden/>
    <w:rsid w:val="008321C0"/>
    <w:rPr>
      <w:snapToGrid w:val="0"/>
      <w:sz w:val="24"/>
      <w:szCs w:val="24"/>
      <w:lang w:val="en-GB" w:eastAsia="en-US"/>
    </w:rPr>
  </w:style>
  <w:style w:type="paragraph" w:styleId="ListParagraph">
    <w:name w:val="List Paragraph"/>
    <w:basedOn w:val="Normal"/>
    <w:uiPriority w:val="34"/>
    <w:qFormat/>
    <w:rsid w:val="00B15580"/>
    <w:pPr>
      <w:ind w:left="720"/>
      <w:contextualSpacing/>
    </w:pPr>
  </w:style>
  <w:style w:type="character" w:styleId="CommentReference">
    <w:name w:val="annotation reference"/>
    <w:basedOn w:val="DefaultParagraphFont"/>
    <w:uiPriority w:val="99"/>
    <w:semiHidden/>
    <w:unhideWhenUsed/>
    <w:rsid w:val="00E45E18"/>
    <w:rPr>
      <w:sz w:val="16"/>
      <w:szCs w:val="16"/>
    </w:rPr>
  </w:style>
  <w:style w:type="paragraph" w:styleId="CommentText">
    <w:name w:val="annotation text"/>
    <w:basedOn w:val="Normal"/>
    <w:link w:val="CommentTextChar"/>
    <w:uiPriority w:val="99"/>
    <w:semiHidden/>
    <w:unhideWhenUsed/>
    <w:rsid w:val="00E45E18"/>
    <w:rPr>
      <w:sz w:val="20"/>
      <w:szCs w:val="20"/>
    </w:rPr>
  </w:style>
  <w:style w:type="character" w:customStyle="1" w:styleId="CommentTextChar">
    <w:name w:val="Comment Text Char"/>
    <w:basedOn w:val="DefaultParagraphFont"/>
    <w:link w:val="CommentText"/>
    <w:uiPriority w:val="99"/>
    <w:semiHidden/>
    <w:rsid w:val="00E45E18"/>
    <w:rPr>
      <w:lang w:val="en-GB" w:eastAsia="fr-FR"/>
    </w:rPr>
  </w:style>
  <w:style w:type="paragraph" w:styleId="CommentSubject">
    <w:name w:val="annotation subject"/>
    <w:basedOn w:val="CommentText"/>
    <w:next w:val="CommentText"/>
    <w:link w:val="CommentSubjectChar"/>
    <w:uiPriority w:val="99"/>
    <w:semiHidden/>
    <w:unhideWhenUsed/>
    <w:rsid w:val="00E45E18"/>
    <w:rPr>
      <w:b/>
      <w:bCs/>
    </w:rPr>
  </w:style>
  <w:style w:type="character" w:customStyle="1" w:styleId="CommentSubjectChar">
    <w:name w:val="Comment Subject Char"/>
    <w:basedOn w:val="CommentTextChar"/>
    <w:link w:val="CommentSubject"/>
    <w:uiPriority w:val="99"/>
    <w:semiHidden/>
    <w:rsid w:val="00E45E18"/>
    <w:rPr>
      <w:b/>
      <w:bCs/>
      <w:lang w:val="en-GB" w:eastAsia="fr-FR"/>
    </w:rPr>
  </w:style>
  <w:style w:type="character" w:customStyle="1" w:styleId="gh1">
    <w:name w:val="gh1"/>
    <w:basedOn w:val="DefaultParagraphFont"/>
    <w:rsid w:val="00DE3C81"/>
    <w:rPr>
      <w:rFonts w:ascii="Verdana" w:hAnsi="Verdana" w:hint="default"/>
      <w:b/>
      <w:bCs/>
      <w:color w:val="673693"/>
      <w:sz w:val="25"/>
      <w:szCs w:val="25"/>
    </w:rPr>
  </w:style>
  <w:style w:type="paragraph" w:customStyle="1" w:styleId="Standaardwetgeving">
    <w:name w:val="Standaard wetgeving"/>
    <w:basedOn w:val="ListParagraph"/>
    <w:qFormat/>
    <w:rsid w:val="0015323E"/>
    <w:pPr>
      <w:numPr>
        <w:numId w:val="11"/>
      </w:numPr>
      <w:tabs>
        <w:tab w:val="num" w:pos="360"/>
      </w:tabs>
      <w:spacing w:after="200" w:line="276" w:lineRule="auto"/>
      <w:ind w:left="720" w:firstLine="0"/>
      <w:contextualSpacing w:val="0"/>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412559">
      <w:bodyDiv w:val="1"/>
      <w:marLeft w:val="0"/>
      <w:marRight w:val="0"/>
      <w:marTop w:val="0"/>
      <w:marBottom w:val="0"/>
      <w:divBdr>
        <w:top w:val="none" w:sz="0" w:space="0" w:color="auto"/>
        <w:left w:val="none" w:sz="0" w:space="0" w:color="auto"/>
        <w:bottom w:val="none" w:sz="0" w:space="0" w:color="auto"/>
        <w:right w:val="none" w:sz="0" w:space="0" w:color="auto"/>
      </w:divBdr>
    </w:div>
    <w:div w:id="931162973">
      <w:bodyDiv w:val="1"/>
      <w:marLeft w:val="0"/>
      <w:marRight w:val="0"/>
      <w:marTop w:val="0"/>
      <w:marBottom w:val="0"/>
      <w:divBdr>
        <w:top w:val="none" w:sz="0" w:space="0" w:color="auto"/>
        <w:left w:val="none" w:sz="0" w:space="0" w:color="auto"/>
        <w:bottom w:val="none" w:sz="0" w:space="0" w:color="auto"/>
        <w:right w:val="none" w:sz="0" w:space="0" w:color="auto"/>
      </w:divBdr>
    </w:div>
    <w:div w:id="1025330135">
      <w:bodyDiv w:val="1"/>
      <w:marLeft w:val="0"/>
      <w:marRight w:val="0"/>
      <w:marTop w:val="0"/>
      <w:marBottom w:val="0"/>
      <w:divBdr>
        <w:top w:val="none" w:sz="0" w:space="0" w:color="auto"/>
        <w:left w:val="none" w:sz="0" w:space="0" w:color="auto"/>
        <w:bottom w:val="none" w:sz="0" w:space="0" w:color="auto"/>
        <w:right w:val="none" w:sz="0" w:space="0" w:color="auto"/>
      </w:divBdr>
    </w:div>
    <w:div w:id="1480725268">
      <w:bodyDiv w:val="1"/>
      <w:marLeft w:val="0"/>
      <w:marRight w:val="0"/>
      <w:marTop w:val="0"/>
      <w:marBottom w:val="0"/>
      <w:divBdr>
        <w:top w:val="none" w:sz="0" w:space="0" w:color="auto"/>
        <w:left w:val="none" w:sz="0" w:space="0" w:color="auto"/>
        <w:bottom w:val="none" w:sz="0" w:space="0" w:color="auto"/>
        <w:right w:val="none" w:sz="0" w:space="0" w:color="auto"/>
      </w:divBdr>
    </w:div>
    <w:div w:id="1580677303">
      <w:bodyDiv w:val="1"/>
      <w:marLeft w:val="0"/>
      <w:marRight w:val="0"/>
      <w:marTop w:val="0"/>
      <w:marBottom w:val="0"/>
      <w:divBdr>
        <w:top w:val="none" w:sz="0" w:space="0" w:color="auto"/>
        <w:left w:val="none" w:sz="0" w:space="0" w:color="auto"/>
        <w:bottom w:val="none" w:sz="0" w:space="0" w:color="auto"/>
        <w:right w:val="none" w:sz="0" w:space="0" w:color="auto"/>
      </w:divBdr>
    </w:div>
    <w:div w:id="202836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Archive xmlns="0ed28443-0e4f-42de-bea0-5e9782d0a73a">false</Archive>
    <Review xmlns="CD49F6B8-954C-4B64-8248-AA0A395BA72F">
      <Url xsi:nil="true"/>
      <Description xsi:nil="true"/>
    </Review>
    <ab1ed0c6b540436c896493fb007829c4 xmlns="0ed28443-0e4f-42de-bea0-5e9782d0a73a">
      <Terms xmlns="http://schemas.microsoft.com/office/infopath/2007/PartnerControls">
        <TermInfo xmlns="http://schemas.microsoft.com/office/infopath/2007/PartnerControls">
          <TermName xmlns="http://schemas.microsoft.com/office/infopath/2007/PartnerControls">Préparation</TermName>
          <TermId xmlns="http://schemas.microsoft.com/office/infopath/2007/PartnerControls">358cfc8e-6565-4b8c-b5c9-af9659aca599</TermId>
        </TermInfo>
      </Terms>
    </ab1ed0c6b540436c896493fb007829c4>
    <f1a19977e65e4fde8220f527be186a1b xmlns="0ed28443-0e4f-42de-bea0-5e9782d0a73a">
      <Terms xmlns="http://schemas.microsoft.com/office/infopath/2007/PartnerControls">
        <TermInfo xmlns="http://schemas.microsoft.com/office/infopath/2007/PartnerControls">
          <TermName xmlns="http://schemas.microsoft.com/office/infopath/2007/PartnerControls">Projet</TermName>
          <TermId xmlns="http://schemas.microsoft.com/office/infopath/2007/PartnerControls">ee91f70e-57bf-401c-bc26-ad15a5df3984</TermId>
        </TermInfo>
      </Terms>
    </f1a19977e65e4fde8220f527be186a1b>
    <Approval xmlns="CD49F6B8-954C-4B64-8248-AA0A395BA72F">
      <Url xsi:nil="true"/>
      <Description xsi:nil="true"/>
    </Approval>
    <TaxCatchAll xmlns="232ae7aa-1163-483e-9057-bc92b2c1d050">
      <Value>8</Value>
      <Value>4</Value>
    </TaxCatchAll>
    <_dlc_DocId xmlns="0ed28443-0e4f-42de-bea0-5e9782d0a73a">4MER7KCM4VJC-1757338905-24</_dlc_DocId>
    <_dlc_DocIdUrl xmlns="0ed28443-0e4f-42de-bea0-5e9782d0a73a">
      <Url>https://dgwl.intranet.spfod.just.fgov.be/lawprojects/180420_Wl32_2/_layouts/15/DocIdRedir.aspx?ID=4MER7KCM4VJC-1757338905-24</Url>
      <Description>4MER7KCM4VJC-1757338905-24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GWLRoyalDecreeDoc" ma:contentTypeID="0x01010019A3678727083D4694BA0E319D4EF8DC0100516D54665B8A184DA9B4E24634C9D800" ma:contentTypeVersion="0" ma:contentTypeDescription="" ma:contentTypeScope="" ma:versionID="f560432493498bc42876f871190d2815">
  <xsd:schema xmlns:xsd="http://www.w3.org/2001/XMLSchema" xmlns:xs="http://www.w3.org/2001/XMLSchema" xmlns:p="http://schemas.microsoft.com/office/2006/metadata/properties" xmlns:ns2="0ed28443-0e4f-42de-bea0-5e9782d0a73a" xmlns:ns3="232ae7aa-1163-483e-9057-bc92b2c1d050" xmlns:ns4="CD49F6B8-954C-4B64-8248-AA0A395BA72F" targetNamespace="http://schemas.microsoft.com/office/2006/metadata/properties" ma:root="true" ma:fieldsID="429d33651d7318f2fb087a02ae17f67c" ns2:_="" ns3:_="" ns4:_="">
    <xsd:import namespace="0ed28443-0e4f-42de-bea0-5e9782d0a73a"/>
    <xsd:import namespace="232ae7aa-1163-483e-9057-bc92b2c1d050"/>
    <xsd:import namespace="CD49F6B8-954C-4B64-8248-AA0A395BA72F"/>
    <xsd:element name="properties">
      <xsd:complexType>
        <xsd:sequence>
          <xsd:element name="documentManagement">
            <xsd:complexType>
              <xsd:all>
                <xsd:element ref="ns2:_dlc_DocId" minOccurs="0"/>
                <xsd:element ref="ns2:_dlc_DocIdUrl" minOccurs="0"/>
                <xsd:element ref="ns2:_dlc_DocIdPersistId" minOccurs="0"/>
                <xsd:element ref="ns2:f1a19977e65e4fde8220f527be186a1b" minOccurs="0"/>
                <xsd:element ref="ns3:TaxCatchAll" minOccurs="0"/>
                <xsd:element ref="ns3:TaxCatchAllLabel" minOccurs="0"/>
                <xsd:element ref="ns2:Archive" minOccurs="0"/>
                <xsd:element ref="ns2:ab1ed0c6b540436c896493fb007829c4" minOccurs="0"/>
                <xsd:element ref="ns4:Approval" minOccurs="0"/>
                <xsd:element ref="ns4: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28443-0e4f-42de-bea0-5e9782d0a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1a19977e65e4fde8220f527be186a1b" ma:index="11" ma:taxonomy="true" ma:internalName="f1a19977e65e4fde8220f527be186a1b" ma:taxonomyFieldName="DocumentType" ma:displayName="DocumentType" ma:default="3;#Note|7620bcaa-bbd5-4679-9d7b-14f1d44f35af" ma:fieldId="{f1a19977-e65e-4fde-8220-f527be186a1b}" ma:sspId="81f31668-a7a6-4790-81d7-2f054b796190" ma:termSetId="a1cd02ba-5d0a-4256-bb1a-ebf7e286d1d1" ma:anchorId="00000000-0000-0000-0000-000000000000" ma:open="false" ma:isKeyword="false">
      <xsd:complexType>
        <xsd:sequence>
          <xsd:element ref="pc:Terms" minOccurs="0" maxOccurs="1"/>
        </xsd:sequence>
      </xsd:complexType>
    </xsd:element>
    <xsd:element name="Archive" ma:index="15" nillable="true" ma:displayName="Archive" ma:default="0" ma:description="Voor archivering - Pour archivage" ma:internalName="Archive">
      <xsd:simpleType>
        <xsd:restriction base="dms:Boolean"/>
      </xsd:simpleType>
    </xsd:element>
    <xsd:element name="ab1ed0c6b540436c896493fb007829c4" ma:index="16" ma:taxonomy="true" ma:internalName="ab1ed0c6b540436c896493fb007829c4" ma:taxonomyFieldName="FolderKB" ma:displayName="FolderKB" ma:default="4;#Preparation|358cfc8e-6565-4b8c-b5c9-af9659aca599" ma:fieldId="{ab1ed0c6-b540-436c-8964-93fb007829c4}" ma:sspId="81f31668-a7a6-4790-81d7-2f054b796190" ma:termSetId="deb4d87f-34f4-45d7-a019-a86385e06519" ma:anchorId="2e9c4165-2e61-4d41-8ad8-59c8a622fbf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2ae7aa-1163-483e-9057-bc92b2c1d0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99e261-a036-4965-bb15-6915d9eb631d}" ma:internalName="TaxCatchAll" ma:showField="CatchAllData" ma:web="0ed28443-0e4f-42de-bea0-5e9782d0a73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e99e261-a036-4965-bb15-6915d9eb631d}" ma:internalName="TaxCatchAllLabel" ma:readOnly="true" ma:showField="CatchAllDataLabel" ma:web="0ed28443-0e4f-42de-bea0-5e9782d0a7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49F6B8-954C-4B64-8248-AA0A395BA72F" elementFormDefault="qualified">
    <xsd:import namespace="http://schemas.microsoft.com/office/2006/documentManagement/types"/>
    <xsd:import namespace="http://schemas.microsoft.com/office/infopath/2007/PartnerControls"/>
    <xsd:element name="Approval" ma:index="18" nillable="true" ma:displayName="Approval" ma:internalName="Approval">
      <xsd:complexType>
        <xsd:complexContent>
          <xsd:extension base="dms:URL">
            <xsd:sequence>
              <xsd:element name="Url" type="dms:ValidUrl" minOccurs="0" nillable="true"/>
              <xsd:element name="Description" type="xsd:string" nillable="true"/>
            </xsd:sequence>
          </xsd:extension>
        </xsd:complexContent>
      </xsd:complexType>
    </xsd:element>
    <xsd:element name="Review" ma:index="19" nillable="true" ma:displayName="Review" ma:internalName="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255D80-D12D-4AF3-996A-6B31C819A6DB}">
  <ds:schemaRefs>
    <ds:schemaRef ds:uri="http://schemas.microsoft.com/office/2006/metadata/properties"/>
    <ds:schemaRef ds:uri="http://schemas.microsoft.com/office/infopath/2007/PartnerControls"/>
    <ds:schemaRef ds:uri="0ed28443-0e4f-42de-bea0-5e9782d0a73a"/>
    <ds:schemaRef ds:uri="CD49F6B8-954C-4B64-8248-AA0A395BA72F"/>
    <ds:schemaRef ds:uri="232ae7aa-1163-483e-9057-bc92b2c1d050"/>
  </ds:schemaRefs>
</ds:datastoreItem>
</file>

<file path=customXml/itemProps2.xml><?xml version="1.0" encoding="utf-8"?>
<ds:datastoreItem xmlns:ds="http://schemas.openxmlformats.org/officeDocument/2006/customXml" ds:itemID="{54B372AB-F201-4108-999A-6B0F07458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28443-0e4f-42de-bea0-5e9782d0a73a"/>
    <ds:schemaRef ds:uri="232ae7aa-1163-483e-9057-bc92b2c1d050"/>
    <ds:schemaRef ds:uri="CD49F6B8-954C-4B64-8248-AA0A395BA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93F6AB-2C5B-462B-8A56-EEA358065FC7}">
  <ds:schemaRefs>
    <ds:schemaRef ds:uri="http://schemas.microsoft.com/sharepoint/events"/>
  </ds:schemaRefs>
</ds:datastoreItem>
</file>

<file path=customXml/itemProps4.xml><?xml version="1.0" encoding="utf-8"?>
<ds:datastoreItem xmlns:ds="http://schemas.openxmlformats.org/officeDocument/2006/customXml" ds:itemID="{22EEFF25-8213-4B44-90E7-8B4852FADB0D}">
  <ds:schemaRefs>
    <ds:schemaRef ds:uri="http://schemas.openxmlformats.org/officeDocument/2006/bibliography"/>
  </ds:schemaRefs>
</ds:datastoreItem>
</file>

<file path=customXml/itemProps5.xml><?xml version="1.0" encoding="utf-8"?>
<ds:datastoreItem xmlns:ds="http://schemas.openxmlformats.org/officeDocument/2006/customXml" ds:itemID="{32B97F0C-BEE1-4B30-B607-ED0AD2CEC54D}">
  <ds:schemaRefs>
    <ds:schemaRef ds:uri="http://schemas.microsoft.com/office/2006/metadata/customXsn"/>
  </ds:schemaRefs>
</ds:datastoreItem>
</file>

<file path=customXml/itemProps6.xml><?xml version="1.0" encoding="utf-8"?>
<ds:datastoreItem xmlns:ds="http://schemas.openxmlformats.org/officeDocument/2006/customXml" ds:itemID="{44F04093-6AF2-431A-9EC7-843D693915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1246</Words>
  <Characters>6465</Characters>
  <Application>Microsoft Office Word</Application>
  <DocSecurity>0</DocSecurity>
  <Lines>53</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fod justitie</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marietie</dc:creator>
  <cp:lastModifiedBy>Dimitris Dimitriadis</cp:lastModifiedBy>
  <cp:revision>5</cp:revision>
  <cp:lastPrinted>2019-02-21T09:39:00Z</cp:lastPrinted>
  <dcterms:created xsi:type="dcterms:W3CDTF">2021-12-09T08:45:00Z</dcterms:created>
  <dcterms:modified xsi:type="dcterms:W3CDTF">2021-12-13T13:40:00Z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0x01010019A3678727083D4694BA0E319D4EF8DC0100516D54665B8A184DA9B4E24634C9D800</vt:lpwstr>
  </property>
  <property fmtid="{D5CDD505-2E9C-101B-9397-08002B2CF9AE}" pid="3" name="_dlc_DocIdItemGuid">
    <vt:lpwstr>ebcf1557-8668-44ec-b6b3-44c5f7420f6c</vt:lpwstr>
  </property>
  <property fmtid="{D5CDD505-2E9C-101B-9397-08002B2CF9AE}" pid="4" name="FolderKB">
    <vt:lpwstr>4;#Préparation|358cfc8e-6565-4b8c-b5c9-af9659aca599</vt:lpwstr>
  </property>
  <property fmtid="{D5CDD505-2E9C-101B-9397-08002B2CF9AE}" pid="5" name="DocumentType">
    <vt:lpwstr>8;#Projet|ee91f70e-57bf-401c-bc26-ad15a5df3984</vt:lpwstr>
  </property>
</Properties>
</file>