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293F" w14:textId="77777777" w:rsidR="0055267E" w:rsidRPr="004445F4" w:rsidRDefault="0055267E">
      <w:pPr>
        <w:jc w:val="right"/>
        <w:rPr>
          <w:sz w:val="16"/>
          <w:szCs w:val="16"/>
        </w:rPr>
      </w:pPr>
    </w:p>
    <w:p w14:paraId="69FE2940" w14:textId="77777777" w:rsidR="0055267E" w:rsidRPr="004445F4" w:rsidRDefault="0055267E">
      <w:pPr>
        <w:jc w:val="both"/>
      </w:pPr>
    </w:p>
    <w:tbl>
      <w:tblPr>
        <w:tblW w:w="5000" w:type="pct"/>
        <w:tblCellMar>
          <w:left w:w="70" w:type="dxa"/>
          <w:right w:w="70" w:type="dxa"/>
        </w:tblCellMar>
        <w:tblLook w:val="0000" w:firstRow="0" w:lastRow="0" w:firstColumn="0" w:lastColumn="0" w:noHBand="0" w:noVBand="0"/>
      </w:tblPr>
      <w:tblGrid>
        <w:gridCol w:w="9072"/>
      </w:tblGrid>
      <w:tr w:rsidR="006D6750" w:rsidRPr="006D6750" w14:paraId="4C7CC5CE" w14:textId="77777777" w:rsidTr="006D6750">
        <w:tc>
          <w:tcPr>
            <w:tcW w:w="5000" w:type="pct"/>
          </w:tcPr>
          <w:p w14:paraId="7DB3FCFC" w14:textId="0F45AB35" w:rsidR="006D6750" w:rsidRPr="00565E6D" w:rsidRDefault="006D6750" w:rsidP="00E82EA4">
            <w:pPr>
              <w:jc w:val="both"/>
              <w:rPr>
                <w:rFonts w:asciiTheme="minorHAnsi" w:hAnsiTheme="minorHAnsi" w:cstheme="minorHAnsi"/>
                <w:b/>
                <w:bCs/>
              </w:rPr>
            </w:pPr>
            <w:r>
              <w:rPr>
                <w:rFonts w:asciiTheme="minorHAnsi" w:hAnsiTheme="minorHAnsi"/>
                <w:b/>
              </w:rPr>
              <w:t>Karališkojo dekreto, kuriuo nustatomos Belgijos lošimų komisijos konsultavimosi su Centrale des crédits aux particuliers (Centrinis kreditų fiziniams asmenims registras) procedūros ir iš dalies keičiamos nuostatos dėl internetinių azartinių lošimų apribojimo, projektas.</w:t>
            </w:r>
          </w:p>
          <w:p w14:paraId="1434920F" w14:textId="6F0714C0" w:rsidR="006D6750" w:rsidRPr="00565E6D" w:rsidRDefault="006D6750" w:rsidP="00E82EA4">
            <w:pPr>
              <w:jc w:val="both"/>
              <w:rPr>
                <w:rFonts w:asciiTheme="minorHAnsi" w:hAnsiTheme="minorHAnsi" w:cstheme="minorHAnsi"/>
                <w:b/>
                <w:bCs/>
                <w:lang w:val="fr-FR"/>
              </w:rPr>
            </w:pPr>
          </w:p>
        </w:tc>
      </w:tr>
      <w:tr w:rsidR="006D6750" w:rsidRPr="006D6750" w14:paraId="69FE295D" w14:textId="77777777" w:rsidTr="006D6750">
        <w:tc>
          <w:tcPr>
            <w:tcW w:w="5000" w:type="pct"/>
          </w:tcPr>
          <w:p w14:paraId="69FE2955" w14:textId="77777777" w:rsidR="006D6750" w:rsidRPr="004445F4" w:rsidRDefault="006D6750" w:rsidP="009E2456">
            <w:pPr>
              <w:jc w:val="both"/>
              <w:rPr>
                <w:rFonts w:asciiTheme="minorHAnsi" w:hAnsiTheme="minorHAnsi" w:cstheme="minorHAnsi"/>
                <w:b/>
                <w:bCs/>
              </w:rPr>
            </w:pPr>
            <w:r>
              <w:rPr>
                <w:rFonts w:asciiTheme="minorHAnsi" w:hAnsiTheme="minorHAnsi"/>
                <w:b/>
              </w:rPr>
              <w:t>FILIPAS, belgų karalius,</w:t>
            </w:r>
          </w:p>
          <w:p w14:paraId="69FE2956" w14:textId="77777777" w:rsidR="006D6750" w:rsidRPr="004445F4" w:rsidRDefault="006D6750" w:rsidP="009E2456">
            <w:pPr>
              <w:jc w:val="both"/>
              <w:rPr>
                <w:rFonts w:asciiTheme="minorHAnsi" w:hAnsiTheme="minorHAnsi" w:cstheme="minorHAnsi"/>
                <w:b/>
                <w:bCs/>
                <w:lang w:val="fr-FR"/>
              </w:rPr>
            </w:pPr>
          </w:p>
          <w:p w14:paraId="5E422DD3" w14:textId="77777777" w:rsidR="006D6750" w:rsidRDefault="006D6750" w:rsidP="009E2456">
            <w:pPr>
              <w:jc w:val="both"/>
              <w:rPr>
                <w:rFonts w:asciiTheme="minorHAnsi" w:hAnsiTheme="minorHAnsi"/>
                <w:b/>
              </w:rPr>
            </w:pPr>
            <w:r>
              <w:rPr>
                <w:rFonts w:asciiTheme="minorHAnsi" w:hAnsiTheme="minorHAnsi"/>
                <w:b/>
              </w:rPr>
              <w:t>Visiems tiems, kurie yra dabar ir kurie turi ateiti, Sveikinimai.</w:t>
            </w:r>
          </w:p>
          <w:p w14:paraId="69FE2957" w14:textId="77777777" w:rsidR="005E0B80" w:rsidRPr="004445F4" w:rsidRDefault="005E0B80" w:rsidP="009E2456">
            <w:pPr>
              <w:jc w:val="both"/>
              <w:rPr>
                <w:rFonts w:asciiTheme="minorHAnsi" w:hAnsiTheme="minorHAnsi" w:cstheme="minorHAnsi"/>
                <w:b/>
                <w:bCs/>
                <w:lang w:val="fr-FR"/>
              </w:rPr>
            </w:pPr>
          </w:p>
        </w:tc>
      </w:tr>
      <w:tr w:rsidR="006D6750" w:rsidRPr="006D6750" w14:paraId="69FE2963" w14:textId="77777777" w:rsidTr="006D6750">
        <w:tc>
          <w:tcPr>
            <w:tcW w:w="5000" w:type="pct"/>
            <w:shd w:val="clear" w:color="auto" w:fill="auto"/>
          </w:tcPr>
          <w:p w14:paraId="50BA5695" w14:textId="121B1587" w:rsidR="006D6750" w:rsidRPr="004445F4" w:rsidRDefault="006D6750" w:rsidP="009E2456">
            <w:pPr>
              <w:autoSpaceDE w:val="0"/>
              <w:autoSpaceDN w:val="0"/>
              <w:adjustRightInd w:val="0"/>
              <w:jc w:val="both"/>
              <w:rPr>
                <w:rFonts w:asciiTheme="minorHAnsi" w:hAnsiTheme="minorHAnsi" w:cstheme="minorHAnsi"/>
              </w:rPr>
            </w:pPr>
            <w:r>
              <w:rPr>
                <w:rFonts w:asciiTheme="minorHAnsi" w:hAnsiTheme="minorHAnsi"/>
              </w:rPr>
              <w:t>atsižvelgdamas į 1999 m. gegužės 7 d. Įstatymo dėl azartinių lošimų, lažybų, lošimo įstaigų ir lošėjų apsaugos 55 straipsnio 1 dalį, įtrauktą 2019 m. gegužės 7 d. įstatymu;</w:t>
            </w:r>
          </w:p>
          <w:p w14:paraId="69FE295F" w14:textId="77777777" w:rsidR="006D6750" w:rsidRPr="004445F4" w:rsidRDefault="006D6750" w:rsidP="009E2456">
            <w:pPr>
              <w:jc w:val="both"/>
              <w:rPr>
                <w:rFonts w:asciiTheme="minorHAnsi" w:hAnsiTheme="minorHAnsi" w:cstheme="minorHAnsi"/>
                <w:lang w:val="fr-FR"/>
              </w:rPr>
            </w:pPr>
          </w:p>
        </w:tc>
      </w:tr>
      <w:tr w:rsidR="006D6750" w:rsidRPr="006D6750" w14:paraId="69FE2968" w14:textId="77777777" w:rsidTr="006D6750">
        <w:tc>
          <w:tcPr>
            <w:tcW w:w="5000" w:type="pct"/>
            <w:shd w:val="clear" w:color="auto" w:fill="auto"/>
          </w:tcPr>
          <w:p w14:paraId="1E56E25F" w14:textId="54FA8C9F" w:rsidR="006D6750" w:rsidRPr="004445F4" w:rsidRDefault="006D6750" w:rsidP="00CB0098">
            <w:pPr>
              <w:jc w:val="both"/>
              <w:rPr>
                <w:rFonts w:asciiTheme="minorHAnsi" w:hAnsiTheme="minorHAnsi" w:cstheme="minorHAnsi"/>
              </w:rPr>
            </w:pPr>
            <w:r>
              <w:rPr>
                <w:rFonts w:asciiTheme="minorHAnsi" w:hAnsiTheme="minorHAnsi"/>
              </w:rPr>
              <w:t>atsižvelgdamas į 2018 m. spalio 25 d. Karaliaus dekretą dėl azartinių lošimų ir lažybų naudojantis informacinės visuomenės paslaugomis tvarkos;</w:t>
            </w:r>
          </w:p>
          <w:p w14:paraId="69FE2964" w14:textId="50F69249" w:rsidR="006D6750" w:rsidRPr="004445F4" w:rsidRDefault="006D6750" w:rsidP="00CB0098">
            <w:pPr>
              <w:jc w:val="both"/>
              <w:rPr>
                <w:rFonts w:asciiTheme="minorHAnsi" w:hAnsiTheme="minorHAnsi" w:cstheme="minorHAnsi"/>
                <w:lang w:val="fr-FR"/>
              </w:rPr>
            </w:pPr>
          </w:p>
        </w:tc>
      </w:tr>
      <w:tr w:rsidR="006D6750" w:rsidRPr="006D6750" w14:paraId="69FE296D" w14:textId="77777777" w:rsidTr="006D6750">
        <w:tc>
          <w:tcPr>
            <w:tcW w:w="5000" w:type="pct"/>
            <w:shd w:val="clear" w:color="auto" w:fill="auto"/>
          </w:tcPr>
          <w:p w14:paraId="0459D751" w14:textId="211E9380" w:rsidR="006D6750" w:rsidRPr="004445F4" w:rsidRDefault="006D6750" w:rsidP="00CB0098">
            <w:pPr>
              <w:jc w:val="both"/>
              <w:rPr>
                <w:rFonts w:asciiTheme="minorHAnsi" w:hAnsiTheme="minorHAnsi" w:cstheme="minorHAnsi"/>
              </w:rPr>
            </w:pPr>
            <w:r>
              <w:rPr>
                <w:rFonts w:asciiTheme="minorHAnsi" w:hAnsiTheme="minorHAnsi"/>
              </w:rPr>
              <w:t>atsižvelgdamas į 2021 m. sausio 20 d. Azartinių lošimų komisijos nuomonę;</w:t>
            </w:r>
          </w:p>
          <w:p w14:paraId="69FE2969" w14:textId="0CDC8EAA" w:rsidR="006D6750" w:rsidRPr="004445F4" w:rsidRDefault="006D6750" w:rsidP="00CB0098">
            <w:pPr>
              <w:jc w:val="both"/>
              <w:rPr>
                <w:rFonts w:asciiTheme="minorHAnsi" w:hAnsiTheme="minorHAnsi" w:cstheme="minorHAnsi"/>
                <w:lang w:val="fr-FR"/>
              </w:rPr>
            </w:pPr>
          </w:p>
        </w:tc>
      </w:tr>
      <w:tr w:rsidR="006D6750" w:rsidRPr="006D6750" w14:paraId="69FE2973" w14:textId="77777777" w:rsidTr="006D6750">
        <w:tc>
          <w:tcPr>
            <w:tcW w:w="5000" w:type="pct"/>
            <w:shd w:val="clear" w:color="auto" w:fill="auto"/>
          </w:tcPr>
          <w:p w14:paraId="4CECFDAE" w14:textId="0C7917FF" w:rsidR="006D6750" w:rsidRPr="004445F4" w:rsidRDefault="006D6750" w:rsidP="00CB0098">
            <w:pPr>
              <w:jc w:val="both"/>
              <w:rPr>
                <w:rFonts w:asciiTheme="minorHAnsi" w:hAnsiTheme="minorHAnsi" w:cstheme="minorHAnsi"/>
              </w:rPr>
            </w:pPr>
            <w:r>
              <w:rPr>
                <w:rFonts w:asciiTheme="minorHAnsi" w:hAnsiTheme="minorHAnsi"/>
              </w:rPr>
              <w:t>atsižvelgdamas į 2021 m. balandžio 27 d. ir 2021 m. liepos 5 d. paskelbtą finansų inspektoriaus nuomonę;</w:t>
            </w:r>
          </w:p>
          <w:p w14:paraId="69FE296F" w14:textId="77777777" w:rsidR="006D6750" w:rsidRPr="004445F4" w:rsidRDefault="006D6750" w:rsidP="00CB0098">
            <w:pPr>
              <w:jc w:val="both"/>
              <w:rPr>
                <w:rFonts w:asciiTheme="minorHAnsi" w:hAnsiTheme="minorHAnsi" w:cstheme="minorHAnsi"/>
                <w:lang w:val="fr-FR"/>
              </w:rPr>
            </w:pPr>
          </w:p>
        </w:tc>
      </w:tr>
      <w:tr w:rsidR="006D6750" w:rsidRPr="006D6750" w14:paraId="229FBB1A" w14:textId="77777777" w:rsidTr="006D6750">
        <w:tc>
          <w:tcPr>
            <w:tcW w:w="5000" w:type="pct"/>
            <w:shd w:val="clear" w:color="auto" w:fill="auto"/>
          </w:tcPr>
          <w:p w14:paraId="63E510E4" w14:textId="6503FF16" w:rsidR="006D6750" w:rsidRPr="004445F4" w:rsidRDefault="006D6750" w:rsidP="00CB0098">
            <w:pPr>
              <w:jc w:val="both"/>
              <w:rPr>
                <w:rFonts w:asciiTheme="minorHAnsi" w:hAnsiTheme="minorHAnsi" w:cstheme="minorHAnsi"/>
              </w:rPr>
            </w:pPr>
            <w:r>
              <w:rPr>
                <w:rFonts w:asciiTheme="minorHAnsi" w:hAnsiTheme="minorHAnsi"/>
              </w:rPr>
              <w:t>atsižvelgdamas į 2021 m. gegužės 11 d. ir 2021 m. liepos 15 d. už biudžetą atsakingo valstybės sekretoriaus susitarimą;</w:t>
            </w:r>
          </w:p>
          <w:p w14:paraId="36E7A5D9" w14:textId="7FEA8B0B" w:rsidR="006D6750" w:rsidRPr="004445F4" w:rsidRDefault="006D6750" w:rsidP="00CB0098">
            <w:pPr>
              <w:jc w:val="both"/>
              <w:rPr>
                <w:rFonts w:asciiTheme="minorHAnsi" w:hAnsiTheme="minorHAnsi" w:cstheme="minorHAnsi"/>
                <w:lang w:val="fr-BE"/>
              </w:rPr>
            </w:pPr>
          </w:p>
        </w:tc>
      </w:tr>
      <w:tr w:rsidR="006D6750" w:rsidRPr="006D6750" w14:paraId="68E4DBC9" w14:textId="77777777" w:rsidTr="006D6750">
        <w:tc>
          <w:tcPr>
            <w:tcW w:w="5000" w:type="pct"/>
            <w:shd w:val="clear" w:color="auto" w:fill="auto"/>
          </w:tcPr>
          <w:p w14:paraId="2342D0E1" w14:textId="161C102C" w:rsidR="006D6750" w:rsidRPr="004445F4" w:rsidRDefault="006D6750" w:rsidP="00573EE3">
            <w:pPr>
              <w:pStyle w:val="BodyText"/>
              <w:rPr>
                <w:rFonts w:asciiTheme="minorHAnsi" w:hAnsiTheme="minorHAnsi" w:cstheme="minorHAnsi"/>
                <w:bCs/>
              </w:rPr>
            </w:pPr>
            <w:r>
              <w:rPr>
                <w:rFonts w:asciiTheme="minorHAnsi" w:hAnsiTheme="minorHAnsi"/>
              </w:rPr>
              <w:t>atsižvelgdamas į 2021 m. spalio 4 d. paskelbtą Duomenų apsaugos institucijos nuomonę Nr. 177/2021;</w:t>
            </w:r>
          </w:p>
          <w:p w14:paraId="0765C876" w14:textId="77777777" w:rsidR="006D6750" w:rsidRPr="004445F4" w:rsidRDefault="006D6750" w:rsidP="00573EE3">
            <w:pPr>
              <w:jc w:val="both"/>
              <w:rPr>
                <w:rFonts w:asciiTheme="minorHAnsi" w:hAnsiTheme="minorHAnsi" w:cstheme="minorHAnsi"/>
                <w:lang w:val="fr-BE"/>
              </w:rPr>
            </w:pPr>
          </w:p>
        </w:tc>
      </w:tr>
      <w:tr w:rsidR="006D6750" w:rsidRPr="006D6750" w14:paraId="69FE2979" w14:textId="77777777" w:rsidTr="006D6750">
        <w:tc>
          <w:tcPr>
            <w:tcW w:w="5000" w:type="pct"/>
          </w:tcPr>
          <w:p w14:paraId="69FE2974" w14:textId="77777777" w:rsidR="006D6750" w:rsidRPr="004445F4" w:rsidRDefault="006D6750" w:rsidP="00573EE3">
            <w:pPr>
              <w:pStyle w:val="BodyText"/>
              <w:rPr>
                <w:rFonts w:asciiTheme="minorHAnsi" w:hAnsiTheme="minorHAnsi" w:cstheme="minorHAnsi"/>
              </w:rPr>
            </w:pPr>
            <w:r>
              <w:rPr>
                <w:rFonts w:asciiTheme="minorHAnsi" w:hAnsiTheme="minorHAnsi"/>
              </w:rPr>
              <w:t>atsižvelgdamas į reglamento poveikio vertinimą, atliktą pagal 2013 m. gruodžio 15 d. Įstatymo 6 ir 7 straipsnius, kuriame yra įvairių su administraciniu supaprastinimu susijusių nuostatų;</w:t>
            </w:r>
          </w:p>
          <w:p w14:paraId="69FE2975" w14:textId="73C6F6CE" w:rsidR="006D6750" w:rsidRPr="004445F4" w:rsidRDefault="006D6750" w:rsidP="00573EE3">
            <w:pPr>
              <w:jc w:val="both"/>
              <w:rPr>
                <w:rFonts w:asciiTheme="minorHAnsi" w:hAnsiTheme="minorHAnsi" w:cstheme="minorHAnsi"/>
                <w:lang w:val="fr-FR"/>
              </w:rPr>
            </w:pPr>
          </w:p>
        </w:tc>
      </w:tr>
      <w:tr w:rsidR="006D6750" w:rsidRPr="006D6750" w14:paraId="69FE297D" w14:textId="77777777" w:rsidTr="006D6750">
        <w:tc>
          <w:tcPr>
            <w:tcW w:w="5000" w:type="pct"/>
          </w:tcPr>
          <w:p w14:paraId="5016ABDE" w14:textId="77777777" w:rsidR="006D6750" w:rsidRPr="004445F4" w:rsidRDefault="006D6750" w:rsidP="00573EE3">
            <w:pPr>
              <w:jc w:val="both"/>
              <w:rPr>
                <w:rFonts w:asciiTheme="minorHAnsi" w:hAnsiTheme="minorHAnsi" w:cstheme="minorHAnsi"/>
              </w:rPr>
            </w:pPr>
            <w:r>
              <w:rPr>
                <w:rFonts w:asciiTheme="minorHAnsi" w:hAnsiTheme="minorHAnsi"/>
              </w:rPr>
              <w:t xml:space="preserve">atsižvelgdamas į xxxx paskelbtą Valstybės tarybos nuomonę Nr. XXX pagal įstatymų dėl Valstybės tarybos 84 straipsnio 1 dalies 1 punkto 2 papunktį, suderintą 1973 m. sausio 12 d.; </w:t>
            </w:r>
          </w:p>
          <w:p w14:paraId="10CC4D60" w14:textId="77777777" w:rsidR="006D6750" w:rsidRPr="004445F4" w:rsidRDefault="006D6750" w:rsidP="00573EE3">
            <w:pPr>
              <w:jc w:val="both"/>
              <w:rPr>
                <w:rFonts w:asciiTheme="minorHAnsi" w:hAnsiTheme="minorHAnsi" w:cstheme="minorHAnsi"/>
                <w:lang w:val="fr-FR"/>
              </w:rPr>
            </w:pPr>
          </w:p>
          <w:p w14:paraId="69FE297A" w14:textId="06CEE2C1" w:rsidR="006D6750" w:rsidRPr="004445F4" w:rsidRDefault="006D6750" w:rsidP="00573EE3">
            <w:pPr>
              <w:jc w:val="both"/>
              <w:rPr>
                <w:rFonts w:asciiTheme="minorHAnsi" w:hAnsiTheme="minorHAnsi" w:cstheme="minorHAnsi"/>
                <w:lang w:val="fr-FR"/>
              </w:rPr>
            </w:pPr>
          </w:p>
        </w:tc>
      </w:tr>
      <w:tr w:rsidR="006D6750" w:rsidRPr="006D6750" w14:paraId="69FE2981" w14:textId="77777777" w:rsidTr="006D6750">
        <w:tc>
          <w:tcPr>
            <w:tcW w:w="5000" w:type="pct"/>
          </w:tcPr>
          <w:p w14:paraId="69FE297E" w14:textId="77777777" w:rsidR="006D6750" w:rsidRPr="006D6750" w:rsidRDefault="006D6750" w:rsidP="00573EE3">
            <w:pPr>
              <w:jc w:val="both"/>
              <w:rPr>
                <w:rFonts w:asciiTheme="minorHAnsi" w:hAnsiTheme="minorHAnsi" w:cstheme="minorHAnsi"/>
                <w:lang w:val="fr-BE"/>
              </w:rPr>
            </w:pPr>
          </w:p>
        </w:tc>
      </w:tr>
      <w:tr w:rsidR="006D6750" w:rsidRPr="006D6750" w14:paraId="69FE2986" w14:textId="77777777" w:rsidTr="006D6750">
        <w:tc>
          <w:tcPr>
            <w:tcW w:w="5000" w:type="pct"/>
          </w:tcPr>
          <w:p w14:paraId="2F3A7E78" w14:textId="77777777" w:rsidR="006D6750" w:rsidRDefault="006D6750" w:rsidP="00573EE3">
            <w:pPr>
              <w:jc w:val="both"/>
              <w:rPr>
                <w:rFonts w:asciiTheme="minorHAnsi" w:hAnsiTheme="minorHAnsi"/>
              </w:rPr>
            </w:pPr>
            <w:r>
              <w:rPr>
                <w:rFonts w:asciiTheme="minorHAnsi" w:hAnsiTheme="minorHAnsi"/>
              </w:rPr>
              <w:t>Į Ekonomikos ministro, finansų ministro, visuomenės sveikatos ministro, teisingumo ministro, vidaus reikalų ministro ir už nacionalinę loteriją atsakingo valstybės sekretoriaus siūlymą ir ministrų, kurie svarstė šiuos klausimus Taryboje, nuomonę,</w:t>
            </w:r>
          </w:p>
          <w:p w14:paraId="69FE2982" w14:textId="4FFFC71A" w:rsidR="008E3CEE" w:rsidRPr="004445F4" w:rsidRDefault="008E3CEE" w:rsidP="00573EE3">
            <w:pPr>
              <w:jc w:val="both"/>
              <w:rPr>
                <w:rFonts w:asciiTheme="minorHAnsi" w:hAnsiTheme="minorHAnsi" w:cstheme="minorHAnsi"/>
                <w:bCs/>
                <w:lang w:val="fr-FR"/>
              </w:rPr>
            </w:pPr>
          </w:p>
        </w:tc>
      </w:tr>
      <w:tr w:rsidR="006D6750" w:rsidRPr="006D6750" w14:paraId="69FE298C" w14:textId="77777777" w:rsidTr="006D6750">
        <w:tc>
          <w:tcPr>
            <w:tcW w:w="5000" w:type="pct"/>
          </w:tcPr>
          <w:p w14:paraId="69FE2987" w14:textId="77777777" w:rsidR="006D6750" w:rsidRPr="004445F4" w:rsidRDefault="006D6750" w:rsidP="00573EE3">
            <w:pPr>
              <w:jc w:val="both"/>
              <w:rPr>
                <w:rFonts w:asciiTheme="minorHAnsi" w:hAnsiTheme="minorHAnsi" w:cstheme="minorHAnsi"/>
                <w:b/>
                <w:bCs/>
              </w:rPr>
            </w:pPr>
            <w:r>
              <w:rPr>
                <w:rFonts w:asciiTheme="minorHAnsi" w:hAnsiTheme="minorHAnsi"/>
                <w:b/>
              </w:rPr>
              <w:t>NUTARIAMA:</w:t>
            </w:r>
          </w:p>
          <w:p w14:paraId="69FE2988" w14:textId="77777777" w:rsidR="006D6750" w:rsidRPr="004445F4" w:rsidRDefault="006D6750" w:rsidP="00573EE3">
            <w:pPr>
              <w:jc w:val="both"/>
              <w:rPr>
                <w:rFonts w:asciiTheme="minorHAnsi" w:hAnsiTheme="minorHAnsi" w:cstheme="minorHAnsi"/>
                <w:lang w:val="fr-FR"/>
              </w:rPr>
            </w:pPr>
          </w:p>
        </w:tc>
      </w:tr>
      <w:tr w:rsidR="006D6750" w:rsidRPr="006D6750" w14:paraId="69FE299E" w14:textId="77777777" w:rsidTr="006D6750">
        <w:tc>
          <w:tcPr>
            <w:tcW w:w="5000" w:type="pct"/>
          </w:tcPr>
          <w:p w14:paraId="3FB29413" w14:textId="2C05D336" w:rsidR="006D6750" w:rsidRPr="004445F4" w:rsidRDefault="006D6750" w:rsidP="00BC48AD">
            <w:pPr>
              <w:jc w:val="both"/>
              <w:rPr>
                <w:rFonts w:asciiTheme="minorHAnsi" w:hAnsiTheme="minorHAnsi" w:cstheme="minorHAnsi"/>
                <w:b/>
              </w:rPr>
            </w:pPr>
            <w:r>
              <w:rPr>
                <w:rFonts w:asciiTheme="minorHAnsi" w:hAnsiTheme="minorHAnsi"/>
                <w:b/>
              </w:rPr>
              <w:t>1 SKYRIUS. Azartinių lošimų komisijos konsultavimosi su Belgijos nacionalinio banko kreditų fiziniams asmenims centriniu registru procedūra</w:t>
            </w:r>
          </w:p>
          <w:p w14:paraId="69FE299A" w14:textId="144F4263" w:rsidR="006D6750" w:rsidRPr="004445F4" w:rsidRDefault="006D6750" w:rsidP="00BC48AD">
            <w:pPr>
              <w:jc w:val="both"/>
              <w:rPr>
                <w:rFonts w:asciiTheme="minorHAnsi" w:hAnsiTheme="minorHAnsi" w:cstheme="minorHAnsi"/>
                <w:b/>
                <w:lang w:val="fr-BE"/>
              </w:rPr>
            </w:pPr>
          </w:p>
        </w:tc>
      </w:tr>
      <w:tr w:rsidR="006D6750" w:rsidRPr="004445F4" w14:paraId="59B4219A" w14:textId="77777777" w:rsidTr="006D6750">
        <w:tc>
          <w:tcPr>
            <w:tcW w:w="5000" w:type="pct"/>
          </w:tcPr>
          <w:p w14:paraId="66374E72" w14:textId="77777777" w:rsidR="006D6750" w:rsidRPr="004445F4" w:rsidRDefault="006D6750" w:rsidP="00573EE3">
            <w:pPr>
              <w:pStyle w:val="Heading5"/>
              <w:rPr>
                <w:rFonts w:asciiTheme="minorHAnsi" w:hAnsiTheme="minorHAnsi" w:cstheme="minorHAnsi"/>
              </w:rPr>
            </w:pPr>
            <w:r>
              <w:rPr>
                <w:rFonts w:asciiTheme="minorHAnsi" w:hAnsiTheme="minorHAnsi"/>
              </w:rPr>
              <w:lastRenderedPageBreak/>
              <w:t>1 straipsnis</w:t>
            </w:r>
          </w:p>
          <w:p w14:paraId="72C95A28" w14:textId="77777777" w:rsidR="006D6750" w:rsidRPr="004445F4" w:rsidRDefault="006D6750" w:rsidP="00573EE3">
            <w:pPr>
              <w:pStyle w:val="Heading5"/>
              <w:rPr>
                <w:rFonts w:asciiTheme="minorHAnsi" w:hAnsiTheme="minorHAnsi" w:cstheme="minorHAnsi"/>
                <w:lang w:val="fr-FR"/>
              </w:rPr>
            </w:pPr>
          </w:p>
        </w:tc>
      </w:tr>
      <w:tr w:rsidR="006D6750" w:rsidRPr="006D6750" w14:paraId="410D1932" w14:textId="77777777" w:rsidTr="006D6750">
        <w:tc>
          <w:tcPr>
            <w:tcW w:w="5000" w:type="pct"/>
          </w:tcPr>
          <w:p w14:paraId="3AACEF6A" w14:textId="15C45F00" w:rsidR="006D6750" w:rsidRPr="00565E6D" w:rsidRDefault="006D6750" w:rsidP="00D31BCD">
            <w:pPr>
              <w:jc w:val="both"/>
              <w:rPr>
                <w:rFonts w:asciiTheme="minorHAnsi" w:hAnsiTheme="minorHAnsi" w:cstheme="minorHAnsi"/>
              </w:rPr>
            </w:pPr>
            <w:r>
              <w:rPr>
                <w:rFonts w:asciiTheme="minorHAnsi" w:hAnsiTheme="minorHAnsi"/>
              </w:rPr>
              <w:t>Azartinių lošimų komisijos konsultacijos su Belgijos centriniu kreditų fiziniams asmenims registru būtinos atsižvelgiant į 2018 m. spalio 25 d. Karaliaus dekreto dėl azartinių lošimų ir lažybų naudojantis informacinės visuomenės paslaugomis veiklos procedūrų 6 straipsnio 1 dalyje nurodytus tikslus.</w:t>
            </w:r>
          </w:p>
        </w:tc>
      </w:tr>
      <w:tr w:rsidR="006D6750" w:rsidRPr="006D6750" w14:paraId="5E681C82" w14:textId="77777777" w:rsidTr="006D6750">
        <w:tc>
          <w:tcPr>
            <w:tcW w:w="5000" w:type="pct"/>
          </w:tcPr>
          <w:p w14:paraId="613AE267" w14:textId="220767F0" w:rsidR="006D6750" w:rsidRPr="006D6750" w:rsidRDefault="006D6750" w:rsidP="00573EE3">
            <w:pPr>
              <w:pStyle w:val="Heading5"/>
              <w:jc w:val="both"/>
              <w:rPr>
                <w:rFonts w:asciiTheme="minorHAnsi" w:hAnsiTheme="minorHAnsi" w:cstheme="minorHAnsi"/>
                <w:b w:val="0"/>
                <w:u w:val="none"/>
                <w:lang w:val="fr-BE"/>
              </w:rPr>
            </w:pPr>
          </w:p>
        </w:tc>
      </w:tr>
      <w:tr w:rsidR="006D6750" w:rsidRPr="004445F4" w14:paraId="74D3E781" w14:textId="77777777" w:rsidTr="006D6750">
        <w:tc>
          <w:tcPr>
            <w:tcW w:w="5000" w:type="pct"/>
          </w:tcPr>
          <w:p w14:paraId="6B060EBB" w14:textId="12C53141" w:rsidR="006D6750" w:rsidRPr="004445F4" w:rsidRDefault="006D6750" w:rsidP="00573EE3">
            <w:pPr>
              <w:jc w:val="both"/>
              <w:rPr>
                <w:rFonts w:asciiTheme="minorHAnsi" w:hAnsiTheme="minorHAnsi" w:cstheme="minorHAnsi"/>
                <w:b/>
                <w:u w:val="single"/>
              </w:rPr>
            </w:pPr>
            <w:r>
              <w:rPr>
                <w:rFonts w:asciiTheme="minorHAnsi" w:hAnsiTheme="minorHAnsi"/>
                <w:b/>
                <w:u w:val="single"/>
              </w:rPr>
              <w:t>2 straipsnis</w:t>
            </w:r>
          </w:p>
          <w:p w14:paraId="2C115128" w14:textId="77777777" w:rsidR="006D6750" w:rsidRPr="004445F4" w:rsidRDefault="006D6750" w:rsidP="00573EE3">
            <w:pPr>
              <w:jc w:val="both"/>
              <w:rPr>
                <w:rFonts w:asciiTheme="minorHAnsi" w:hAnsiTheme="minorHAnsi" w:cstheme="minorHAnsi"/>
                <w:lang w:val="nl-BE"/>
              </w:rPr>
            </w:pPr>
          </w:p>
        </w:tc>
      </w:tr>
      <w:tr w:rsidR="006D6750" w:rsidRPr="006D6750" w14:paraId="5035965D" w14:textId="77777777" w:rsidTr="006D6750">
        <w:tc>
          <w:tcPr>
            <w:tcW w:w="5000" w:type="pct"/>
          </w:tcPr>
          <w:p w14:paraId="2A9C66C1" w14:textId="432D4B3A" w:rsidR="006D6750" w:rsidRPr="004445F4" w:rsidRDefault="006D6750" w:rsidP="00573EE3">
            <w:pPr>
              <w:jc w:val="both"/>
              <w:rPr>
                <w:rFonts w:asciiTheme="minorHAnsi" w:hAnsiTheme="minorHAnsi" w:cstheme="minorHAnsi"/>
              </w:rPr>
            </w:pPr>
            <w:r>
              <w:rPr>
                <w:rFonts w:asciiTheme="minorHAnsi" w:hAnsiTheme="minorHAnsi"/>
              </w:rPr>
              <w:t xml:space="preserve">Belgijos nacionalinis bankas nustato Azartinių lošimų komisijos konsultavimosi su Belgijos centrinio kreditų fiziniams asmenims registru technines procedūras. </w:t>
            </w:r>
          </w:p>
          <w:p w14:paraId="15CF00B9" w14:textId="77777777" w:rsidR="006D6750" w:rsidRPr="004445F4" w:rsidRDefault="006D6750" w:rsidP="00573EE3">
            <w:pPr>
              <w:jc w:val="both"/>
              <w:rPr>
                <w:rFonts w:asciiTheme="minorHAnsi" w:hAnsiTheme="minorHAnsi" w:cstheme="minorHAnsi"/>
                <w:b/>
                <w:u w:val="single"/>
                <w:lang w:val="fr-FR"/>
              </w:rPr>
            </w:pPr>
          </w:p>
        </w:tc>
      </w:tr>
      <w:tr w:rsidR="006D6750" w:rsidRPr="004445F4" w14:paraId="25AB1968" w14:textId="77777777" w:rsidTr="006D6750">
        <w:tc>
          <w:tcPr>
            <w:tcW w:w="5000" w:type="pct"/>
          </w:tcPr>
          <w:p w14:paraId="1A635219" w14:textId="63BB25AB" w:rsidR="006D6750" w:rsidRPr="004445F4" w:rsidRDefault="006D6750" w:rsidP="00573EE3">
            <w:pPr>
              <w:jc w:val="both"/>
              <w:rPr>
                <w:rFonts w:asciiTheme="minorHAnsi" w:hAnsiTheme="minorHAnsi" w:cstheme="minorHAnsi"/>
                <w:b/>
                <w:u w:val="single"/>
              </w:rPr>
            </w:pPr>
            <w:r>
              <w:rPr>
                <w:rFonts w:asciiTheme="minorHAnsi" w:hAnsiTheme="minorHAnsi"/>
                <w:b/>
                <w:u w:val="single"/>
              </w:rPr>
              <w:t xml:space="preserve">3 straipsnis </w:t>
            </w:r>
          </w:p>
          <w:p w14:paraId="7EF8643B" w14:textId="77777777" w:rsidR="006D6750" w:rsidRPr="004445F4" w:rsidRDefault="006D6750" w:rsidP="00573EE3">
            <w:pPr>
              <w:jc w:val="both"/>
              <w:rPr>
                <w:rFonts w:asciiTheme="minorHAnsi" w:hAnsiTheme="minorHAnsi" w:cstheme="minorHAnsi"/>
                <w:b/>
                <w:u w:val="single"/>
                <w:lang w:val="nl-BE"/>
              </w:rPr>
            </w:pPr>
          </w:p>
        </w:tc>
      </w:tr>
      <w:tr w:rsidR="006D6750" w:rsidRPr="006D6750" w14:paraId="6CF4AEC0" w14:textId="77777777" w:rsidTr="006D6750">
        <w:tc>
          <w:tcPr>
            <w:tcW w:w="5000" w:type="pct"/>
          </w:tcPr>
          <w:p w14:paraId="5C0796E6" w14:textId="5567999E" w:rsidR="006D6750" w:rsidRPr="00565E6D" w:rsidRDefault="006D6750" w:rsidP="00E703FB">
            <w:pPr>
              <w:jc w:val="both"/>
              <w:rPr>
                <w:rFonts w:asciiTheme="minorHAnsi" w:hAnsiTheme="minorHAnsi" w:cstheme="minorHAnsi"/>
              </w:rPr>
            </w:pPr>
            <w:r>
              <w:rPr>
                <w:rFonts w:asciiTheme="minorHAnsi" w:hAnsiTheme="minorHAnsi"/>
              </w:rPr>
              <w:t>1 skirsnis Žaidėjų identifikacijos informacija, neatlikus mokėjimo, kaip apibrėžta Ekonominės teisės kodekso VII.148 straipsnyje, gali būti dalijamasi su Belgijos nacionaliniu banku, siekiant patikrinti, ar yra žinoma, kad žaidėjas nevykdo mokėjimo įsipareigojimų Centrinio kreditų registro Asmenims skirtoje rinkmenoje.</w:t>
            </w:r>
          </w:p>
          <w:p w14:paraId="3495578E" w14:textId="2EEE5299" w:rsidR="006D6750" w:rsidRPr="00565E6D" w:rsidRDefault="006D6750" w:rsidP="002C2588">
            <w:pPr>
              <w:jc w:val="both"/>
              <w:rPr>
                <w:rFonts w:asciiTheme="minorHAnsi" w:hAnsiTheme="minorHAnsi" w:cstheme="minorHAnsi"/>
                <w:lang w:val="fr-FR"/>
              </w:rPr>
            </w:pPr>
          </w:p>
        </w:tc>
      </w:tr>
      <w:tr w:rsidR="006D6750" w:rsidRPr="006D6750" w14:paraId="6C08B47A" w14:textId="77777777" w:rsidTr="006D6750">
        <w:tc>
          <w:tcPr>
            <w:tcW w:w="5000" w:type="pct"/>
          </w:tcPr>
          <w:p w14:paraId="05C69597" w14:textId="77777777" w:rsidR="006D6750" w:rsidRPr="00565E6D" w:rsidRDefault="006D6750" w:rsidP="002C2588">
            <w:pPr>
              <w:jc w:val="both"/>
              <w:rPr>
                <w:rFonts w:asciiTheme="minorHAnsi" w:hAnsiTheme="minorHAnsi" w:cstheme="minorHAnsi"/>
              </w:rPr>
            </w:pPr>
            <w:r>
              <w:rPr>
                <w:rFonts w:asciiTheme="minorHAnsi" w:hAnsiTheme="minorHAnsi"/>
              </w:rPr>
              <w:t>Į pirmoje pastraipoje nurodytą identifikavimo informaciją įtraukiama:</w:t>
            </w:r>
          </w:p>
          <w:p w14:paraId="2E81CB1F" w14:textId="77777777" w:rsidR="006D6750" w:rsidRPr="00565E6D" w:rsidRDefault="006D6750" w:rsidP="00E703FB">
            <w:pPr>
              <w:jc w:val="both"/>
              <w:rPr>
                <w:rFonts w:asciiTheme="minorHAnsi" w:hAnsiTheme="minorHAnsi" w:cstheme="minorHAnsi"/>
                <w:lang w:val="fr-FR"/>
              </w:rPr>
            </w:pPr>
          </w:p>
        </w:tc>
      </w:tr>
      <w:tr w:rsidR="006D6750" w:rsidRPr="006D6750" w14:paraId="0B4AF87D" w14:textId="77777777" w:rsidTr="006D6750">
        <w:tc>
          <w:tcPr>
            <w:tcW w:w="5000" w:type="pct"/>
          </w:tcPr>
          <w:p w14:paraId="45791653" w14:textId="77777777" w:rsidR="006D6750" w:rsidRPr="00565E6D" w:rsidRDefault="006D6750" w:rsidP="002C2588">
            <w:pPr>
              <w:jc w:val="both"/>
              <w:rPr>
                <w:rFonts w:asciiTheme="minorHAnsi" w:hAnsiTheme="minorHAnsi" w:cstheme="minorHAnsi"/>
              </w:rPr>
            </w:pPr>
            <w:r>
              <w:rPr>
                <w:rFonts w:asciiTheme="minorHAnsi" w:hAnsiTheme="minorHAnsi"/>
              </w:rPr>
              <w:t xml:space="preserve">1. Žaidėjo nacionalinis registracijos numeris, jeigu jis žinomas licencijos savininkui; </w:t>
            </w:r>
          </w:p>
          <w:p w14:paraId="7F669882" w14:textId="77777777" w:rsidR="006D6750" w:rsidRPr="00565E6D" w:rsidRDefault="006D6750" w:rsidP="00E703FB">
            <w:pPr>
              <w:jc w:val="both"/>
              <w:rPr>
                <w:rFonts w:asciiTheme="minorHAnsi" w:hAnsiTheme="minorHAnsi" w:cstheme="minorHAnsi"/>
                <w:lang w:val="fr-FR"/>
              </w:rPr>
            </w:pPr>
          </w:p>
        </w:tc>
      </w:tr>
      <w:tr w:rsidR="006D6750" w:rsidRPr="006D6750" w14:paraId="1E14614F" w14:textId="77777777" w:rsidTr="006D6750">
        <w:tc>
          <w:tcPr>
            <w:tcW w:w="5000" w:type="pct"/>
          </w:tcPr>
          <w:p w14:paraId="7E81FD9F" w14:textId="77777777" w:rsidR="006D6750" w:rsidRPr="00565E6D" w:rsidRDefault="006D6750" w:rsidP="002C2588">
            <w:pPr>
              <w:jc w:val="both"/>
              <w:rPr>
                <w:rFonts w:asciiTheme="minorHAnsi" w:hAnsiTheme="minorHAnsi" w:cstheme="minorHAnsi"/>
              </w:rPr>
            </w:pPr>
            <w:r>
              <w:rPr>
                <w:rFonts w:asciiTheme="minorHAnsi" w:hAnsiTheme="minorHAnsi"/>
              </w:rPr>
              <w:t>2. Jeigu licencijos savininkui žaidėjo nacionalinis registracijos numeris nėra žinomas, žaidėjo pavardė, vardas ir gimimo data.</w:t>
            </w:r>
          </w:p>
          <w:p w14:paraId="798400C1" w14:textId="77777777" w:rsidR="006D6750" w:rsidRPr="00565E6D" w:rsidRDefault="006D6750" w:rsidP="00E703FB">
            <w:pPr>
              <w:jc w:val="both"/>
              <w:rPr>
                <w:rFonts w:asciiTheme="minorHAnsi" w:hAnsiTheme="minorHAnsi" w:cstheme="minorHAnsi"/>
                <w:lang w:val="fr-FR"/>
              </w:rPr>
            </w:pPr>
          </w:p>
        </w:tc>
      </w:tr>
      <w:tr w:rsidR="006D6750" w:rsidRPr="006D6750" w14:paraId="0823AAD0" w14:textId="77777777" w:rsidTr="006D6750">
        <w:tc>
          <w:tcPr>
            <w:tcW w:w="5000" w:type="pct"/>
          </w:tcPr>
          <w:p w14:paraId="76713262" w14:textId="77777777" w:rsidR="006D6750" w:rsidRPr="006D6750" w:rsidRDefault="006D6750" w:rsidP="00095C9F">
            <w:pPr>
              <w:jc w:val="both"/>
              <w:rPr>
                <w:rFonts w:asciiTheme="minorHAnsi" w:hAnsiTheme="minorHAnsi" w:cstheme="minorHAnsi"/>
                <w:lang w:val="fr-BE"/>
              </w:rPr>
            </w:pPr>
          </w:p>
        </w:tc>
      </w:tr>
      <w:tr w:rsidR="006D6750" w:rsidRPr="006D6750" w14:paraId="5CFE6D61" w14:textId="77777777" w:rsidTr="006D6750">
        <w:tc>
          <w:tcPr>
            <w:tcW w:w="5000" w:type="pct"/>
          </w:tcPr>
          <w:p w14:paraId="68D2BA3B" w14:textId="6BFA1CF3" w:rsidR="006D6750" w:rsidRPr="004445F4" w:rsidRDefault="006D6750" w:rsidP="00DA1D75">
            <w:pPr>
              <w:jc w:val="both"/>
              <w:rPr>
                <w:rFonts w:asciiTheme="minorHAnsi" w:hAnsiTheme="minorHAnsi" w:cstheme="minorHAnsi"/>
              </w:rPr>
            </w:pPr>
            <w:r>
              <w:rPr>
                <w:rFonts w:asciiTheme="minorHAnsi" w:hAnsiTheme="minorHAnsi"/>
              </w:rPr>
              <w:t>Duomenys apie užregistruotas paskolas nepateikiami.</w:t>
            </w:r>
          </w:p>
        </w:tc>
      </w:tr>
      <w:tr w:rsidR="006D6750" w:rsidRPr="006D6750" w14:paraId="4E0E95DE" w14:textId="77777777" w:rsidTr="006D6750">
        <w:tc>
          <w:tcPr>
            <w:tcW w:w="5000" w:type="pct"/>
          </w:tcPr>
          <w:p w14:paraId="41571734" w14:textId="4521FA8F" w:rsidR="006D6750" w:rsidRPr="00565E6D" w:rsidRDefault="006D6750" w:rsidP="00095C9F">
            <w:pPr>
              <w:jc w:val="both"/>
              <w:rPr>
                <w:rFonts w:asciiTheme="minorHAnsi" w:hAnsiTheme="minorHAnsi" w:cstheme="minorHAnsi"/>
              </w:rPr>
            </w:pPr>
            <w:r>
              <w:rPr>
                <w:rFonts w:asciiTheme="minorHAnsi" w:hAnsiTheme="minorHAnsi"/>
              </w:rPr>
              <w:t>2 skirsnis Žaidėjo nacionalinis registracijos numeris naudojamas tik tam, kad būtų galima nustatyti, ar yra žinoma, kad žaidėjas nevykdo mokėjimo įsipareigojimų Centrinio kreditų asmenims registro byloje.</w:t>
            </w:r>
          </w:p>
          <w:p w14:paraId="75D3FE2F" w14:textId="77777777" w:rsidR="006D6750" w:rsidRPr="00565E6D" w:rsidRDefault="006D6750" w:rsidP="00DA1D75">
            <w:pPr>
              <w:jc w:val="both"/>
              <w:rPr>
                <w:rFonts w:asciiTheme="minorHAnsi" w:hAnsiTheme="minorHAnsi" w:cstheme="minorHAnsi"/>
                <w:lang w:val="fr-BE"/>
              </w:rPr>
            </w:pPr>
          </w:p>
        </w:tc>
      </w:tr>
      <w:tr w:rsidR="006D6750" w:rsidRPr="006D6750" w14:paraId="06070F40" w14:textId="77777777" w:rsidTr="006D6750">
        <w:tc>
          <w:tcPr>
            <w:tcW w:w="5000" w:type="pct"/>
          </w:tcPr>
          <w:p w14:paraId="4C79E482" w14:textId="28357319" w:rsidR="006D6750" w:rsidRPr="00565E6D" w:rsidRDefault="006D6750" w:rsidP="00DA1D75">
            <w:pPr>
              <w:jc w:val="both"/>
              <w:rPr>
                <w:rFonts w:asciiTheme="minorHAnsi" w:hAnsiTheme="minorHAnsi" w:cstheme="minorHAnsi"/>
              </w:rPr>
            </w:pPr>
            <w:r>
              <w:rPr>
                <w:rFonts w:asciiTheme="minorHAnsi" w:hAnsiTheme="minorHAnsi"/>
              </w:rPr>
              <w:t>Siekiant 2018 m. spalio 25 d. Karaliaus dekreto dėl azartinių lošimų ir lažybų naudojantis informacinės visuomenės paslaugomis vykdymo tvarkos 6 straipsnio 1 dalyje nurodytų tikslų Azartinių lošimų komisija turi teisę kaip paieškos kriterijų naudoti nacionalinį registracijos numerį Belgijos centriniame kreditų fiziniams asmenims registre.</w:t>
            </w:r>
          </w:p>
          <w:p w14:paraId="31254EEA" w14:textId="77777777" w:rsidR="006D6750" w:rsidRPr="00565E6D" w:rsidDel="008C4A7C" w:rsidRDefault="006D6750" w:rsidP="00DA1D75">
            <w:pPr>
              <w:jc w:val="both"/>
              <w:rPr>
                <w:rFonts w:asciiTheme="minorHAnsi" w:hAnsiTheme="minorHAnsi" w:cstheme="minorHAnsi"/>
                <w:lang w:val="fr-FR"/>
              </w:rPr>
            </w:pPr>
          </w:p>
        </w:tc>
      </w:tr>
      <w:tr w:rsidR="006D6750" w:rsidRPr="006D6750" w14:paraId="4E6B106E" w14:textId="77777777" w:rsidTr="006D6750">
        <w:tc>
          <w:tcPr>
            <w:tcW w:w="5000" w:type="pct"/>
          </w:tcPr>
          <w:p w14:paraId="0E222FC3" w14:textId="68E386F9" w:rsidR="006D6750" w:rsidRPr="00565E6D" w:rsidRDefault="006D6750" w:rsidP="00DA1D75">
            <w:pPr>
              <w:jc w:val="both"/>
              <w:rPr>
                <w:rFonts w:asciiTheme="minorHAnsi" w:hAnsiTheme="minorHAnsi" w:cstheme="minorHAnsi"/>
              </w:rPr>
            </w:pPr>
            <w:r>
              <w:rPr>
                <w:rFonts w:asciiTheme="minorHAnsi" w:hAnsiTheme="minorHAnsi"/>
              </w:rPr>
              <w:t>Kai azartinių lošimų komisijai pateikiamas prašymas padidinti azartinių lošimų limitą, A+, B+ arba F1+ klasės licencijų savininkai renka žaidėjo nacionalinį registracijos numerį ir jį praneša Azartinių lošimų komisijai.</w:t>
            </w:r>
          </w:p>
        </w:tc>
      </w:tr>
      <w:tr w:rsidR="006D6750" w:rsidRPr="006D6750" w14:paraId="05B3D863" w14:textId="77777777" w:rsidTr="006D6750">
        <w:tc>
          <w:tcPr>
            <w:tcW w:w="5000" w:type="pct"/>
          </w:tcPr>
          <w:p w14:paraId="2FFA6633" w14:textId="381C5FA6" w:rsidR="006D6750" w:rsidRPr="006D6750" w:rsidRDefault="006D6750" w:rsidP="00DA1D75">
            <w:pPr>
              <w:jc w:val="both"/>
              <w:rPr>
                <w:rFonts w:asciiTheme="minorHAnsi" w:hAnsiTheme="minorHAnsi" w:cstheme="minorHAnsi"/>
                <w:highlight w:val="yellow"/>
                <w:lang w:val="fr-BE"/>
              </w:rPr>
            </w:pPr>
          </w:p>
        </w:tc>
      </w:tr>
      <w:tr w:rsidR="006D6750" w:rsidRPr="004445F4" w14:paraId="52185598" w14:textId="77777777" w:rsidTr="006D6750">
        <w:tc>
          <w:tcPr>
            <w:tcW w:w="5000" w:type="pct"/>
          </w:tcPr>
          <w:p w14:paraId="1B4F08F6" w14:textId="7C9C1075" w:rsidR="006D6750" w:rsidRPr="00565E6D" w:rsidRDefault="006D6750" w:rsidP="00DA1D75">
            <w:pPr>
              <w:jc w:val="both"/>
              <w:rPr>
                <w:rFonts w:asciiTheme="minorHAnsi" w:hAnsiTheme="minorHAnsi" w:cstheme="minorHAnsi"/>
                <w:b/>
                <w:u w:val="single"/>
              </w:rPr>
            </w:pPr>
            <w:r>
              <w:rPr>
                <w:rFonts w:asciiTheme="minorHAnsi" w:hAnsiTheme="minorHAnsi"/>
                <w:b/>
                <w:u w:val="single"/>
              </w:rPr>
              <w:t>4 straipsnis</w:t>
            </w:r>
          </w:p>
          <w:p w14:paraId="51967E00" w14:textId="7A153995" w:rsidR="006D6750" w:rsidRPr="00565E6D" w:rsidRDefault="006D6750" w:rsidP="00DA1D75">
            <w:pPr>
              <w:jc w:val="both"/>
              <w:rPr>
                <w:rFonts w:asciiTheme="minorHAnsi" w:hAnsiTheme="minorHAnsi" w:cstheme="minorHAnsi"/>
                <w:b/>
                <w:u w:val="single"/>
                <w:lang w:val="fr-BE"/>
              </w:rPr>
            </w:pPr>
          </w:p>
        </w:tc>
      </w:tr>
      <w:tr w:rsidR="006D6750" w:rsidRPr="006D6750" w14:paraId="5D5145E8" w14:textId="77777777" w:rsidTr="006D6750">
        <w:tc>
          <w:tcPr>
            <w:tcW w:w="5000" w:type="pct"/>
          </w:tcPr>
          <w:p w14:paraId="7C17CA52" w14:textId="6F0995A7" w:rsidR="006D6750" w:rsidRPr="00565E6D" w:rsidRDefault="006D6750" w:rsidP="00DA1D75">
            <w:pPr>
              <w:jc w:val="both"/>
              <w:rPr>
                <w:rFonts w:asciiTheme="minorHAnsi" w:hAnsiTheme="minorHAnsi" w:cstheme="minorHAnsi"/>
              </w:rPr>
            </w:pPr>
            <w:r>
              <w:rPr>
                <w:rFonts w:asciiTheme="minorHAnsi" w:hAnsiTheme="minorHAnsi"/>
              </w:rPr>
              <w:t>Azartinių lošimų komisija saugo 4 straipsnyje nurodytą nacionalinį registracijos numerį arba žaidėjo identifikavimo duomenis tiek laiko, kiek reikia jos mėnesio tikrinimo užduočiai atlikti, jeigu leidimas padidinti azartinių lošimų limitą lieka galioti.</w:t>
            </w:r>
          </w:p>
          <w:p w14:paraId="41E8D6AC" w14:textId="77777777" w:rsidR="006D6750" w:rsidRPr="00565E6D" w:rsidRDefault="006D6750" w:rsidP="00DA1D75">
            <w:pPr>
              <w:jc w:val="both"/>
              <w:rPr>
                <w:rFonts w:asciiTheme="minorHAnsi" w:hAnsiTheme="minorHAnsi" w:cstheme="minorHAnsi"/>
                <w:b/>
                <w:u w:val="single"/>
                <w:lang w:val="fr-BE"/>
              </w:rPr>
            </w:pPr>
          </w:p>
        </w:tc>
      </w:tr>
      <w:tr w:rsidR="006D6750" w:rsidRPr="004445F4" w14:paraId="6DB980FD" w14:textId="77777777" w:rsidTr="006D6750">
        <w:tc>
          <w:tcPr>
            <w:tcW w:w="5000" w:type="pct"/>
          </w:tcPr>
          <w:p w14:paraId="0395A791" w14:textId="77777777" w:rsidR="006D6750" w:rsidRPr="00565E6D" w:rsidRDefault="006D6750" w:rsidP="0037255B">
            <w:pPr>
              <w:keepNext/>
              <w:jc w:val="both"/>
              <w:rPr>
                <w:rFonts w:asciiTheme="minorHAnsi" w:hAnsiTheme="minorHAnsi" w:cstheme="minorHAnsi"/>
                <w:b/>
                <w:u w:val="single"/>
              </w:rPr>
            </w:pPr>
            <w:r>
              <w:rPr>
                <w:rFonts w:asciiTheme="minorHAnsi" w:hAnsiTheme="minorHAnsi"/>
                <w:b/>
                <w:u w:val="single"/>
              </w:rPr>
              <w:lastRenderedPageBreak/>
              <w:t>5 straipsnis</w:t>
            </w:r>
          </w:p>
          <w:p w14:paraId="41AB2BF1" w14:textId="0655E699" w:rsidR="006D6750" w:rsidRPr="00565E6D" w:rsidRDefault="006D6750" w:rsidP="00DA1D75">
            <w:pPr>
              <w:jc w:val="both"/>
              <w:rPr>
                <w:rFonts w:asciiTheme="minorHAnsi" w:hAnsiTheme="minorHAnsi" w:cstheme="minorHAnsi"/>
                <w:b/>
                <w:u w:val="single"/>
                <w:lang w:val="fr-BE"/>
              </w:rPr>
            </w:pPr>
          </w:p>
        </w:tc>
      </w:tr>
      <w:tr w:rsidR="006D6750" w:rsidRPr="006D6750" w14:paraId="3468D20D" w14:textId="77777777" w:rsidTr="006D6750">
        <w:tc>
          <w:tcPr>
            <w:tcW w:w="5000" w:type="pct"/>
          </w:tcPr>
          <w:p w14:paraId="618F0761" w14:textId="56C6EFB9" w:rsidR="006D6750" w:rsidRPr="00565E6D" w:rsidRDefault="006D6750" w:rsidP="00DA1D75">
            <w:pPr>
              <w:jc w:val="both"/>
              <w:rPr>
                <w:rFonts w:asciiTheme="minorHAnsi" w:hAnsiTheme="minorHAnsi" w:cstheme="minorHAnsi"/>
              </w:rPr>
            </w:pPr>
            <w:r>
              <w:rPr>
                <w:rFonts w:asciiTheme="minorHAnsi" w:hAnsiTheme="minorHAnsi"/>
              </w:rPr>
              <w:t xml:space="preserve">1 skirsnis Azartinių lošimų komisija sukuria konsultacijų su Belgijos centrinio kreditų asmenims registru žurnalo failus. </w:t>
            </w:r>
          </w:p>
          <w:p w14:paraId="50470140" w14:textId="784796E1" w:rsidR="006D6750" w:rsidRPr="00565E6D" w:rsidRDefault="006D6750" w:rsidP="00DA1D75">
            <w:pPr>
              <w:jc w:val="both"/>
              <w:rPr>
                <w:rFonts w:asciiTheme="minorHAnsi" w:hAnsiTheme="minorHAnsi" w:cstheme="minorHAnsi"/>
                <w:lang w:val="fr-BE"/>
              </w:rPr>
            </w:pPr>
          </w:p>
        </w:tc>
      </w:tr>
      <w:tr w:rsidR="006D6750" w:rsidRPr="006D6750" w14:paraId="639284BB" w14:textId="77777777" w:rsidTr="006D6750">
        <w:tc>
          <w:tcPr>
            <w:tcW w:w="5000" w:type="pct"/>
          </w:tcPr>
          <w:p w14:paraId="683F7EA4" w14:textId="05AB456F" w:rsidR="006D6750" w:rsidRPr="00565E6D" w:rsidRDefault="006D6750" w:rsidP="00DA1D75">
            <w:pPr>
              <w:jc w:val="both"/>
              <w:rPr>
                <w:rFonts w:asciiTheme="minorHAnsi" w:hAnsiTheme="minorHAnsi" w:cstheme="minorHAnsi"/>
              </w:rPr>
            </w:pPr>
            <w:r>
              <w:rPr>
                <w:rFonts w:asciiTheme="minorHAnsi" w:hAnsiTheme="minorHAnsi"/>
              </w:rPr>
              <w:t>Šie konsultacijų žurnalo failai naudojami siekiant nustatyti:</w:t>
            </w:r>
          </w:p>
          <w:p w14:paraId="71096EB1" w14:textId="77777777" w:rsidR="006D6750" w:rsidRPr="00565E6D" w:rsidRDefault="006D6750" w:rsidP="00DA1D75">
            <w:pPr>
              <w:jc w:val="both"/>
              <w:rPr>
                <w:rFonts w:asciiTheme="minorHAnsi" w:hAnsiTheme="minorHAnsi" w:cstheme="minorHAnsi"/>
                <w:lang w:val="fr-BE"/>
              </w:rPr>
            </w:pPr>
          </w:p>
        </w:tc>
      </w:tr>
      <w:tr w:rsidR="006D6750" w:rsidRPr="006D6750" w14:paraId="3485DDC6" w14:textId="77777777" w:rsidTr="006D6750">
        <w:tc>
          <w:tcPr>
            <w:tcW w:w="5000" w:type="pct"/>
          </w:tcPr>
          <w:p w14:paraId="7D1CCAA9" w14:textId="26669351" w:rsidR="006D6750" w:rsidRPr="00565E6D" w:rsidRDefault="006D6750" w:rsidP="00DA1D75">
            <w:pPr>
              <w:jc w:val="both"/>
              <w:rPr>
                <w:rFonts w:asciiTheme="minorHAnsi" w:hAnsiTheme="minorHAnsi" w:cstheme="minorHAnsi"/>
              </w:rPr>
            </w:pPr>
            <w:r>
              <w:rPr>
                <w:rFonts w:asciiTheme="minorHAnsi" w:hAnsiTheme="minorHAnsi"/>
              </w:rPr>
              <w:t>1) konsultacijų datą ir laiką;</w:t>
            </w:r>
          </w:p>
          <w:p w14:paraId="69473C33" w14:textId="77777777" w:rsidR="006D6750" w:rsidRPr="00565E6D" w:rsidRDefault="006D6750" w:rsidP="00DA1D75">
            <w:pPr>
              <w:jc w:val="both"/>
              <w:rPr>
                <w:rFonts w:asciiTheme="minorHAnsi" w:hAnsiTheme="minorHAnsi" w:cstheme="minorHAnsi"/>
                <w:lang w:val="fr-BE"/>
              </w:rPr>
            </w:pPr>
          </w:p>
        </w:tc>
      </w:tr>
      <w:tr w:rsidR="006D6750" w:rsidRPr="006D6750" w14:paraId="2351AB13" w14:textId="77777777" w:rsidTr="006D6750">
        <w:tc>
          <w:tcPr>
            <w:tcW w:w="5000" w:type="pct"/>
          </w:tcPr>
          <w:p w14:paraId="72F1E742" w14:textId="358764DC" w:rsidR="006D6750" w:rsidRPr="00565E6D" w:rsidRDefault="006D6750" w:rsidP="00DA1D75">
            <w:pPr>
              <w:jc w:val="both"/>
              <w:rPr>
                <w:rFonts w:asciiTheme="minorHAnsi" w:hAnsiTheme="minorHAnsi" w:cstheme="minorHAnsi"/>
              </w:rPr>
            </w:pPr>
            <w:r>
              <w:rPr>
                <w:rFonts w:asciiTheme="minorHAnsi" w:hAnsiTheme="minorHAnsi"/>
              </w:rPr>
              <w:t>2) individualaus naudotojo tapatybę arba, jeigu ji nėra nustatyta, procesą ar sistemą, kurią naudojant užsitikrinta prieiga prie duomenų;</w:t>
            </w:r>
          </w:p>
          <w:p w14:paraId="42E9EAC8" w14:textId="77777777" w:rsidR="006D6750" w:rsidRPr="00565E6D" w:rsidRDefault="006D6750" w:rsidP="00DA1D75">
            <w:pPr>
              <w:jc w:val="both"/>
              <w:rPr>
                <w:rFonts w:asciiTheme="minorHAnsi" w:hAnsiTheme="minorHAnsi" w:cstheme="minorHAnsi"/>
                <w:lang w:val="fr-BE"/>
              </w:rPr>
            </w:pPr>
          </w:p>
        </w:tc>
      </w:tr>
      <w:tr w:rsidR="006D6750" w:rsidRPr="004445F4" w14:paraId="06ADDE02" w14:textId="77777777" w:rsidTr="006D6750">
        <w:tc>
          <w:tcPr>
            <w:tcW w:w="5000" w:type="pct"/>
          </w:tcPr>
          <w:p w14:paraId="13F39EBB" w14:textId="77777777" w:rsidR="006D6750" w:rsidRPr="00565E6D" w:rsidRDefault="006D6750" w:rsidP="00DA1D75">
            <w:pPr>
              <w:jc w:val="both"/>
              <w:rPr>
                <w:rFonts w:asciiTheme="minorHAnsi" w:hAnsiTheme="minorHAnsi" w:cstheme="minorHAnsi"/>
              </w:rPr>
            </w:pPr>
            <w:r>
              <w:rPr>
                <w:rFonts w:asciiTheme="minorHAnsi" w:hAnsiTheme="minorHAnsi"/>
              </w:rPr>
              <w:t xml:space="preserve">3) prašymo rūšį; </w:t>
            </w:r>
          </w:p>
          <w:p w14:paraId="749E7490" w14:textId="45D3BBAC" w:rsidR="006D6750" w:rsidRPr="00565E6D" w:rsidRDefault="006D6750" w:rsidP="00DA1D75">
            <w:pPr>
              <w:jc w:val="both"/>
              <w:rPr>
                <w:rFonts w:asciiTheme="minorHAnsi" w:hAnsiTheme="minorHAnsi" w:cstheme="minorHAnsi"/>
              </w:rPr>
            </w:pPr>
          </w:p>
        </w:tc>
      </w:tr>
      <w:tr w:rsidR="006D6750" w:rsidRPr="006D6750" w14:paraId="72FBC45E" w14:textId="77777777" w:rsidTr="006D6750">
        <w:tc>
          <w:tcPr>
            <w:tcW w:w="5000" w:type="pct"/>
          </w:tcPr>
          <w:p w14:paraId="7AFD0FE6" w14:textId="77777777" w:rsidR="006D6750" w:rsidRPr="00565E6D" w:rsidRDefault="006D6750" w:rsidP="00DA1D75">
            <w:pPr>
              <w:jc w:val="both"/>
              <w:rPr>
                <w:rFonts w:asciiTheme="minorHAnsi" w:hAnsiTheme="minorHAnsi" w:cstheme="minorHAnsi"/>
              </w:rPr>
            </w:pPr>
            <w:r>
              <w:rPr>
                <w:rFonts w:asciiTheme="minorHAnsi" w:hAnsiTheme="minorHAnsi"/>
              </w:rPr>
              <w:t>4. konsultacijos tikslą.</w:t>
            </w:r>
          </w:p>
          <w:p w14:paraId="061E65D0" w14:textId="77777777" w:rsidR="006D6750" w:rsidRPr="00565E6D" w:rsidRDefault="006D6750" w:rsidP="00DA1D75">
            <w:pPr>
              <w:jc w:val="both"/>
              <w:rPr>
                <w:rFonts w:asciiTheme="minorHAnsi" w:hAnsiTheme="minorHAnsi" w:cstheme="minorHAnsi"/>
                <w:lang w:val="fr-BE"/>
              </w:rPr>
            </w:pPr>
          </w:p>
        </w:tc>
      </w:tr>
      <w:tr w:rsidR="006D6750" w:rsidRPr="006D6750" w14:paraId="78BF45AE" w14:textId="77777777" w:rsidTr="006D6750">
        <w:tc>
          <w:tcPr>
            <w:tcW w:w="5000" w:type="pct"/>
          </w:tcPr>
          <w:p w14:paraId="31058F53" w14:textId="4F080699" w:rsidR="006D6750" w:rsidRPr="00565E6D" w:rsidRDefault="006D6750" w:rsidP="00DA1D75">
            <w:pPr>
              <w:jc w:val="both"/>
              <w:rPr>
                <w:rFonts w:asciiTheme="minorHAnsi" w:hAnsiTheme="minorHAnsi" w:cstheme="minorHAnsi"/>
              </w:rPr>
            </w:pPr>
            <w:r>
              <w:rPr>
                <w:rFonts w:asciiTheme="minorHAnsi" w:hAnsiTheme="minorHAnsi"/>
              </w:rPr>
              <w:t>2 skirsnis Belgijos nacionalinis bankas sukuria žurnalo failus siekiant nustatyti:</w:t>
            </w:r>
          </w:p>
          <w:p w14:paraId="31972E44" w14:textId="77777777" w:rsidR="006D6750" w:rsidRPr="00565E6D" w:rsidRDefault="006D6750" w:rsidP="00DA1D75">
            <w:pPr>
              <w:jc w:val="both"/>
              <w:rPr>
                <w:rFonts w:asciiTheme="minorHAnsi" w:hAnsiTheme="minorHAnsi" w:cstheme="minorHAnsi"/>
                <w:lang w:val="fr-BE"/>
              </w:rPr>
            </w:pPr>
          </w:p>
        </w:tc>
      </w:tr>
      <w:tr w:rsidR="006D6750" w:rsidRPr="006D6750" w14:paraId="1B061C40" w14:textId="77777777" w:rsidTr="006D6750">
        <w:tc>
          <w:tcPr>
            <w:tcW w:w="5000" w:type="pct"/>
          </w:tcPr>
          <w:p w14:paraId="7A3E5BA4" w14:textId="77777777" w:rsidR="006D6750" w:rsidRPr="00565E6D" w:rsidRDefault="006D6750" w:rsidP="00DA1D75">
            <w:pPr>
              <w:jc w:val="both"/>
              <w:rPr>
                <w:rFonts w:asciiTheme="minorHAnsi" w:hAnsiTheme="minorHAnsi" w:cstheme="minorHAnsi"/>
              </w:rPr>
            </w:pPr>
            <w:r>
              <w:rPr>
                <w:rFonts w:asciiTheme="minorHAnsi" w:hAnsiTheme="minorHAnsi"/>
              </w:rPr>
              <w:t xml:space="preserve">1) naudotojo, kuris susipažino su duomenimis arba kurie jam buvo perduoti, tapatybę, </w:t>
            </w:r>
          </w:p>
          <w:p w14:paraId="509228AE" w14:textId="77777777" w:rsidR="006D6750" w:rsidRPr="00565E6D" w:rsidRDefault="006D6750" w:rsidP="00DA1D75">
            <w:pPr>
              <w:jc w:val="both"/>
              <w:rPr>
                <w:rFonts w:asciiTheme="minorHAnsi" w:hAnsiTheme="minorHAnsi" w:cstheme="minorHAnsi"/>
                <w:lang w:val="fr-BE"/>
              </w:rPr>
            </w:pPr>
          </w:p>
        </w:tc>
      </w:tr>
      <w:tr w:rsidR="006D6750" w:rsidRPr="006D6750" w14:paraId="34CE527C" w14:textId="77777777" w:rsidTr="006D6750">
        <w:tc>
          <w:tcPr>
            <w:tcW w:w="5000" w:type="pct"/>
          </w:tcPr>
          <w:p w14:paraId="113C10DB" w14:textId="1DA7FFE8" w:rsidR="006D6750" w:rsidRPr="00565E6D" w:rsidRDefault="006D6750" w:rsidP="00DA1D75">
            <w:pPr>
              <w:jc w:val="both"/>
              <w:rPr>
                <w:rFonts w:asciiTheme="minorHAnsi" w:hAnsiTheme="minorHAnsi" w:cstheme="minorHAnsi"/>
              </w:rPr>
            </w:pPr>
            <w:r>
              <w:rPr>
                <w:rFonts w:asciiTheme="minorHAnsi" w:hAnsiTheme="minorHAnsi"/>
              </w:rPr>
              <w:t xml:space="preserve">2) pateikto prašymo rūšį; </w:t>
            </w:r>
          </w:p>
          <w:p w14:paraId="230E54E2" w14:textId="77777777" w:rsidR="006D6750" w:rsidRPr="00565E6D" w:rsidRDefault="006D6750" w:rsidP="00DA1D75">
            <w:pPr>
              <w:jc w:val="both"/>
              <w:rPr>
                <w:rFonts w:asciiTheme="minorHAnsi" w:hAnsiTheme="minorHAnsi" w:cstheme="minorHAnsi"/>
                <w:lang w:val="fr-BE"/>
              </w:rPr>
            </w:pPr>
          </w:p>
        </w:tc>
      </w:tr>
      <w:tr w:rsidR="006D6750" w:rsidRPr="006D6750" w14:paraId="26BFDCD2" w14:textId="77777777" w:rsidTr="006D6750">
        <w:tc>
          <w:tcPr>
            <w:tcW w:w="5000" w:type="pct"/>
          </w:tcPr>
          <w:p w14:paraId="21C90560" w14:textId="05DCFE55" w:rsidR="006D6750" w:rsidRPr="00565E6D" w:rsidRDefault="006D6750" w:rsidP="00DA1D75">
            <w:pPr>
              <w:jc w:val="both"/>
              <w:rPr>
                <w:rFonts w:asciiTheme="minorHAnsi" w:hAnsiTheme="minorHAnsi" w:cstheme="minorHAnsi"/>
              </w:rPr>
            </w:pPr>
            <w:r>
              <w:rPr>
                <w:rFonts w:asciiTheme="minorHAnsi" w:hAnsiTheme="minorHAnsi"/>
              </w:rPr>
              <w:t>3) konsultacijų arba pranešimo datą ir laiką.</w:t>
            </w:r>
          </w:p>
          <w:p w14:paraId="21F27E53" w14:textId="77777777" w:rsidR="006D6750" w:rsidRPr="00565E6D" w:rsidRDefault="006D6750" w:rsidP="00DA1D75">
            <w:pPr>
              <w:jc w:val="both"/>
              <w:rPr>
                <w:rFonts w:asciiTheme="minorHAnsi" w:hAnsiTheme="minorHAnsi" w:cstheme="minorHAnsi"/>
                <w:lang w:val="fr-BE"/>
              </w:rPr>
            </w:pPr>
          </w:p>
        </w:tc>
      </w:tr>
      <w:tr w:rsidR="006D6750" w:rsidRPr="006D6750" w14:paraId="51D67BDC" w14:textId="77777777" w:rsidTr="006D6750">
        <w:tc>
          <w:tcPr>
            <w:tcW w:w="5000" w:type="pct"/>
          </w:tcPr>
          <w:p w14:paraId="51489C91" w14:textId="0A15C3D8" w:rsidR="006D6750" w:rsidRPr="00565E6D" w:rsidRDefault="006D6750" w:rsidP="00DA1D75">
            <w:pPr>
              <w:jc w:val="both"/>
              <w:rPr>
                <w:rFonts w:asciiTheme="minorHAnsi" w:hAnsiTheme="minorHAnsi" w:cstheme="minorHAnsi"/>
              </w:rPr>
            </w:pPr>
            <w:r>
              <w:rPr>
                <w:rFonts w:asciiTheme="minorHAnsi" w:hAnsiTheme="minorHAnsi"/>
              </w:rPr>
              <w:t>3 skirsnis Azartinių lošimų komisija ir Belgijos nacionalinis bankas priima atitinkamas priemones siekiant užtikrinti žurnalo failų saugumą ir visų pirma užkirsti kelią neteisėtam tvarkymui ir užtikrintų tvarkomų duomenų vientisumą.</w:t>
            </w:r>
          </w:p>
          <w:p w14:paraId="3579A70D" w14:textId="61DC08C0" w:rsidR="006D6750" w:rsidRPr="00565E6D" w:rsidRDefault="006D6750" w:rsidP="00DA1D75">
            <w:pPr>
              <w:jc w:val="both"/>
              <w:rPr>
                <w:rFonts w:asciiTheme="minorHAnsi" w:hAnsiTheme="minorHAnsi" w:cstheme="minorHAnsi"/>
                <w:lang w:val="fr-BE"/>
              </w:rPr>
            </w:pPr>
          </w:p>
        </w:tc>
      </w:tr>
      <w:tr w:rsidR="006D6750" w:rsidRPr="006D6750" w14:paraId="4651C79C" w14:textId="77777777" w:rsidTr="006D6750">
        <w:tc>
          <w:tcPr>
            <w:tcW w:w="5000" w:type="pct"/>
          </w:tcPr>
          <w:p w14:paraId="286B980D" w14:textId="6605B038" w:rsidR="006D6750" w:rsidRPr="00565E6D" w:rsidRDefault="006D6750" w:rsidP="00DA1D75">
            <w:pPr>
              <w:jc w:val="both"/>
              <w:rPr>
                <w:rFonts w:asciiTheme="minorHAnsi" w:hAnsiTheme="minorHAnsi" w:cstheme="minorHAnsi"/>
              </w:rPr>
            </w:pPr>
            <w:r>
              <w:rPr>
                <w:rFonts w:asciiTheme="minorHAnsi" w:hAnsiTheme="minorHAnsi"/>
              </w:rPr>
              <w:t>Žurnalo failai laikomi dešimt metų nuo konsultacijos dienos.</w:t>
            </w:r>
          </w:p>
          <w:p w14:paraId="5AA2A87D" w14:textId="0E57A743" w:rsidR="006D6750" w:rsidRPr="00565E6D" w:rsidRDefault="006D6750" w:rsidP="00DA1D75">
            <w:pPr>
              <w:jc w:val="both"/>
              <w:rPr>
                <w:rFonts w:asciiTheme="minorHAnsi" w:hAnsiTheme="minorHAnsi" w:cstheme="minorHAnsi"/>
                <w:lang w:val="fr-BE"/>
              </w:rPr>
            </w:pPr>
          </w:p>
        </w:tc>
      </w:tr>
      <w:tr w:rsidR="006D6750" w:rsidRPr="006D6750" w14:paraId="699AD9F6" w14:textId="77777777" w:rsidTr="006D6750">
        <w:tc>
          <w:tcPr>
            <w:tcW w:w="5000" w:type="pct"/>
          </w:tcPr>
          <w:p w14:paraId="72B70189" w14:textId="5C07FF84" w:rsidR="006D6750" w:rsidRPr="00565E6D" w:rsidRDefault="006D6750" w:rsidP="00DA1D75">
            <w:pPr>
              <w:jc w:val="both"/>
              <w:rPr>
                <w:rFonts w:asciiTheme="minorHAnsi" w:hAnsiTheme="minorHAnsi" w:cstheme="minorHAnsi"/>
              </w:rPr>
            </w:pPr>
            <w:r>
              <w:rPr>
                <w:rFonts w:asciiTheme="minorHAnsi" w:hAnsiTheme="minorHAnsi"/>
              </w:rPr>
              <w:t>Azartinių lošimų komisijos žurnalo failai laikomi ir pateikiami duomenų apsaugos institucijai gavus pirmąjį prašymą.</w:t>
            </w:r>
          </w:p>
          <w:p w14:paraId="6977894F" w14:textId="4C8057D9" w:rsidR="006D6750" w:rsidRPr="00565E6D" w:rsidRDefault="006D6750" w:rsidP="00DA1D75">
            <w:pPr>
              <w:jc w:val="both"/>
              <w:rPr>
                <w:rFonts w:asciiTheme="minorHAnsi" w:hAnsiTheme="minorHAnsi" w:cstheme="minorHAnsi"/>
                <w:lang w:val="fr-BE"/>
              </w:rPr>
            </w:pPr>
          </w:p>
        </w:tc>
      </w:tr>
      <w:tr w:rsidR="006D6750" w:rsidRPr="004445F4" w14:paraId="1863A8A9" w14:textId="77777777" w:rsidTr="006D6750">
        <w:tc>
          <w:tcPr>
            <w:tcW w:w="5000" w:type="pct"/>
          </w:tcPr>
          <w:p w14:paraId="415B0A2E" w14:textId="6990C065" w:rsidR="006D6750" w:rsidRPr="00565E6D" w:rsidRDefault="006D6750" w:rsidP="00DA1D75">
            <w:pPr>
              <w:jc w:val="both"/>
              <w:rPr>
                <w:rFonts w:asciiTheme="minorHAnsi" w:hAnsiTheme="minorHAnsi" w:cstheme="minorHAnsi"/>
                <w:b/>
                <w:u w:val="single"/>
              </w:rPr>
            </w:pPr>
            <w:r>
              <w:rPr>
                <w:rFonts w:asciiTheme="minorHAnsi" w:hAnsiTheme="minorHAnsi"/>
                <w:b/>
                <w:u w:val="single"/>
              </w:rPr>
              <w:t>6 straipsnis</w:t>
            </w:r>
          </w:p>
          <w:p w14:paraId="565921D5" w14:textId="2FCF5E22" w:rsidR="006D6750" w:rsidRPr="00565E6D" w:rsidRDefault="006D6750" w:rsidP="00DA1D75">
            <w:pPr>
              <w:jc w:val="both"/>
              <w:rPr>
                <w:rFonts w:asciiTheme="minorHAnsi" w:hAnsiTheme="minorHAnsi" w:cstheme="minorHAnsi"/>
                <w:b/>
                <w:u w:val="single"/>
              </w:rPr>
            </w:pPr>
          </w:p>
        </w:tc>
      </w:tr>
      <w:tr w:rsidR="006D6750" w:rsidRPr="006D6750" w14:paraId="6D54AC83" w14:textId="77777777" w:rsidTr="006D6750">
        <w:tc>
          <w:tcPr>
            <w:tcW w:w="5000" w:type="pct"/>
          </w:tcPr>
          <w:p w14:paraId="7C3AD2B0" w14:textId="77777777" w:rsidR="006D6750" w:rsidRPr="00565E6D" w:rsidRDefault="006D6750" w:rsidP="00DA1D75">
            <w:pPr>
              <w:jc w:val="both"/>
              <w:rPr>
                <w:rFonts w:asciiTheme="minorHAnsi" w:hAnsiTheme="minorHAnsi" w:cstheme="minorHAnsi"/>
              </w:rPr>
            </w:pPr>
            <w:r>
              <w:rPr>
                <w:rFonts w:asciiTheme="minorHAnsi" w:hAnsiTheme="minorHAnsi"/>
              </w:rPr>
              <w:t xml:space="preserve">Azartinių lošimų komisijos sekretoriato atstovai, kuriems vykdant savo funkcijas būtina prieiga prie Belgijos centrinio kreditų registro fiziniams asmenims, gali susipažinti tik su informacija, kad žaidėjas nemoka, kaip apibrėžta Ekonominės teisės kodekso VII.148 straipsnyje, ir tik po to, kai autentiškumas patvirtinamas naudojant elektroninę tapatybės kortelę, susijusią su Lošimo komisijos taikymu arba su Belgijos nacionalinio banko taikymu. </w:t>
            </w:r>
          </w:p>
          <w:p w14:paraId="12174FEB" w14:textId="17B0FF32" w:rsidR="006D6750" w:rsidRPr="00565E6D" w:rsidRDefault="006D6750" w:rsidP="00DA1D75">
            <w:pPr>
              <w:jc w:val="both"/>
              <w:rPr>
                <w:rFonts w:asciiTheme="minorHAnsi" w:hAnsiTheme="minorHAnsi" w:cstheme="minorHAnsi"/>
                <w:lang w:val="fr-BE"/>
              </w:rPr>
            </w:pPr>
          </w:p>
        </w:tc>
      </w:tr>
      <w:tr w:rsidR="006D6750" w:rsidRPr="006D6750" w14:paraId="5A96940E" w14:textId="77777777" w:rsidTr="006D6750">
        <w:tc>
          <w:tcPr>
            <w:tcW w:w="5000" w:type="pct"/>
          </w:tcPr>
          <w:p w14:paraId="2A7F19B7" w14:textId="1DC7DE04" w:rsidR="006D6750" w:rsidRPr="00565E6D" w:rsidRDefault="006D6750" w:rsidP="00DA1D75">
            <w:pPr>
              <w:jc w:val="both"/>
              <w:rPr>
                <w:rFonts w:asciiTheme="minorHAnsi" w:hAnsiTheme="minorHAnsi" w:cstheme="minorHAnsi"/>
              </w:rPr>
            </w:pPr>
            <w:r>
              <w:rPr>
                <w:rFonts w:asciiTheme="minorHAnsi" w:hAnsiTheme="minorHAnsi"/>
              </w:rPr>
              <w:t>Gavusi pirmąjį prašymą Azartinių lošimų komisija Belgijos nacionaliniam bankui arba duomenų apsaugos institucijai nurodo savo darbuotojo, kuris susipažino su ankstesnėje pastraipoje nurodytais asmens duomenimis arba sužinojo apie juos, tapatybę.</w:t>
            </w:r>
          </w:p>
          <w:p w14:paraId="3BCFBC1A" w14:textId="77777777" w:rsidR="006D6750" w:rsidRPr="00565E6D" w:rsidRDefault="006D6750" w:rsidP="00DA1D75">
            <w:pPr>
              <w:jc w:val="both"/>
              <w:rPr>
                <w:rFonts w:asciiTheme="minorHAnsi" w:hAnsiTheme="minorHAnsi" w:cstheme="minorHAnsi"/>
                <w:lang w:val="fr-BE"/>
              </w:rPr>
            </w:pPr>
          </w:p>
        </w:tc>
      </w:tr>
      <w:tr w:rsidR="006D6750" w:rsidRPr="004445F4" w14:paraId="28CAA371" w14:textId="77777777" w:rsidTr="006D6750">
        <w:tc>
          <w:tcPr>
            <w:tcW w:w="5000" w:type="pct"/>
          </w:tcPr>
          <w:p w14:paraId="4C7BB0D4" w14:textId="76A6BBFF" w:rsidR="006D6750" w:rsidRPr="00565E6D" w:rsidRDefault="006D6750" w:rsidP="00DA1D75">
            <w:pPr>
              <w:jc w:val="both"/>
              <w:rPr>
                <w:rFonts w:asciiTheme="minorHAnsi" w:hAnsiTheme="minorHAnsi" w:cstheme="minorHAnsi"/>
                <w:b/>
                <w:u w:val="single"/>
              </w:rPr>
            </w:pPr>
            <w:r>
              <w:rPr>
                <w:rFonts w:asciiTheme="minorHAnsi" w:hAnsiTheme="minorHAnsi"/>
                <w:b/>
                <w:u w:val="single"/>
              </w:rPr>
              <w:t>7 straipsnis</w:t>
            </w:r>
          </w:p>
        </w:tc>
      </w:tr>
      <w:tr w:rsidR="006D6750" w:rsidRPr="006D6750" w14:paraId="23EAEED6" w14:textId="77777777" w:rsidTr="006D6750">
        <w:tc>
          <w:tcPr>
            <w:tcW w:w="5000" w:type="pct"/>
          </w:tcPr>
          <w:p w14:paraId="384E2120" w14:textId="2957531C" w:rsidR="006D6750" w:rsidRPr="00565E6D" w:rsidRDefault="000C3BA6" w:rsidP="00DA1D75">
            <w:pPr>
              <w:jc w:val="both"/>
              <w:rPr>
                <w:rFonts w:asciiTheme="minorHAnsi" w:hAnsiTheme="minorHAnsi" w:cstheme="minorHAnsi"/>
              </w:rPr>
            </w:pPr>
            <w:r>
              <w:rPr>
                <w:rFonts w:asciiTheme="minorHAnsi" w:hAnsiTheme="minorHAnsi"/>
              </w:rPr>
              <w:t xml:space="preserve">Azartinių lošimų komisija laiko asmens duomenis, su kuriais susipažino Nacionalinis Belgijos centrinis kreditų registras fiziniams asmenims, tiek ilgai, kiek būtina 2018 m. spalio 25 d. </w:t>
            </w:r>
            <w:r>
              <w:rPr>
                <w:rFonts w:asciiTheme="minorHAnsi" w:hAnsiTheme="minorHAnsi"/>
              </w:rPr>
              <w:lastRenderedPageBreak/>
              <w:t>Karaliaus dekreto dėl azartinių lošimų ir lažybų naudojantis informacinės visuomenės paslaugomis 6 straipsnio 1 dalyje nurodytoms užduotims atlikti.</w:t>
            </w:r>
          </w:p>
          <w:p w14:paraId="288CDA19" w14:textId="77777777" w:rsidR="006D6750" w:rsidRPr="00565E6D" w:rsidRDefault="006D6750" w:rsidP="00DA1D75">
            <w:pPr>
              <w:jc w:val="both"/>
              <w:rPr>
                <w:rFonts w:asciiTheme="minorHAnsi" w:hAnsiTheme="minorHAnsi" w:cstheme="minorHAnsi"/>
                <w:lang w:val="fr-BE"/>
              </w:rPr>
            </w:pPr>
          </w:p>
        </w:tc>
      </w:tr>
      <w:tr w:rsidR="006D6750" w:rsidRPr="004445F4" w14:paraId="540DE0BE" w14:textId="77777777" w:rsidTr="006D6750">
        <w:tc>
          <w:tcPr>
            <w:tcW w:w="5000" w:type="pct"/>
          </w:tcPr>
          <w:p w14:paraId="70C9ACE2" w14:textId="5B452C20" w:rsidR="006D6750" w:rsidRPr="004445F4" w:rsidRDefault="006D6750" w:rsidP="00DA1D75">
            <w:pPr>
              <w:jc w:val="both"/>
              <w:rPr>
                <w:rFonts w:asciiTheme="minorHAnsi" w:hAnsiTheme="minorHAnsi" w:cstheme="minorHAnsi"/>
                <w:b/>
                <w:u w:val="single"/>
              </w:rPr>
            </w:pPr>
            <w:r>
              <w:rPr>
                <w:rFonts w:asciiTheme="minorHAnsi" w:hAnsiTheme="minorHAnsi"/>
                <w:b/>
                <w:u w:val="single"/>
              </w:rPr>
              <w:lastRenderedPageBreak/>
              <w:t>8 straipsnis</w:t>
            </w:r>
          </w:p>
          <w:p w14:paraId="5F80FDB1" w14:textId="77777777" w:rsidR="006D6750" w:rsidRPr="004445F4" w:rsidRDefault="006D6750" w:rsidP="00DA1D75">
            <w:pPr>
              <w:jc w:val="both"/>
              <w:rPr>
                <w:rFonts w:asciiTheme="minorHAnsi" w:hAnsiTheme="minorHAnsi" w:cstheme="minorHAnsi"/>
                <w:b/>
                <w:u w:val="single"/>
                <w:lang w:val="nl-BE"/>
              </w:rPr>
            </w:pPr>
          </w:p>
        </w:tc>
      </w:tr>
      <w:tr w:rsidR="006D6750" w:rsidRPr="006D6750" w14:paraId="69FE29A4" w14:textId="77777777" w:rsidTr="006D6750">
        <w:trPr>
          <w:trHeight w:val="931"/>
        </w:trPr>
        <w:tc>
          <w:tcPr>
            <w:tcW w:w="5000" w:type="pct"/>
          </w:tcPr>
          <w:p w14:paraId="69FE29A0" w14:textId="3B6A9E30" w:rsidR="006D6750" w:rsidRPr="004445F4" w:rsidRDefault="006D6750" w:rsidP="00DA1D75">
            <w:pPr>
              <w:jc w:val="both"/>
              <w:rPr>
                <w:rFonts w:asciiTheme="minorHAnsi" w:hAnsiTheme="minorHAnsi" w:cstheme="minorHAnsi"/>
              </w:rPr>
            </w:pPr>
            <w:r>
              <w:rPr>
                <w:rFonts w:asciiTheme="minorHAnsi" w:hAnsiTheme="minorHAnsi"/>
              </w:rPr>
              <w:t>Visos konsultacijų su Nacionaliniu Belgijos centriniu kreditų fiziniams asmenims registru išlaidos padengiamos iš Azartinių lošimų komisijos lėšų, kaip nurodyta 1999 m. gegužės 7 d. Įstatymo dėl azartinių lošimų, lažybų, lošimų įstaigų ir lošėjų apsaugos 19 straipsnio 2 dalyje.</w:t>
            </w:r>
          </w:p>
        </w:tc>
      </w:tr>
      <w:tr w:rsidR="006D6750" w:rsidRPr="006D6750" w14:paraId="2689BF07" w14:textId="77777777" w:rsidTr="006D6750">
        <w:tc>
          <w:tcPr>
            <w:tcW w:w="5000" w:type="pct"/>
          </w:tcPr>
          <w:p w14:paraId="3C762D43" w14:textId="57105C2C" w:rsidR="006D6750" w:rsidRPr="004445F4" w:rsidRDefault="006D6750" w:rsidP="00DA1D75">
            <w:pPr>
              <w:jc w:val="both"/>
              <w:rPr>
                <w:rFonts w:asciiTheme="minorHAnsi" w:hAnsiTheme="minorHAnsi" w:cstheme="minorHAnsi"/>
                <w:b/>
              </w:rPr>
            </w:pPr>
            <w:r>
              <w:br w:type="page"/>
            </w:r>
            <w:r>
              <w:br w:type="page"/>
            </w:r>
            <w:r>
              <w:rPr>
                <w:rFonts w:asciiTheme="minorHAnsi" w:hAnsiTheme="minorHAnsi"/>
                <w:b/>
              </w:rPr>
              <w:t>II SKYRIUS. 2018 m. spalio 25 d. Karaliaus dekreto dėl azartinių lošimų ir lažybų naudojantis informacinės visuomenės paslaugomis vykdymo tvarkos pakeitimai</w:t>
            </w:r>
          </w:p>
          <w:p w14:paraId="4FF11E25" w14:textId="3BB6C610" w:rsidR="006D6750" w:rsidRPr="004445F4" w:rsidRDefault="006D6750" w:rsidP="00DA1D75">
            <w:pPr>
              <w:jc w:val="both"/>
              <w:rPr>
                <w:rFonts w:asciiTheme="minorHAnsi" w:hAnsiTheme="minorHAnsi" w:cstheme="minorHAnsi"/>
                <w:b/>
                <w:lang w:val="fr-BE"/>
              </w:rPr>
            </w:pPr>
          </w:p>
        </w:tc>
      </w:tr>
      <w:tr w:rsidR="006D6750" w:rsidRPr="004445F4" w14:paraId="2DB84B4E" w14:textId="77777777" w:rsidTr="006D6750">
        <w:tc>
          <w:tcPr>
            <w:tcW w:w="5000" w:type="pct"/>
            <w:shd w:val="clear" w:color="auto" w:fill="auto"/>
          </w:tcPr>
          <w:p w14:paraId="2A91C65F" w14:textId="5875BAAD" w:rsidR="006D6750" w:rsidRPr="004445F4" w:rsidRDefault="006D6750" w:rsidP="00DA1D75">
            <w:pPr>
              <w:jc w:val="both"/>
              <w:rPr>
                <w:rFonts w:asciiTheme="minorHAnsi" w:hAnsiTheme="minorHAnsi" w:cstheme="minorHAnsi"/>
                <w:b/>
                <w:u w:val="single"/>
              </w:rPr>
            </w:pPr>
            <w:r>
              <w:rPr>
                <w:rFonts w:asciiTheme="minorHAnsi" w:hAnsiTheme="minorHAnsi"/>
                <w:b/>
                <w:u w:val="single"/>
              </w:rPr>
              <w:t>9 straipsnis</w:t>
            </w:r>
          </w:p>
          <w:p w14:paraId="602390EC" w14:textId="77777777" w:rsidR="006D6750" w:rsidRPr="004445F4" w:rsidRDefault="006D6750" w:rsidP="00DA1D75">
            <w:pPr>
              <w:jc w:val="both"/>
              <w:rPr>
                <w:rFonts w:asciiTheme="minorHAnsi" w:hAnsiTheme="minorHAnsi" w:cstheme="minorHAnsi"/>
                <w:b/>
              </w:rPr>
            </w:pPr>
          </w:p>
        </w:tc>
      </w:tr>
      <w:tr w:rsidR="006D6750" w:rsidRPr="006D6750" w14:paraId="30578FAD" w14:textId="77777777" w:rsidTr="006D6750">
        <w:tc>
          <w:tcPr>
            <w:tcW w:w="5000" w:type="pct"/>
          </w:tcPr>
          <w:p w14:paraId="5EDE13F6" w14:textId="372F3ABF" w:rsidR="006D6750" w:rsidRPr="004445F4" w:rsidRDefault="006D6750" w:rsidP="00DA1D75">
            <w:pPr>
              <w:jc w:val="both"/>
              <w:rPr>
                <w:rFonts w:asciiTheme="minorHAnsi" w:hAnsiTheme="minorHAnsi" w:cstheme="minorHAnsi"/>
              </w:rPr>
            </w:pPr>
            <w:r>
              <w:rPr>
                <w:rFonts w:asciiTheme="minorHAnsi" w:hAnsiTheme="minorHAnsi"/>
              </w:rPr>
              <w:t>2018 m. spalio 25 d. Karaliaus dekreto dėl azartinių lošimų ir lažybų naudojantis informacinės visuomenės paslaugomis vykdymo tvarkos 6 straipsnio 1 dalies 1 punkto a papunktyje skaičius „500“ pakeičiamas skaičiumi „200“, o žodžiai „visuose dalyvavusiuose azartiniuose lošimuose ir lažybose“ panaikinami. </w:t>
            </w:r>
          </w:p>
          <w:p w14:paraId="5793F906" w14:textId="77777777" w:rsidR="006D6750" w:rsidRPr="004445F4" w:rsidRDefault="006D6750" w:rsidP="00DA1D75">
            <w:pPr>
              <w:jc w:val="both"/>
              <w:rPr>
                <w:rFonts w:asciiTheme="minorHAnsi" w:hAnsiTheme="minorHAnsi" w:cstheme="minorHAnsi"/>
                <w:lang w:val="fr-BE"/>
              </w:rPr>
            </w:pPr>
          </w:p>
        </w:tc>
      </w:tr>
      <w:tr w:rsidR="006D6750" w:rsidRPr="004445F4" w14:paraId="173956E5" w14:textId="77777777" w:rsidTr="006D6750">
        <w:tc>
          <w:tcPr>
            <w:tcW w:w="5000" w:type="pct"/>
          </w:tcPr>
          <w:p w14:paraId="72129D27" w14:textId="77777777" w:rsidR="006D6750" w:rsidRDefault="006D6750" w:rsidP="00DA1D75">
            <w:pPr>
              <w:jc w:val="both"/>
              <w:rPr>
                <w:rFonts w:asciiTheme="minorHAnsi" w:hAnsiTheme="minorHAnsi"/>
                <w:b/>
              </w:rPr>
            </w:pPr>
            <w:r>
              <w:rPr>
                <w:rFonts w:asciiTheme="minorHAnsi" w:hAnsiTheme="minorHAnsi"/>
                <w:b/>
              </w:rPr>
              <w:t>III SKYRIUS. Baigiamosios nuostatos</w:t>
            </w:r>
          </w:p>
          <w:p w14:paraId="69C1A6D2" w14:textId="430ADE7F" w:rsidR="008E3CEE" w:rsidRPr="00662139" w:rsidRDefault="008E3CEE" w:rsidP="00DA1D75">
            <w:pPr>
              <w:jc w:val="both"/>
              <w:rPr>
                <w:rFonts w:asciiTheme="minorHAnsi" w:hAnsiTheme="minorHAnsi" w:cstheme="minorHAnsi"/>
                <w:b/>
              </w:rPr>
            </w:pPr>
          </w:p>
        </w:tc>
      </w:tr>
      <w:tr w:rsidR="006D6750" w:rsidRPr="004445F4" w14:paraId="716A353B" w14:textId="77777777" w:rsidTr="006D6750">
        <w:tc>
          <w:tcPr>
            <w:tcW w:w="5000" w:type="pct"/>
          </w:tcPr>
          <w:p w14:paraId="402DEB68" w14:textId="5F595E7C" w:rsidR="006D6750" w:rsidRPr="004445F4" w:rsidRDefault="006D6750" w:rsidP="00DA1D75">
            <w:pPr>
              <w:pStyle w:val="Heading5"/>
              <w:rPr>
                <w:rFonts w:asciiTheme="minorHAnsi" w:hAnsiTheme="minorHAnsi" w:cstheme="minorHAnsi"/>
                <w:bCs w:val="0"/>
              </w:rPr>
            </w:pPr>
            <w:r>
              <w:rPr>
                <w:rFonts w:asciiTheme="minorHAnsi" w:hAnsiTheme="minorHAnsi"/>
              </w:rPr>
              <w:t>10 straipsnis</w:t>
            </w:r>
          </w:p>
          <w:p w14:paraId="599DE083" w14:textId="52ED68A5" w:rsidR="006D6750" w:rsidRPr="004445F4" w:rsidRDefault="006D6750" w:rsidP="00DA1D75">
            <w:pPr>
              <w:jc w:val="both"/>
              <w:rPr>
                <w:rFonts w:asciiTheme="minorHAnsi" w:hAnsiTheme="minorHAnsi" w:cstheme="minorHAnsi"/>
                <w:lang w:val="nl-BE"/>
              </w:rPr>
            </w:pPr>
          </w:p>
        </w:tc>
      </w:tr>
      <w:tr w:rsidR="006D6750" w:rsidRPr="006D6750" w14:paraId="71A52779" w14:textId="77777777" w:rsidTr="006D6750">
        <w:tc>
          <w:tcPr>
            <w:tcW w:w="5000" w:type="pct"/>
          </w:tcPr>
          <w:p w14:paraId="6775501A" w14:textId="7EC5D350" w:rsidR="006D6750" w:rsidRPr="004445F4" w:rsidRDefault="006D6750" w:rsidP="00DA1D75">
            <w:pPr>
              <w:jc w:val="both"/>
              <w:rPr>
                <w:rFonts w:asciiTheme="minorHAnsi" w:hAnsiTheme="minorHAnsi" w:cstheme="minorHAnsi"/>
              </w:rPr>
            </w:pPr>
            <w:r>
              <w:rPr>
                <w:rFonts w:asciiTheme="minorHAnsi" w:hAnsiTheme="minorHAnsi"/>
              </w:rPr>
              <w:t>To paties dekreto 6 straipsnio 1 dalies 1 punkto b papunktis įsigalioja tą pačią dieną kaip ir šis dekretas.</w:t>
            </w:r>
          </w:p>
          <w:p w14:paraId="34E92F27" w14:textId="1B347A62" w:rsidR="006D6750" w:rsidRPr="004445F4" w:rsidRDefault="006D6750" w:rsidP="00DA1D75">
            <w:pPr>
              <w:jc w:val="both"/>
              <w:rPr>
                <w:rFonts w:asciiTheme="minorHAnsi" w:hAnsiTheme="minorHAnsi" w:cstheme="minorHAnsi"/>
                <w:lang w:val="fr-BE"/>
              </w:rPr>
            </w:pPr>
          </w:p>
        </w:tc>
      </w:tr>
      <w:tr w:rsidR="006D6750" w:rsidRPr="006D6750" w14:paraId="13416A97" w14:textId="77777777" w:rsidTr="006D6750">
        <w:tc>
          <w:tcPr>
            <w:tcW w:w="5000" w:type="pct"/>
          </w:tcPr>
          <w:p w14:paraId="58B8A783" w14:textId="77777777" w:rsidR="006D6750" w:rsidRPr="006D6750" w:rsidRDefault="006D6750" w:rsidP="00DA1D75">
            <w:pPr>
              <w:jc w:val="both"/>
              <w:rPr>
                <w:rFonts w:asciiTheme="minorHAnsi" w:hAnsiTheme="minorHAnsi" w:cstheme="minorHAnsi"/>
                <w:lang w:val="fr-BE"/>
              </w:rPr>
            </w:pPr>
          </w:p>
        </w:tc>
      </w:tr>
      <w:tr w:rsidR="006D6750" w:rsidRPr="004445F4" w14:paraId="22606D6A" w14:textId="77777777" w:rsidTr="006D6750">
        <w:tc>
          <w:tcPr>
            <w:tcW w:w="5000" w:type="pct"/>
          </w:tcPr>
          <w:p w14:paraId="7627436F" w14:textId="1DCE687A" w:rsidR="006D6750" w:rsidRPr="004445F4" w:rsidRDefault="006D6750" w:rsidP="00DA1D75">
            <w:pPr>
              <w:rPr>
                <w:rFonts w:asciiTheme="minorHAnsi" w:hAnsiTheme="minorHAnsi" w:cstheme="minorHAnsi"/>
                <w:b/>
                <w:u w:val="single"/>
              </w:rPr>
            </w:pPr>
            <w:r>
              <w:rPr>
                <w:rFonts w:asciiTheme="minorHAnsi" w:hAnsiTheme="minorHAnsi"/>
                <w:b/>
                <w:u w:val="single"/>
              </w:rPr>
              <w:t>11 straipsnis</w:t>
            </w:r>
          </w:p>
          <w:p w14:paraId="6DD94AEA" w14:textId="77777777" w:rsidR="006D6750" w:rsidRPr="004445F4" w:rsidRDefault="006D6750" w:rsidP="00DA1D75">
            <w:pPr>
              <w:jc w:val="both"/>
              <w:rPr>
                <w:rFonts w:asciiTheme="minorHAnsi" w:hAnsiTheme="minorHAnsi" w:cstheme="minorHAnsi"/>
                <w:b/>
                <w:lang w:val="nl-BE"/>
              </w:rPr>
            </w:pPr>
          </w:p>
        </w:tc>
      </w:tr>
      <w:tr w:rsidR="006D6750" w:rsidRPr="006D6750" w14:paraId="78314E93" w14:textId="77777777" w:rsidTr="006D6750">
        <w:tc>
          <w:tcPr>
            <w:tcW w:w="5000" w:type="pct"/>
          </w:tcPr>
          <w:p w14:paraId="4AAD5746" w14:textId="5A018DD1" w:rsidR="006D6750" w:rsidRPr="00E22F2C" w:rsidRDefault="006D6750" w:rsidP="00E22F2C">
            <w:pPr>
              <w:jc w:val="both"/>
              <w:rPr>
                <w:rFonts w:asciiTheme="minorHAnsi" w:hAnsiTheme="minorHAnsi" w:cstheme="minorHAnsi"/>
              </w:rPr>
            </w:pPr>
            <w:r>
              <w:br w:type="page"/>
            </w:r>
            <w:r>
              <w:rPr>
                <w:rFonts w:asciiTheme="minorHAnsi" w:hAnsiTheme="minorHAnsi"/>
              </w:rPr>
              <w:t>Ūkio ministras, finansų ministras, visuomenės sveikatos ministras, teisingumo ministras, vidaus reikalų ministras ir nacionalinės loterijos valstybės sekretorius yra atsakingi už šio dekreto įgyvendinimą.</w:t>
            </w:r>
          </w:p>
        </w:tc>
      </w:tr>
    </w:tbl>
    <w:p w14:paraId="69FE2AA1" w14:textId="77777777" w:rsidR="009E6A62" w:rsidRPr="006D6750" w:rsidRDefault="009E6A62">
      <w:pPr>
        <w:jc w:val="center"/>
        <w:rPr>
          <w:lang w:val="fr-BE"/>
        </w:rPr>
      </w:pPr>
    </w:p>
    <w:sectPr w:rsidR="009E6A62" w:rsidRPr="006D6750">
      <w:headerReference w:type="default" r:id="rId13"/>
      <w:pgSz w:w="11906" w:h="16838"/>
      <w:pgMar w:top="1417" w:right="1417" w:bottom="1260"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52513" w14:textId="77777777" w:rsidR="00650DCE" w:rsidRDefault="00650DCE">
      <w:r>
        <w:separator/>
      </w:r>
    </w:p>
  </w:endnote>
  <w:endnote w:type="continuationSeparator" w:id="0">
    <w:p w14:paraId="097706EE" w14:textId="77777777" w:rsidR="00650DCE" w:rsidRDefault="0065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F289" w14:textId="77777777" w:rsidR="00650DCE" w:rsidRDefault="00650DCE">
      <w:r>
        <w:separator/>
      </w:r>
    </w:p>
  </w:footnote>
  <w:footnote w:type="continuationSeparator" w:id="0">
    <w:p w14:paraId="13BAFD4D" w14:textId="77777777" w:rsidR="00650DCE" w:rsidRDefault="00650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2AA6" w14:textId="37B9B95D" w:rsidR="007F6935" w:rsidRDefault="007F693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3CEE">
      <w:rPr>
        <w:rStyle w:val="PageNumber"/>
      </w:rPr>
      <w:t>4</w:t>
    </w:r>
    <w:r>
      <w:rPr>
        <w:rStyle w:val="PageNumber"/>
      </w:rPr>
      <w:fldChar w:fldCharType="end"/>
    </w:r>
  </w:p>
  <w:p w14:paraId="69FE2AA7" w14:textId="77777777" w:rsidR="007F6935" w:rsidRDefault="007F6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244"/>
    <w:multiLevelType w:val="hybridMultilevel"/>
    <w:tmpl w:val="A9A0F3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272A7"/>
    <w:multiLevelType w:val="hybridMultilevel"/>
    <w:tmpl w:val="77E647E4"/>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11191E51"/>
    <w:multiLevelType w:val="hybridMultilevel"/>
    <w:tmpl w:val="EDB4D196"/>
    <w:lvl w:ilvl="0" w:tplc="FFFFFFFF">
      <w:start w:val="7"/>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154F3AC8"/>
    <w:multiLevelType w:val="multilevel"/>
    <w:tmpl w:val="C0480F0E"/>
    <w:lvl w:ilvl="0">
      <w:start w:val="1"/>
      <w:numFmt w:val="decimal"/>
      <w:pStyle w:val="Standaardwetgeving"/>
      <w:lvlText w:val="Artikel %1."/>
      <w:lvlJc w:val="left"/>
      <w:pPr>
        <w:ind w:left="360" w:hanging="360"/>
      </w:pPr>
      <w:rPr>
        <w:b/>
        <w:bCs/>
      </w:rPr>
    </w:lvl>
    <w:lvl w:ilvl="1">
      <w:start w:val="1"/>
      <w:numFmt w:val="decimal"/>
      <w:lvlText w:val="%2°"/>
      <w:lvlJc w:val="left"/>
      <w:pPr>
        <w:ind w:left="720" w:hanging="360"/>
      </w:pPr>
    </w:lvl>
    <w:lvl w:ilvl="2">
      <w:start w:val="1"/>
      <w:numFmt w:val="bullet"/>
      <w:lvlText w:val="-"/>
      <w:lvlJc w:val="left"/>
      <w:pPr>
        <w:ind w:left="1080" w:hanging="360"/>
      </w:pPr>
      <w:rPr>
        <w:rFonts w:ascii="Courier New" w:hAnsi="Courier New" w:cs="Times New Roman" w:hint="default"/>
      </w:rPr>
    </w:lvl>
    <w:lvl w:ilvl="3">
      <w:start w:val="1"/>
      <w:numFmt w:val="bullet"/>
      <w:lvlText w:val="-"/>
      <w:lvlJc w:val="left"/>
      <w:pPr>
        <w:ind w:left="1440" w:hanging="360"/>
      </w:pPr>
      <w:rPr>
        <w:rFonts w:ascii="Courier New" w:hAnsi="Courier New" w:cs="Times New Roman"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2743DB"/>
    <w:multiLevelType w:val="hybridMultilevel"/>
    <w:tmpl w:val="A3AC90A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95970AD"/>
    <w:multiLevelType w:val="hybridMultilevel"/>
    <w:tmpl w:val="ED58066A"/>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2F267360"/>
    <w:multiLevelType w:val="hybridMultilevel"/>
    <w:tmpl w:val="93629396"/>
    <w:lvl w:ilvl="0" w:tplc="FFFFFFFF">
      <w:start w:val="1"/>
      <w:numFmt w:val="lowerLetter"/>
      <w:lvlText w:val="%1)"/>
      <w:lvlJc w:val="left"/>
      <w:pPr>
        <w:tabs>
          <w:tab w:val="num" w:pos="1776"/>
        </w:tabs>
        <w:ind w:left="1776" w:hanging="360"/>
      </w:pPr>
      <w:rPr>
        <w:rFonts w:hint="default"/>
      </w:rPr>
    </w:lvl>
    <w:lvl w:ilvl="1" w:tplc="FFFFFFFF">
      <w:start w:val="1"/>
      <w:numFmt w:val="lowerLetter"/>
      <w:lvlText w:val="%2."/>
      <w:lvlJc w:val="left"/>
      <w:pPr>
        <w:tabs>
          <w:tab w:val="num" w:pos="2496"/>
        </w:tabs>
        <w:ind w:left="2496" w:hanging="360"/>
      </w:pPr>
    </w:lvl>
    <w:lvl w:ilvl="2" w:tplc="FFFFFFFF">
      <w:start w:val="1"/>
      <w:numFmt w:val="lowerRoman"/>
      <w:lvlText w:val="%3."/>
      <w:lvlJc w:val="right"/>
      <w:pPr>
        <w:tabs>
          <w:tab w:val="num" w:pos="3216"/>
        </w:tabs>
        <w:ind w:left="3216" w:hanging="18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7" w15:restartNumberingAfterBreak="0">
    <w:nsid w:val="2FF62C53"/>
    <w:multiLevelType w:val="multilevel"/>
    <w:tmpl w:val="482A01E4"/>
    <w:lvl w:ilvl="0">
      <w:start w:val="1"/>
      <w:numFmt w:val="upperRoman"/>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177BD9"/>
    <w:multiLevelType w:val="hybridMultilevel"/>
    <w:tmpl w:val="DC36C6E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E8205B8"/>
    <w:multiLevelType w:val="hybridMultilevel"/>
    <w:tmpl w:val="6B4A89C0"/>
    <w:lvl w:ilvl="0" w:tplc="FFFFFFFF">
      <w:start w:val="830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4F0A79BE"/>
    <w:multiLevelType w:val="hybridMultilevel"/>
    <w:tmpl w:val="0D8C0CB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E5E05A7"/>
    <w:multiLevelType w:val="multilevel"/>
    <w:tmpl w:val="040C000F"/>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751E90"/>
    <w:multiLevelType w:val="hybridMultilevel"/>
    <w:tmpl w:val="025E4C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9"/>
  </w:num>
  <w:num w:numId="6">
    <w:abstractNumId w:val="2"/>
  </w:num>
  <w:num w:numId="7">
    <w:abstractNumId w:val="11"/>
  </w:num>
  <w:num w:numId="8">
    <w:abstractNumId w:val="4"/>
  </w:num>
  <w:num w:numId="9">
    <w:abstractNumId w:val="8"/>
  </w:num>
  <w:num w:numId="10">
    <w:abstractNumId w:val="12"/>
  </w:num>
  <w:num w:numId="11">
    <w:abstractNumId w:val="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7E"/>
    <w:rsid w:val="000003D1"/>
    <w:rsid w:val="00002835"/>
    <w:rsid w:val="00007073"/>
    <w:rsid w:val="0000749B"/>
    <w:rsid w:val="000143DB"/>
    <w:rsid w:val="00015057"/>
    <w:rsid w:val="00016219"/>
    <w:rsid w:val="0001647E"/>
    <w:rsid w:val="0003531C"/>
    <w:rsid w:val="00036E33"/>
    <w:rsid w:val="00043739"/>
    <w:rsid w:val="00051A63"/>
    <w:rsid w:val="00057875"/>
    <w:rsid w:val="00060BF6"/>
    <w:rsid w:val="00060C6C"/>
    <w:rsid w:val="00062249"/>
    <w:rsid w:val="00063311"/>
    <w:rsid w:val="00063C53"/>
    <w:rsid w:val="0006676B"/>
    <w:rsid w:val="000703E2"/>
    <w:rsid w:val="0007249A"/>
    <w:rsid w:val="000763CF"/>
    <w:rsid w:val="000801B8"/>
    <w:rsid w:val="00080386"/>
    <w:rsid w:val="00082EA8"/>
    <w:rsid w:val="00095C9F"/>
    <w:rsid w:val="000A0778"/>
    <w:rsid w:val="000A07A9"/>
    <w:rsid w:val="000A083D"/>
    <w:rsid w:val="000A57BF"/>
    <w:rsid w:val="000A78C4"/>
    <w:rsid w:val="000B20C2"/>
    <w:rsid w:val="000B3C51"/>
    <w:rsid w:val="000C3BA6"/>
    <w:rsid w:val="000D05B5"/>
    <w:rsid w:val="000D2A49"/>
    <w:rsid w:val="000D2FC0"/>
    <w:rsid w:val="000E3B6E"/>
    <w:rsid w:val="000E40C6"/>
    <w:rsid w:val="000F46AC"/>
    <w:rsid w:val="000F7935"/>
    <w:rsid w:val="000F7D13"/>
    <w:rsid w:val="00124F6F"/>
    <w:rsid w:val="00127893"/>
    <w:rsid w:val="00133273"/>
    <w:rsid w:val="0013697C"/>
    <w:rsid w:val="0014038C"/>
    <w:rsid w:val="00146732"/>
    <w:rsid w:val="00147DD1"/>
    <w:rsid w:val="0015179D"/>
    <w:rsid w:val="0015323E"/>
    <w:rsid w:val="00154246"/>
    <w:rsid w:val="0015505F"/>
    <w:rsid w:val="0016343E"/>
    <w:rsid w:val="00164A61"/>
    <w:rsid w:val="00165C7E"/>
    <w:rsid w:val="0016681B"/>
    <w:rsid w:val="00175C13"/>
    <w:rsid w:val="00176436"/>
    <w:rsid w:val="0017714F"/>
    <w:rsid w:val="001826CA"/>
    <w:rsid w:val="00185735"/>
    <w:rsid w:val="00191261"/>
    <w:rsid w:val="00191A53"/>
    <w:rsid w:val="00193913"/>
    <w:rsid w:val="001A562F"/>
    <w:rsid w:val="001B2F1C"/>
    <w:rsid w:val="001B578F"/>
    <w:rsid w:val="001C3B01"/>
    <w:rsid w:val="001C4980"/>
    <w:rsid w:val="001C4C9D"/>
    <w:rsid w:val="001C559B"/>
    <w:rsid w:val="001D664B"/>
    <w:rsid w:val="001D6C4E"/>
    <w:rsid w:val="001E0139"/>
    <w:rsid w:val="001E07DD"/>
    <w:rsid w:val="001E0BBA"/>
    <w:rsid w:val="001E558B"/>
    <w:rsid w:val="001E5B6E"/>
    <w:rsid w:val="001E6E7A"/>
    <w:rsid w:val="001F2095"/>
    <w:rsid w:val="001F2441"/>
    <w:rsid w:val="001F2FC1"/>
    <w:rsid w:val="001F3A65"/>
    <w:rsid w:val="001F6307"/>
    <w:rsid w:val="002019D1"/>
    <w:rsid w:val="0020730A"/>
    <w:rsid w:val="00214D78"/>
    <w:rsid w:val="0022227E"/>
    <w:rsid w:val="002235D5"/>
    <w:rsid w:val="00224B07"/>
    <w:rsid w:val="00235F1A"/>
    <w:rsid w:val="00237DAB"/>
    <w:rsid w:val="00242968"/>
    <w:rsid w:val="0025387F"/>
    <w:rsid w:val="00254EEE"/>
    <w:rsid w:val="00266523"/>
    <w:rsid w:val="00275E8B"/>
    <w:rsid w:val="00281DE8"/>
    <w:rsid w:val="00284CA5"/>
    <w:rsid w:val="002872F9"/>
    <w:rsid w:val="00287A4A"/>
    <w:rsid w:val="00294083"/>
    <w:rsid w:val="002959EA"/>
    <w:rsid w:val="002A414C"/>
    <w:rsid w:val="002A707A"/>
    <w:rsid w:val="002B0E32"/>
    <w:rsid w:val="002B1C2F"/>
    <w:rsid w:val="002B1EDB"/>
    <w:rsid w:val="002C1C6B"/>
    <w:rsid w:val="002C1DF8"/>
    <w:rsid w:val="002C24AB"/>
    <w:rsid w:val="002C2588"/>
    <w:rsid w:val="002C557B"/>
    <w:rsid w:val="002C7B8C"/>
    <w:rsid w:val="002D1DB3"/>
    <w:rsid w:val="002D2ACB"/>
    <w:rsid w:val="002D4452"/>
    <w:rsid w:val="002D4B2B"/>
    <w:rsid w:val="002D4E42"/>
    <w:rsid w:val="002E124C"/>
    <w:rsid w:val="002E2992"/>
    <w:rsid w:val="002E40F6"/>
    <w:rsid w:val="002F151D"/>
    <w:rsid w:val="002F27C0"/>
    <w:rsid w:val="002F32DD"/>
    <w:rsid w:val="002F4F59"/>
    <w:rsid w:val="002F6D7F"/>
    <w:rsid w:val="002F718A"/>
    <w:rsid w:val="0030693E"/>
    <w:rsid w:val="00312CFB"/>
    <w:rsid w:val="00314F67"/>
    <w:rsid w:val="00315AB5"/>
    <w:rsid w:val="0032178B"/>
    <w:rsid w:val="00325DD6"/>
    <w:rsid w:val="003335C7"/>
    <w:rsid w:val="00333E5F"/>
    <w:rsid w:val="003340FD"/>
    <w:rsid w:val="00334107"/>
    <w:rsid w:val="003361C4"/>
    <w:rsid w:val="0033707E"/>
    <w:rsid w:val="00340156"/>
    <w:rsid w:val="0034480A"/>
    <w:rsid w:val="00356B0C"/>
    <w:rsid w:val="00356BB8"/>
    <w:rsid w:val="00357825"/>
    <w:rsid w:val="0036032F"/>
    <w:rsid w:val="00360998"/>
    <w:rsid w:val="003611EA"/>
    <w:rsid w:val="00361783"/>
    <w:rsid w:val="003635C6"/>
    <w:rsid w:val="00370DC2"/>
    <w:rsid w:val="0037255B"/>
    <w:rsid w:val="0037563A"/>
    <w:rsid w:val="00381387"/>
    <w:rsid w:val="00382B71"/>
    <w:rsid w:val="0038764B"/>
    <w:rsid w:val="00390BE1"/>
    <w:rsid w:val="00391004"/>
    <w:rsid w:val="003920BC"/>
    <w:rsid w:val="003928C6"/>
    <w:rsid w:val="003935C7"/>
    <w:rsid w:val="003A2DD6"/>
    <w:rsid w:val="003A303F"/>
    <w:rsid w:val="003A3A7C"/>
    <w:rsid w:val="003A443E"/>
    <w:rsid w:val="003A461C"/>
    <w:rsid w:val="003A6163"/>
    <w:rsid w:val="003A6F18"/>
    <w:rsid w:val="003C1257"/>
    <w:rsid w:val="003C26FD"/>
    <w:rsid w:val="003C45DC"/>
    <w:rsid w:val="003C71AD"/>
    <w:rsid w:val="003D06CE"/>
    <w:rsid w:val="003D5A5B"/>
    <w:rsid w:val="003D6B80"/>
    <w:rsid w:val="003D751F"/>
    <w:rsid w:val="003E449F"/>
    <w:rsid w:val="003F4F69"/>
    <w:rsid w:val="003F516C"/>
    <w:rsid w:val="003F6043"/>
    <w:rsid w:val="003F6B70"/>
    <w:rsid w:val="00400E4D"/>
    <w:rsid w:val="004027A1"/>
    <w:rsid w:val="00402AF0"/>
    <w:rsid w:val="00405A1A"/>
    <w:rsid w:val="00406691"/>
    <w:rsid w:val="00410955"/>
    <w:rsid w:val="0042100D"/>
    <w:rsid w:val="00433507"/>
    <w:rsid w:val="00437C30"/>
    <w:rsid w:val="00443167"/>
    <w:rsid w:val="004445F4"/>
    <w:rsid w:val="00447A8D"/>
    <w:rsid w:val="004531DC"/>
    <w:rsid w:val="0045596F"/>
    <w:rsid w:val="00455B4F"/>
    <w:rsid w:val="0045629A"/>
    <w:rsid w:val="0046479A"/>
    <w:rsid w:val="00475015"/>
    <w:rsid w:val="00476B62"/>
    <w:rsid w:val="004818C7"/>
    <w:rsid w:val="00484CCB"/>
    <w:rsid w:val="00485206"/>
    <w:rsid w:val="0049053C"/>
    <w:rsid w:val="0049115B"/>
    <w:rsid w:val="00491D38"/>
    <w:rsid w:val="00495C07"/>
    <w:rsid w:val="00495D61"/>
    <w:rsid w:val="0049604B"/>
    <w:rsid w:val="004A333B"/>
    <w:rsid w:val="004A6FE1"/>
    <w:rsid w:val="004B51A1"/>
    <w:rsid w:val="004B5AE7"/>
    <w:rsid w:val="004B7330"/>
    <w:rsid w:val="004C287B"/>
    <w:rsid w:val="004C55EA"/>
    <w:rsid w:val="004C5C05"/>
    <w:rsid w:val="004C63DF"/>
    <w:rsid w:val="004D11F4"/>
    <w:rsid w:val="004D12BF"/>
    <w:rsid w:val="004D3ED4"/>
    <w:rsid w:val="004D4DF4"/>
    <w:rsid w:val="004D64FC"/>
    <w:rsid w:val="004D7B97"/>
    <w:rsid w:val="004F2087"/>
    <w:rsid w:val="004F3BF4"/>
    <w:rsid w:val="0050288A"/>
    <w:rsid w:val="0050697D"/>
    <w:rsid w:val="00506C86"/>
    <w:rsid w:val="00513FCC"/>
    <w:rsid w:val="00524734"/>
    <w:rsid w:val="005253F9"/>
    <w:rsid w:val="0052608A"/>
    <w:rsid w:val="00526C98"/>
    <w:rsid w:val="00535122"/>
    <w:rsid w:val="00544722"/>
    <w:rsid w:val="005448AD"/>
    <w:rsid w:val="00546773"/>
    <w:rsid w:val="005504C1"/>
    <w:rsid w:val="0055267E"/>
    <w:rsid w:val="00552D09"/>
    <w:rsid w:val="005552FB"/>
    <w:rsid w:val="005575BD"/>
    <w:rsid w:val="00557D4A"/>
    <w:rsid w:val="00561B0A"/>
    <w:rsid w:val="00562FB4"/>
    <w:rsid w:val="00563A07"/>
    <w:rsid w:val="005647F9"/>
    <w:rsid w:val="00565E6D"/>
    <w:rsid w:val="00573EE3"/>
    <w:rsid w:val="00581089"/>
    <w:rsid w:val="005832DA"/>
    <w:rsid w:val="00583F66"/>
    <w:rsid w:val="00587AC9"/>
    <w:rsid w:val="0059126F"/>
    <w:rsid w:val="005918EA"/>
    <w:rsid w:val="0059242B"/>
    <w:rsid w:val="0059320D"/>
    <w:rsid w:val="00595153"/>
    <w:rsid w:val="005A0F62"/>
    <w:rsid w:val="005A1411"/>
    <w:rsid w:val="005A761B"/>
    <w:rsid w:val="005A7C84"/>
    <w:rsid w:val="005B0D02"/>
    <w:rsid w:val="005B3601"/>
    <w:rsid w:val="005C1801"/>
    <w:rsid w:val="005C1D1C"/>
    <w:rsid w:val="005C35E1"/>
    <w:rsid w:val="005C492D"/>
    <w:rsid w:val="005C55A0"/>
    <w:rsid w:val="005C74DA"/>
    <w:rsid w:val="005D003E"/>
    <w:rsid w:val="005D0783"/>
    <w:rsid w:val="005D0FA5"/>
    <w:rsid w:val="005E0B80"/>
    <w:rsid w:val="005E63AA"/>
    <w:rsid w:val="005F0EFF"/>
    <w:rsid w:val="005F69E1"/>
    <w:rsid w:val="006063FD"/>
    <w:rsid w:val="00613E29"/>
    <w:rsid w:val="00617461"/>
    <w:rsid w:val="00633757"/>
    <w:rsid w:val="00633EB0"/>
    <w:rsid w:val="006403EF"/>
    <w:rsid w:val="00640A49"/>
    <w:rsid w:val="00640B80"/>
    <w:rsid w:val="006473ED"/>
    <w:rsid w:val="00650DCE"/>
    <w:rsid w:val="00662139"/>
    <w:rsid w:val="00664BBB"/>
    <w:rsid w:val="006661E8"/>
    <w:rsid w:val="00671B4D"/>
    <w:rsid w:val="00681EA3"/>
    <w:rsid w:val="00685794"/>
    <w:rsid w:val="006941F6"/>
    <w:rsid w:val="00695BBC"/>
    <w:rsid w:val="006A30B9"/>
    <w:rsid w:val="006A4747"/>
    <w:rsid w:val="006B556D"/>
    <w:rsid w:val="006B7536"/>
    <w:rsid w:val="006B763D"/>
    <w:rsid w:val="006C3787"/>
    <w:rsid w:val="006D1600"/>
    <w:rsid w:val="006D560F"/>
    <w:rsid w:val="006D6750"/>
    <w:rsid w:val="006D682F"/>
    <w:rsid w:val="006E34E3"/>
    <w:rsid w:val="006E55A0"/>
    <w:rsid w:val="006E5C82"/>
    <w:rsid w:val="006E7A44"/>
    <w:rsid w:val="006F209C"/>
    <w:rsid w:val="006F22D5"/>
    <w:rsid w:val="006F24B2"/>
    <w:rsid w:val="006F45E5"/>
    <w:rsid w:val="006F795B"/>
    <w:rsid w:val="0070647E"/>
    <w:rsid w:val="007112FB"/>
    <w:rsid w:val="00712F67"/>
    <w:rsid w:val="00714C89"/>
    <w:rsid w:val="00715988"/>
    <w:rsid w:val="00717284"/>
    <w:rsid w:val="00720619"/>
    <w:rsid w:val="007248C3"/>
    <w:rsid w:val="007269CA"/>
    <w:rsid w:val="00727460"/>
    <w:rsid w:val="00731983"/>
    <w:rsid w:val="00731DAE"/>
    <w:rsid w:val="007377C9"/>
    <w:rsid w:val="007507D1"/>
    <w:rsid w:val="00760635"/>
    <w:rsid w:val="00760DAD"/>
    <w:rsid w:val="00765214"/>
    <w:rsid w:val="00773B38"/>
    <w:rsid w:val="0077462D"/>
    <w:rsid w:val="007757B0"/>
    <w:rsid w:val="00785AF2"/>
    <w:rsid w:val="00794807"/>
    <w:rsid w:val="00794F9A"/>
    <w:rsid w:val="00797C84"/>
    <w:rsid w:val="00797FFB"/>
    <w:rsid w:val="007A393A"/>
    <w:rsid w:val="007A69F1"/>
    <w:rsid w:val="007B1A21"/>
    <w:rsid w:val="007B4F9E"/>
    <w:rsid w:val="007B6912"/>
    <w:rsid w:val="007C6B4F"/>
    <w:rsid w:val="007D38DE"/>
    <w:rsid w:val="007D5FEB"/>
    <w:rsid w:val="007E313D"/>
    <w:rsid w:val="007E553F"/>
    <w:rsid w:val="007E6F84"/>
    <w:rsid w:val="007F153D"/>
    <w:rsid w:val="007F1E2F"/>
    <w:rsid w:val="007F5C40"/>
    <w:rsid w:val="007F6935"/>
    <w:rsid w:val="007F6EEC"/>
    <w:rsid w:val="00803C5B"/>
    <w:rsid w:val="0081171B"/>
    <w:rsid w:val="00814045"/>
    <w:rsid w:val="00814C44"/>
    <w:rsid w:val="008234F2"/>
    <w:rsid w:val="00823C1E"/>
    <w:rsid w:val="00825483"/>
    <w:rsid w:val="00827A35"/>
    <w:rsid w:val="008321C0"/>
    <w:rsid w:val="00832C4C"/>
    <w:rsid w:val="00832E80"/>
    <w:rsid w:val="00833399"/>
    <w:rsid w:val="008360A6"/>
    <w:rsid w:val="00840E67"/>
    <w:rsid w:val="00841347"/>
    <w:rsid w:val="00841D3A"/>
    <w:rsid w:val="00843E6D"/>
    <w:rsid w:val="0084730F"/>
    <w:rsid w:val="008474A7"/>
    <w:rsid w:val="00852042"/>
    <w:rsid w:val="0085257D"/>
    <w:rsid w:val="008526BA"/>
    <w:rsid w:val="0085576F"/>
    <w:rsid w:val="00861DD8"/>
    <w:rsid w:val="00863174"/>
    <w:rsid w:val="00864590"/>
    <w:rsid w:val="008652CB"/>
    <w:rsid w:val="00865F1E"/>
    <w:rsid w:val="008661E8"/>
    <w:rsid w:val="008676CF"/>
    <w:rsid w:val="00876BA1"/>
    <w:rsid w:val="00884F2D"/>
    <w:rsid w:val="0089312C"/>
    <w:rsid w:val="00897C0D"/>
    <w:rsid w:val="008A0A18"/>
    <w:rsid w:val="008A668F"/>
    <w:rsid w:val="008B1A4F"/>
    <w:rsid w:val="008B221B"/>
    <w:rsid w:val="008B4C02"/>
    <w:rsid w:val="008C4A7C"/>
    <w:rsid w:val="008C572A"/>
    <w:rsid w:val="008D0B74"/>
    <w:rsid w:val="008D2F43"/>
    <w:rsid w:val="008D78EE"/>
    <w:rsid w:val="008E1263"/>
    <w:rsid w:val="008E28F1"/>
    <w:rsid w:val="008E3CEE"/>
    <w:rsid w:val="008E4784"/>
    <w:rsid w:val="008E620A"/>
    <w:rsid w:val="008E6514"/>
    <w:rsid w:val="008E6A43"/>
    <w:rsid w:val="008E74A8"/>
    <w:rsid w:val="008F2BBC"/>
    <w:rsid w:val="008F3AD9"/>
    <w:rsid w:val="008F60F2"/>
    <w:rsid w:val="0090322B"/>
    <w:rsid w:val="00907B06"/>
    <w:rsid w:val="00910B6D"/>
    <w:rsid w:val="009125C0"/>
    <w:rsid w:val="009148A0"/>
    <w:rsid w:val="009155B4"/>
    <w:rsid w:val="00922D32"/>
    <w:rsid w:val="009272CB"/>
    <w:rsid w:val="009272D1"/>
    <w:rsid w:val="00927F91"/>
    <w:rsid w:val="009308CF"/>
    <w:rsid w:val="00936F46"/>
    <w:rsid w:val="0093778E"/>
    <w:rsid w:val="00937FB3"/>
    <w:rsid w:val="00951343"/>
    <w:rsid w:val="00951524"/>
    <w:rsid w:val="00952FE9"/>
    <w:rsid w:val="0095489D"/>
    <w:rsid w:val="00954A9C"/>
    <w:rsid w:val="009656C3"/>
    <w:rsid w:val="00965BF2"/>
    <w:rsid w:val="00972A6D"/>
    <w:rsid w:val="00973D0B"/>
    <w:rsid w:val="00975F66"/>
    <w:rsid w:val="009807DA"/>
    <w:rsid w:val="0098108A"/>
    <w:rsid w:val="00981CA4"/>
    <w:rsid w:val="0099433E"/>
    <w:rsid w:val="00995845"/>
    <w:rsid w:val="00997FC4"/>
    <w:rsid w:val="009A0F77"/>
    <w:rsid w:val="009A23C0"/>
    <w:rsid w:val="009A328E"/>
    <w:rsid w:val="009A544C"/>
    <w:rsid w:val="009A6AFC"/>
    <w:rsid w:val="009B16D6"/>
    <w:rsid w:val="009C31AA"/>
    <w:rsid w:val="009C3DC3"/>
    <w:rsid w:val="009D19A8"/>
    <w:rsid w:val="009D3B91"/>
    <w:rsid w:val="009E21FB"/>
    <w:rsid w:val="009E2446"/>
    <w:rsid w:val="009E2456"/>
    <w:rsid w:val="009E56BD"/>
    <w:rsid w:val="009E6A62"/>
    <w:rsid w:val="009E703F"/>
    <w:rsid w:val="009F5395"/>
    <w:rsid w:val="00A00D4D"/>
    <w:rsid w:val="00A047EE"/>
    <w:rsid w:val="00A146A0"/>
    <w:rsid w:val="00A203CA"/>
    <w:rsid w:val="00A30223"/>
    <w:rsid w:val="00A3025B"/>
    <w:rsid w:val="00A31645"/>
    <w:rsid w:val="00A35544"/>
    <w:rsid w:val="00A369D9"/>
    <w:rsid w:val="00A37EC3"/>
    <w:rsid w:val="00A40957"/>
    <w:rsid w:val="00A425FC"/>
    <w:rsid w:val="00A42C83"/>
    <w:rsid w:val="00A43BDD"/>
    <w:rsid w:val="00A4517B"/>
    <w:rsid w:val="00A4691C"/>
    <w:rsid w:val="00A46FA0"/>
    <w:rsid w:val="00A509C2"/>
    <w:rsid w:val="00A53C81"/>
    <w:rsid w:val="00A60132"/>
    <w:rsid w:val="00A62244"/>
    <w:rsid w:val="00A633E1"/>
    <w:rsid w:val="00A638B0"/>
    <w:rsid w:val="00A6494B"/>
    <w:rsid w:val="00A71B42"/>
    <w:rsid w:val="00A72C53"/>
    <w:rsid w:val="00A72F21"/>
    <w:rsid w:val="00A8088E"/>
    <w:rsid w:val="00A8311E"/>
    <w:rsid w:val="00AA2C7F"/>
    <w:rsid w:val="00AA59B3"/>
    <w:rsid w:val="00AB12BC"/>
    <w:rsid w:val="00AB3422"/>
    <w:rsid w:val="00AB3D8F"/>
    <w:rsid w:val="00AB7E03"/>
    <w:rsid w:val="00AC4196"/>
    <w:rsid w:val="00AC4894"/>
    <w:rsid w:val="00AC7458"/>
    <w:rsid w:val="00AD1769"/>
    <w:rsid w:val="00AD59E6"/>
    <w:rsid w:val="00AE2ED2"/>
    <w:rsid w:val="00AE5087"/>
    <w:rsid w:val="00AE5101"/>
    <w:rsid w:val="00AE62BF"/>
    <w:rsid w:val="00AF08FF"/>
    <w:rsid w:val="00AF0CBA"/>
    <w:rsid w:val="00AF124F"/>
    <w:rsid w:val="00AF25F5"/>
    <w:rsid w:val="00B0046D"/>
    <w:rsid w:val="00B06482"/>
    <w:rsid w:val="00B11F78"/>
    <w:rsid w:val="00B15580"/>
    <w:rsid w:val="00B21506"/>
    <w:rsid w:val="00B22D88"/>
    <w:rsid w:val="00B23C04"/>
    <w:rsid w:val="00B50B6B"/>
    <w:rsid w:val="00B50BA6"/>
    <w:rsid w:val="00B528AB"/>
    <w:rsid w:val="00B538D3"/>
    <w:rsid w:val="00B57775"/>
    <w:rsid w:val="00B62955"/>
    <w:rsid w:val="00B64629"/>
    <w:rsid w:val="00B65443"/>
    <w:rsid w:val="00B66D1C"/>
    <w:rsid w:val="00B73016"/>
    <w:rsid w:val="00B733CC"/>
    <w:rsid w:val="00B805A3"/>
    <w:rsid w:val="00B83E9F"/>
    <w:rsid w:val="00B84F67"/>
    <w:rsid w:val="00B85FBC"/>
    <w:rsid w:val="00B86E09"/>
    <w:rsid w:val="00B91CED"/>
    <w:rsid w:val="00B9294A"/>
    <w:rsid w:val="00B93BB4"/>
    <w:rsid w:val="00B950BF"/>
    <w:rsid w:val="00B9742E"/>
    <w:rsid w:val="00BA1916"/>
    <w:rsid w:val="00BA294D"/>
    <w:rsid w:val="00BA532E"/>
    <w:rsid w:val="00BA764F"/>
    <w:rsid w:val="00BB267B"/>
    <w:rsid w:val="00BB49F4"/>
    <w:rsid w:val="00BB5732"/>
    <w:rsid w:val="00BB5BC4"/>
    <w:rsid w:val="00BC2E4A"/>
    <w:rsid w:val="00BC406B"/>
    <w:rsid w:val="00BC48AD"/>
    <w:rsid w:val="00BC52A3"/>
    <w:rsid w:val="00BD4979"/>
    <w:rsid w:val="00BE04FF"/>
    <w:rsid w:val="00BE1728"/>
    <w:rsid w:val="00BE2E03"/>
    <w:rsid w:val="00BE5EFE"/>
    <w:rsid w:val="00BF0331"/>
    <w:rsid w:val="00BF13A1"/>
    <w:rsid w:val="00BF3D13"/>
    <w:rsid w:val="00BF52C6"/>
    <w:rsid w:val="00BF5EB8"/>
    <w:rsid w:val="00BF7847"/>
    <w:rsid w:val="00C0207F"/>
    <w:rsid w:val="00C1059F"/>
    <w:rsid w:val="00C10E52"/>
    <w:rsid w:val="00C116EF"/>
    <w:rsid w:val="00C20C82"/>
    <w:rsid w:val="00C27258"/>
    <w:rsid w:val="00C32646"/>
    <w:rsid w:val="00C35CC6"/>
    <w:rsid w:val="00C36B52"/>
    <w:rsid w:val="00C434CE"/>
    <w:rsid w:val="00C450D3"/>
    <w:rsid w:val="00C605D0"/>
    <w:rsid w:val="00C61C01"/>
    <w:rsid w:val="00C625EF"/>
    <w:rsid w:val="00C67B61"/>
    <w:rsid w:val="00C67BE0"/>
    <w:rsid w:val="00C702DD"/>
    <w:rsid w:val="00C7147F"/>
    <w:rsid w:val="00C73C13"/>
    <w:rsid w:val="00C8019E"/>
    <w:rsid w:val="00C80D13"/>
    <w:rsid w:val="00C85902"/>
    <w:rsid w:val="00C923CB"/>
    <w:rsid w:val="00C94EB0"/>
    <w:rsid w:val="00C96472"/>
    <w:rsid w:val="00CA217B"/>
    <w:rsid w:val="00CA2C4A"/>
    <w:rsid w:val="00CA4F5E"/>
    <w:rsid w:val="00CB0098"/>
    <w:rsid w:val="00CB1E81"/>
    <w:rsid w:val="00CB38DE"/>
    <w:rsid w:val="00CB3D73"/>
    <w:rsid w:val="00CB77B5"/>
    <w:rsid w:val="00CC245A"/>
    <w:rsid w:val="00CD3EA1"/>
    <w:rsid w:val="00CD417F"/>
    <w:rsid w:val="00CD60C9"/>
    <w:rsid w:val="00CE187B"/>
    <w:rsid w:val="00CE430A"/>
    <w:rsid w:val="00CE5387"/>
    <w:rsid w:val="00D0077F"/>
    <w:rsid w:val="00D0172C"/>
    <w:rsid w:val="00D01FEA"/>
    <w:rsid w:val="00D02E65"/>
    <w:rsid w:val="00D05DB4"/>
    <w:rsid w:val="00D07A36"/>
    <w:rsid w:val="00D10942"/>
    <w:rsid w:val="00D13AB3"/>
    <w:rsid w:val="00D20014"/>
    <w:rsid w:val="00D20041"/>
    <w:rsid w:val="00D210B1"/>
    <w:rsid w:val="00D275FE"/>
    <w:rsid w:val="00D30829"/>
    <w:rsid w:val="00D31BCD"/>
    <w:rsid w:val="00D341D9"/>
    <w:rsid w:val="00D35753"/>
    <w:rsid w:val="00D35945"/>
    <w:rsid w:val="00D36A41"/>
    <w:rsid w:val="00D4117F"/>
    <w:rsid w:val="00D4285E"/>
    <w:rsid w:val="00D5196B"/>
    <w:rsid w:val="00D63BF6"/>
    <w:rsid w:val="00D64262"/>
    <w:rsid w:val="00D741A9"/>
    <w:rsid w:val="00D77A0A"/>
    <w:rsid w:val="00D85416"/>
    <w:rsid w:val="00D92970"/>
    <w:rsid w:val="00D9317B"/>
    <w:rsid w:val="00D95163"/>
    <w:rsid w:val="00D9658E"/>
    <w:rsid w:val="00D96F74"/>
    <w:rsid w:val="00DA00DC"/>
    <w:rsid w:val="00DA1D75"/>
    <w:rsid w:val="00DA34AE"/>
    <w:rsid w:val="00DB3A6C"/>
    <w:rsid w:val="00DC05D6"/>
    <w:rsid w:val="00DC6562"/>
    <w:rsid w:val="00DD05D8"/>
    <w:rsid w:val="00DD2823"/>
    <w:rsid w:val="00DD2E94"/>
    <w:rsid w:val="00DD2F87"/>
    <w:rsid w:val="00DD3B10"/>
    <w:rsid w:val="00DD5DD8"/>
    <w:rsid w:val="00DE0FC0"/>
    <w:rsid w:val="00DE21EC"/>
    <w:rsid w:val="00DE3C81"/>
    <w:rsid w:val="00DE7049"/>
    <w:rsid w:val="00DF01B8"/>
    <w:rsid w:val="00DF52C0"/>
    <w:rsid w:val="00E050B8"/>
    <w:rsid w:val="00E06571"/>
    <w:rsid w:val="00E123AE"/>
    <w:rsid w:val="00E1544C"/>
    <w:rsid w:val="00E22428"/>
    <w:rsid w:val="00E22F2C"/>
    <w:rsid w:val="00E31165"/>
    <w:rsid w:val="00E31729"/>
    <w:rsid w:val="00E368C4"/>
    <w:rsid w:val="00E401E4"/>
    <w:rsid w:val="00E4149C"/>
    <w:rsid w:val="00E43C76"/>
    <w:rsid w:val="00E45E18"/>
    <w:rsid w:val="00E51FC7"/>
    <w:rsid w:val="00E52731"/>
    <w:rsid w:val="00E54134"/>
    <w:rsid w:val="00E54EF4"/>
    <w:rsid w:val="00E57A59"/>
    <w:rsid w:val="00E62D01"/>
    <w:rsid w:val="00E703FB"/>
    <w:rsid w:val="00E70B72"/>
    <w:rsid w:val="00E737D7"/>
    <w:rsid w:val="00E804C2"/>
    <w:rsid w:val="00E80A42"/>
    <w:rsid w:val="00E82EA4"/>
    <w:rsid w:val="00E83522"/>
    <w:rsid w:val="00E86CE2"/>
    <w:rsid w:val="00E904E0"/>
    <w:rsid w:val="00E90A2A"/>
    <w:rsid w:val="00E92976"/>
    <w:rsid w:val="00E9405B"/>
    <w:rsid w:val="00EA66B6"/>
    <w:rsid w:val="00EA73C1"/>
    <w:rsid w:val="00EB13B3"/>
    <w:rsid w:val="00EC0121"/>
    <w:rsid w:val="00EC0A09"/>
    <w:rsid w:val="00EC1643"/>
    <w:rsid w:val="00EC30CB"/>
    <w:rsid w:val="00EC5713"/>
    <w:rsid w:val="00EC7394"/>
    <w:rsid w:val="00EC773E"/>
    <w:rsid w:val="00ED14E3"/>
    <w:rsid w:val="00ED2AC6"/>
    <w:rsid w:val="00ED44CA"/>
    <w:rsid w:val="00ED5EA7"/>
    <w:rsid w:val="00ED60A7"/>
    <w:rsid w:val="00ED66CA"/>
    <w:rsid w:val="00EE12D2"/>
    <w:rsid w:val="00EE4FAA"/>
    <w:rsid w:val="00EE5071"/>
    <w:rsid w:val="00EF0182"/>
    <w:rsid w:val="00EF4E24"/>
    <w:rsid w:val="00F00D67"/>
    <w:rsid w:val="00F0148F"/>
    <w:rsid w:val="00F01F55"/>
    <w:rsid w:val="00F02163"/>
    <w:rsid w:val="00F05465"/>
    <w:rsid w:val="00F05D42"/>
    <w:rsid w:val="00F06088"/>
    <w:rsid w:val="00F13009"/>
    <w:rsid w:val="00F13DEB"/>
    <w:rsid w:val="00F20D9C"/>
    <w:rsid w:val="00F21859"/>
    <w:rsid w:val="00F237D9"/>
    <w:rsid w:val="00F26A2C"/>
    <w:rsid w:val="00F2778A"/>
    <w:rsid w:val="00F27A9A"/>
    <w:rsid w:val="00F27CAC"/>
    <w:rsid w:val="00F3212F"/>
    <w:rsid w:val="00F32844"/>
    <w:rsid w:val="00F32FE1"/>
    <w:rsid w:val="00F33A5D"/>
    <w:rsid w:val="00F34BDB"/>
    <w:rsid w:val="00F4189A"/>
    <w:rsid w:val="00F43ACA"/>
    <w:rsid w:val="00F528B1"/>
    <w:rsid w:val="00F53516"/>
    <w:rsid w:val="00F547E7"/>
    <w:rsid w:val="00F56B6A"/>
    <w:rsid w:val="00F62498"/>
    <w:rsid w:val="00F70EE8"/>
    <w:rsid w:val="00F73C35"/>
    <w:rsid w:val="00F86DAB"/>
    <w:rsid w:val="00F91625"/>
    <w:rsid w:val="00F92EFF"/>
    <w:rsid w:val="00F96A55"/>
    <w:rsid w:val="00F97EE9"/>
    <w:rsid w:val="00FA56E3"/>
    <w:rsid w:val="00FA5EAA"/>
    <w:rsid w:val="00FA60B9"/>
    <w:rsid w:val="00FA7B88"/>
    <w:rsid w:val="00FB1FE6"/>
    <w:rsid w:val="00FB2C71"/>
    <w:rsid w:val="00FB36E7"/>
    <w:rsid w:val="00FB5465"/>
    <w:rsid w:val="00FC19CE"/>
    <w:rsid w:val="00FC1F05"/>
    <w:rsid w:val="00FC35D0"/>
    <w:rsid w:val="00FC6DF2"/>
    <w:rsid w:val="00FD07F5"/>
    <w:rsid w:val="00FD1A64"/>
    <w:rsid w:val="00FD23B3"/>
    <w:rsid w:val="00FD59CA"/>
    <w:rsid w:val="00FD5FBE"/>
    <w:rsid w:val="00FE2523"/>
    <w:rsid w:val="00FE2B3E"/>
    <w:rsid w:val="00FE4321"/>
    <w:rsid w:val="00FE4DA2"/>
    <w:rsid w:val="00FE5753"/>
    <w:rsid w:val="00FF0499"/>
    <w:rsid w:val="00FF0794"/>
    <w:rsid w:val="00FF34A3"/>
    <w:rsid w:val="00FF45EC"/>
    <w:rsid w:val="00FF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E293F"/>
  <w15:docId w15:val="{1B3F6E95-64AB-4A05-81C2-41B9665C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paragraph" w:styleId="Heading4">
    <w:name w:val="heading 4"/>
    <w:basedOn w:val="Normal"/>
    <w:next w:val="Normal"/>
    <w:qFormat/>
    <w:pPr>
      <w:keepNext/>
      <w:jc w:val="both"/>
      <w:outlineLvl w:val="3"/>
    </w:pPr>
    <w:rPr>
      <w:b/>
      <w:bCs/>
      <w:snapToGrid w:val="0"/>
      <w:u w:val="single"/>
      <w:lang w:eastAsia="en-US"/>
    </w:rPr>
  </w:style>
  <w:style w:type="paragraph" w:styleId="Heading5">
    <w:name w:val="heading 5"/>
    <w:basedOn w:val="Normal"/>
    <w:next w:val="Normal"/>
    <w:qFormat/>
    <w:pPr>
      <w:keepNext/>
      <w:outlineLvl w:val="4"/>
    </w:pPr>
    <w:rPr>
      <w:b/>
      <w:bCs/>
      <w:snapToGrid w:val="0"/>
      <w:u w:val="single"/>
      <w:lang w:eastAsia="en-US"/>
    </w:rPr>
  </w:style>
  <w:style w:type="paragraph" w:styleId="Heading6">
    <w:name w:val="heading 6"/>
    <w:basedOn w:val="Normal"/>
    <w:next w:val="Normal"/>
    <w:qFormat/>
    <w:pPr>
      <w:keepNext/>
      <w:jc w:val="both"/>
      <w:outlineLvl w:val="5"/>
    </w:pPr>
    <w:rPr>
      <w:b/>
      <w:bCs/>
      <w:snapToGrid w:val="0"/>
      <w:lang w:eastAsia="en-US"/>
    </w:rPr>
  </w:style>
  <w:style w:type="paragraph" w:styleId="Heading7">
    <w:name w:val="heading 7"/>
    <w:basedOn w:val="Normal"/>
    <w:next w:val="Normal"/>
    <w:qFormat/>
    <w:pPr>
      <w:keepNext/>
      <w:ind w:left="-70"/>
      <w:jc w:val="center"/>
      <w:outlineLvl w:val="6"/>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pPr>
      <w:ind w:firstLine="1631"/>
      <w:jc w:val="both"/>
    </w:pPr>
    <w:rPr>
      <w:snapToGrid w:val="0"/>
      <w:lang w:eastAsia="en-US"/>
    </w:rPr>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rPr>
      <w:snapToGrid w:val="0"/>
      <w:sz w:val="20"/>
      <w:szCs w:val="20"/>
      <w:lang w:eastAsia="en-US"/>
    </w:rPr>
  </w:style>
  <w:style w:type="character" w:styleId="Hyperlink">
    <w:name w:val="Hyperlink"/>
    <w:semiHidden/>
    <w:rPr>
      <w:color w:val="0000FF"/>
      <w:u w:val="single"/>
    </w:rPr>
  </w:style>
  <w:style w:type="paragraph" w:styleId="BodyText">
    <w:name w:val="Body Text"/>
    <w:basedOn w:val="Normal"/>
    <w:semiHidden/>
    <w:pPr>
      <w:jc w:val="both"/>
    </w:pPr>
  </w:style>
  <w:style w:type="paragraph" w:styleId="BalloonText">
    <w:name w:val="Balloon Text"/>
    <w:basedOn w:val="Normal"/>
    <w:link w:val="BalloonTextChar"/>
    <w:uiPriority w:val="99"/>
    <w:semiHidden/>
    <w:unhideWhenUsed/>
    <w:rsid w:val="007F6EEC"/>
    <w:rPr>
      <w:rFonts w:ascii="Tahoma" w:hAnsi="Tahoma" w:cs="Tahoma"/>
      <w:sz w:val="16"/>
      <w:szCs w:val="16"/>
    </w:rPr>
  </w:style>
  <w:style w:type="character" w:customStyle="1" w:styleId="BalloonTextChar">
    <w:name w:val="Balloon Text Char"/>
    <w:link w:val="BalloonText"/>
    <w:uiPriority w:val="99"/>
    <w:semiHidden/>
    <w:rsid w:val="007F6EEC"/>
    <w:rPr>
      <w:rFonts w:ascii="Tahoma" w:hAnsi="Tahoma" w:cs="Tahoma"/>
      <w:sz w:val="16"/>
      <w:szCs w:val="16"/>
      <w:lang w:val="lt-LT" w:eastAsia="fr-FR"/>
    </w:rPr>
  </w:style>
  <w:style w:type="character" w:customStyle="1" w:styleId="BodyTextIndent2Char">
    <w:name w:val="Body Text Indent 2 Char"/>
    <w:link w:val="BodyTextIndent2"/>
    <w:semiHidden/>
    <w:rsid w:val="008321C0"/>
    <w:rPr>
      <w:snapToGrid w:val="0"/>
      <w:sz w:val="24"/>
      <w:szCs w:val="24"/>
      <w:lang w:val="lt-LT" w:eastAsia="en-US"/>
    </w:rPr>
  </w:style>
  <w:style w:type="paragraph" w:styleId="ListParagraph">
    <w:name w:val="List Paragraph"/>
    <w:basedOn w:val="Normal"/>
    <w:uiPriority w:val="34"/>
    <w:qFormat/>
    <w:rsid w:val="00B15580"/>
    <w:pPr>
      <w:ind w:left="720"/>
      <w:contextualSpacing/>
    </w:pPr>
  </w:style>
  <w:style w:type="character" w:styleId="CommentReference">
    <w:name w:val="annotation reference"/>
    <w:basedOn w:val="DefaultParagraphFont"/>
    <w:uiPriority w:val="99"/>
    <w:semiHidden/>
    <w:unhideWhenUsed/>
    <w:rsid w:val="00E45E18"/>
    <w:rPr>
      <w:sz w:val="16"/>
      <w:szCs w:val="16"/>
    </w:rPr>
  </w:style>
  <w:style w:type="paragraph" w:styleId="CommentText">
    <w:name w:val="annotation text"/>
    <w:basedOn w:val="Normal"/>
    <w:link w:val="CommentTextChar"/>
    <w:uiPriority w:val="99"/>
    <w:semiHidden/>
    <w:unhideWhenUsed/>
    <w:rsid w:val="00E45E18"/>
    <w:rPr>
      <w:sz w:val="20"/>
      <w:szCs w:val="20"/>
    </w:rPr>
  </w:style>
  <w:style w:type="character" w:customStyle="1" w:styleId="CommentTextChar">
    <w:name w:val="Comment Text Char"/>
    <w:basedOn w:val="DefaultParagraphFont"/>
    <w:link w:val="CommentText"/>
    <w:uiPriority w:val="99"/>
    <w:semiHidden/>
    <w:rsid w:val="00E45E18"/>
    <w:rPr>
      <w:lang w:val="lt-LT" w:eastAsia="fr-FR"/>
    </w:rPr>
  </w:style>
  <w:style w:type="paragraph" w:styleId="CommentSubject">
    <w:name w:val="annotation subject"/>
    <w:basedOn w:val="CommentText"/>
    <w:next w:val="CommentText"/>
    <w:link w:val="CommentSubjectChar"/>
    <w:uiPriority w:val="99"/>
    <w:semiHidden/>
    <w:unhideWhenUsed/>
    <w:rsid w:val="00E45E18"/>
    <w:rPr>
      <w:b/>
      <w:bCs/>
    </w:rPr>
  </w:style>
  <w:style w:type="character" w:customStyle="1" w:styleId="CommentSubjectChar">
    <w:name w:val="Comment Subject Char"/>
    <w:basedOn w:val="CommentTextChar"/>
    <w:link w:val="CommentSubject"/>
    <w:uiPriority w:val="99"/>
    <w:semiHidden/>
    <w:rsid w:val="00E45E18"/>
    <w:rPr>
      <w:b/>
      <w:bCs/>
      <w:lang w:val="lt-LT" w:eastAsia="fr-FR"/>
    </w:rPr>
  </w:style>
  <w:style w:type="character" w:customStyle="1" w:styleId="gh1">
    <w:name w:val="gh1"/>
    <w:basedOn w:val="DefaultParagraphFont"/>
    <w:rsid w:val="00DE3C81"/>
    <w:rPr>
      <w:rFonts w:ascii="Verdana" w:hAnsi="Verdana" w:hint="default"/>
      <w:b/>
      <w:bCs/>
      <w:color w:val="673693"/>
      <w:sz w:val="25"/>
      <w:szCs w:val="25"/>
    </w:rPr>
  </w:style>
  <w:style w:type="paragraph" w:customStyle="1" w:styleId="Standaardwetgeving">
    <w:name w:val="Standaard wetgeving"/>
    <w:basedOn w:val="ListParagraph"/>
    <w:qFormat/>
    <w:rsid w:val="0015323E"/>
    <w:pPr>
      <w:numPr>
        <w:numId w:val="11"/>
      </w:numPr>
      <w:tabs>
        <w:tab w:val="num" w:pos="360"/>
      </w:tabs>
      <w:spacing w:after="200" w:line="276" w:lineRule="auto"/>
      <w:ind w:left="720" w:firstLine="0"/>
      <w:contextualSpacing w:val="0"/>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12559">
      <w:bodyDiv w:val="1"/>
      <w:marLeft w:val="0"/>
      <w:marRight w:val="0"/>
      <w:marTop w:val="0"/>
      <w:marBottom w:val="0"/>
      <w:divBdr>
        <w:top w:val="none" w:sz="0" w:space="0" w:color="auto"/>
        <w:left w:val="none" w:sz="0" w:space="0" w:color="auto"/>
        <w:bottom w:val="none" w:sz="0" w:space="0" w:color="auto"/>
        <w:right w:val="none" w:sz="0" w:space="0" w:color="auto"/>
      </w:divBdr>
    </w:div>
    <w:div w:id="931162973">
      <w:bodyDiv w:val="1"/>
      <w:marLeft w:val="0"/>
      <w:marRight w:val="0"/>
      <w:marTop w:val="0"/>
      <w:marBottom w:val="0"/>
      <w:divBdr>
        <w:top w:val="none" w:sz="0" w:space="0" w:color="auto"/>
        <w:left w:val="none" w:sz="0" w:space="0" w:color="auto"/>
        <w:bottom w:val="none" w:sz="0" w:space="0" w:color="auto"/>
        <w:right w:val="none" w:sz="0" w:space="0" w:color="auto"/>
      </w:divBdr>
    </w:div>
    <w:div w:id="1025330135">
      <w:bodyDiv w:val="1"/>
      <w:marLeft w:val="0"/>
      <w:marRight w:val="0"/>
      <w:marTop w:val="0"/>
      <w:marBottom w:val="0"/>
      <w:divBdr>
        <w:top w:val="none" w:sz="0" w:space="0" w:color="auto"/>
        <w:left w:val="none" w:sz="0" w:space="0" w:color="auto"/>
        <w:bottom w:val="none" w:sz="0" w:space="0" w:color="auto"/>
        <w:right w:val="none" w:sz="0" w:space="0" w:color="auto"/>
      </w:divBdr>
    </w:div>
    <w:div w:id="1480725268">
      <w:bodyDiv w:val="1"/>
      <w:marLeft w:val="0"/>
      <w:marRight w:val="0"/>
      <w:marTop w:val="0"/>
      <w:marBottom w:val="0"/>
      <w:divBdr>
        <w:top w:val="none" w:sz="0" w:space="0" w:color="auto"/>
        <w:left w:val="none" w:sz="0" w:space="0" w:color="auto"/>
        <w:bottom w:val="none" w:sz="0" w:space="0" w:color="auto"/>
        <w:right w:val="none" w:sz="0" w:space="0" w:color="auto"/>
      </w:divBdr>
    </w:div>
    <w:div w:id="1580677303">
      <w:bodyDiv w:val="1"/>
      <w:marLeft w:val="0"/>
      <w:marRight w:val="0"/>
      <w:marTop w:val="0"/>
      <w:marBottom w:val="0"/>
      <w:divBdr>
        <w:top w:val="none" w:sz="0" w:space="0" w:color="auto"/>
        <w:left w:val="none" w:sz="0" w:space="0" w:color="auto"/>
        <w:bottom w:val="none" w:sz="0" w:space="0" w:color="auto"/>
        <w:right w:val="none" w:sz="0" w:space="0" w:color="auto"/>
      </w:divBdr>
    </w:div>
    <w:div w:id="202836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GWLRoyalDecreeDoc" ma:contentTypeID="0x01010019A3678727083D4694BA0E319D4EF8DC0100516D54665B8A184DA9B4E24634C9D800" ma:contentTypeVersion="0" ma:contentTypeDescription="" ma:contentTypeScope="" ma:versionID="f560432493498bc42876f871190d2815">
  <xsd:schema xmlns:xsd="http://www.w3.org/2001/XMLSchema" xmlns:xs="http://www.w3.org/2001/XMLSchema" xmlns:p="http://schemas.microsoft.com/office/2006/metadata/properties" xmlns:ns2="0ed28443-0e4f-42de-bea0-5e9782d0a73a" xmlns:ns3="232ae7aa-1163-483e-9057-bc92b2c1d050" xmlns:ns4="CD49F6B8-954C-4B64-8248-AA0A395BA72F" targetNamespace="http://schemas.microsoft.com/office/2006/metadata/properties" ma:root="true" ma:fieldsID="429d33651d7318f2fb087a02ae17f67c" ns2:_="" ns3:_="" ns4:_="">
    <xsd:import namespace="0ed28443-0e4f-42de-bea0-5e9782d0a73a"/>
    <xsd:import namespace="232ae7aa-1163-483e-9057-bc92b2c1d050"/>
    <xsd:import namespace="CD49F6B8-954C-4B64-8248-AA0A395BA72F"/>
    <xsd:element name="properties">
      <xsd:complexType>
        <xsd:sequence>
          <xsd:element name="documentManagement">
            <xsd:complexType>
              <xsd:all>
                <xsd:element ref="ns2:_dlc_DocId" minOccurs="0"/>
                <xsd:element ref="ns2:_dlc_DocIdUrl" minOccurs="0"/>
                <xsd:element ref="ns2:_dlc_DocIdPersistId" minOccurs="0"/>
                <xsd:element ref="ns2:f1a19977e65e4fde8220f527be186a1b" minOccurs="0"/>
                <xsd:element ref="ns3:TaxCatchAll" minOccurs="0"/>
                <xsd:element ref="ns3:TaxCatchAllLabel" minOccurs="0"/>
                <xsd:element ref="ns2:Archive" minOccurs="0"/>
                <xsd:element ref="ns2:ab1ed0c6b540436c896493fb007829c4" minOccurs="0"/>
                <xsd:element ref="ns4:Approval" minOccurs="0"/>
                <xsd:element ref="ns4: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28443-0e4f-42de-bea0-5e9782d0a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1a19977e65e4fde8220f527be186a1b" ma:index="11" ma:taxonomy="true" ma:internalName="f1a19977e65e4fde8220f527be186a1b" ma:taxonomyFieldName="DocumentType" ma:displayName="DocumentType" ma:default="3;#Note|7620bcaa-bbd5-4679-9d7b-14f1d44f35af" ma:fieldId="{f1a19977-e65e-4fde-8220-f527be186a1b}" ma:sspId="81f31668-a7a6-4790-81d7-2f054b796190" ma:termSetId="a1cd02ba-5d0a-4256-bb1a-ebf7e286d1d1" ma:anchorId="00000000-0000-0000-0000-000000000000" ma:open="false" ma:isKeyword="false">
      <xsd:complexType>
        <xsd:sequence>
          <xsd:element ref="pc:Terms" minOccurs="0" maxOccurs="1"/>
        </xsd:sequence>
      </xsd:complexType>
    </xsd:element>
    <xsd:element name="Archive" ma:index="15" nillable="true" ma:displayName="Archive" ma:default="0" ma:description="Voor archivering - Pour archivage" ma:internalName="Archive">
      <xsd:simpleType>
        <xsd:restriction base="dms:Boolean"/>
      </xsd:simpleType>
    </xsd:element>
    <xsd:element name="ab1ed0c6b540436c896493fb007829c4" ma:index="16" ma:taxonomy="true" ma:internalName="ab1ed0c6b540436c896493fb007829c4" ma:taxonomyFieldName="FolderKB" ma:displayName="FolderKB" ma:default="4;#Preparation|358cfc8e-6565-4b8c-b5c9-af9659aca599" ma:fieldId="{ab1ed0c6-b540-436c-8964-93fb007829c4}" ma:sspId="81f31668-a7a6-4790-81d7-2f054b796190" ma:termSetId="deb4d87f-34f4-45d7-a019-a86385e06519" ma:anchorId="2e9c4165-2e61-4d41-8ad8-59c8a622fbf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2ae7aa-1163-483e-9057-bc92b2c1d0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99e261-a036-4965-bb15-6915d9eb631d}" ma:internalName="TaxCatchAll" ma:showField="CatchAllData" ma:web="0ed28443-0e4f-42de-bea0-5e9782d0a73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e99e261-a036-4965-bb15-6915d9eb631d}" ma:internalName="TaxCatchAllLabel" ma:readOnly="true" ma:showField="CatchAllDataLabel" ma:web="0ed28443-0e4f-42de-bea0-5e9782d0a7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49F6B8-954C-4B64-8248-AA0A395BA72F" elementFormDefault="qualified">
    <xsd:import namespace="http://schemas.microsoft.com/office/2006/documentManagement/types"/>
    <xsd:import namespace="http://schemas.microsoft.com/office/infopath/2007/PartnerControls"/>
    <xsd:element name="Approval" ma:index="18" nillable="true" ma:displayName="Approval" ma:internalName="Approval">
      <xsd:complexType>
        <xsd:complexContent>
          <xsd:extension base="dms:URL">
            <xsd:sequence>
              <xsd:element name="Url" type="dms:ValidUrl" minOccurs="0" nillable="true"/>
              <xsd:element name="Description" type="xsd:string" nillable="true"/>
            </xsd:sequence>
          </xsd:extension>
        </xsd:complexContent>
      </xsd:complexType>
    </xsd:element>
    <xsd:element name="Review" ma:index="19" nillable="true" ma:displayName="Review" ma:internalName="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rchive xmlns="0ed28443-0e4f-42de-bea0-5e9782d0a73a">false</Archive>
    <Review xmlns="CD49F6B8-954C-4B64-8248-AA0A395BA72F">
      <Url xsi:nil="true"/>
      <Description xsi:nil="true"/>
    </Review>
    <ab1ed0c6b540436c896493fb007829c4 xmlns="0ed28443-0e4f-42de-bea0-5e9782d0a73a">
      <Terms xmlns="http://schemas.microsoft.com/office/infopath/2007/PartnerControls">
        <TermInfo xmlns="http://schemas.microsoft.com/office/infopath/2007/PartnerControls">
          <TermName xmlns="http://schemas.microsoft.com/office/infopath/2007/PartnerControls">Préparation</TermName>
          <TermId xmlns="http://schemas.microsoft.com/office/infopath/2007/PartnerControls">358cfc8e-6565-4b8c-b5c9-af9659aca599</TermId>
        </TermInfo>
      </Terms>
    </ab1ed0c6b540436c896493fb007829c4>
    <f1a19977e65e4fde8220f527be186a1b xmlns="0ed28443-0e4f-42de-bea0-5e9782d0a73a">
      <Terms xmlns="http://schemas.microsoft.com/office/infopath/2007/PartnerControls">
        <TermInfo xmlns="http://schemas.microsoft.com/office/infopath/2007/PartnerControls">
          <TermName xmlns="http://schemas.microsoft.com/office/infopath/2007/PartnerControls">Projet</TermName>
          <TermId xmlns="http://schemas.microsoft.com/office/infopath/2007/PartnerControls">ee91f70e-57bf-401c-bc26-ad15a5df3984</TermId>
        </TermInfo>
      </Terms>
    </f1a19977e65e4fde8220f527be186a1b>
    <Approval xmlns="CD49F6B8-954C-4B64-8248-AA0A395BA72F">
      <Url xsi:nil="true"/>
      <Description xsi:nil="true"/>
    </Approval>
    <TaxCatchAll xmlns="232ae7aa-1163-483e-9057-bc92b2c1d050">
      <Value>8</Value>
      <Value>4</Value>
    </TaxCatchAll>
    <_dlc_DocId xmlns="0ed28443-0e4f-42de-bea0-5e9782d0a73a">4MER7KCM4VJC-1757338905-24</_dlc_DocId>
    <_dlc_DocIdUrl xmlns="0ed28443-0e4f-42de-bea0-5e9782d0a73a">
      <Url>https://dgwl.intranet.spfod.just.fgov.be/lawprojects/180420_Wl32_2/_layouts/15/DocIdRedir.aspx?ID=4MER7KCM4VJC-1757338905-24</Url>
      <Description>4MER7KCM4VJC-1757338905-24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2EEFF25-8213-4B44-90E7-8B4852FADB0D}">
  <ds:schemaRefs>
    <ds:schemaRef ds:uri="http://schemas.openxmlformats.org/officeDocument/2006/bibliography"/>
  </ds:schemaRefs>
</ds:datastoreItem>
</file>

<file path=customXml/itemProps2.xml><?xml version="1.0" encoding="utf-8"?>
<ds:datastoreItem xmlns:ds="http://schemas.openxmlformats.org/officeDocument/2006/customXml" ds:itemID="{9693F6AB-2C5B-462B-8A56-EEA358065FC7}">
  <ds:schemaRefs>
    <ds:schemaRef ds:uri="http://schemas.microsoft.com/sharepoint/events"/>
  </ds:schemaRefs>
</ds:datastoreItem>
</file>

<file path=customXml/itemProps3.xml><?xml version="1.0" encoding="utf-8"?>
<ds:datastoreItem xmlns:ds="http://schemas.openxmlformats.org/officeDocument/2006/customXml" ds:itemID="{54B372AB-F201-4108-999A-6B0F07458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28443-0e4f-42de-bea0-5e9782d0a73a"/>
    <ds:schemaRef ds:uri="232ae7aa-1163-483e-9057-bc92b2c1d050"/>
    <ds:schemaRef ds:uri="CD49F6B8-954C-4B64-8248-AA0A395BA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55D80-D12D-4AF3-996A-6B31C819A6DB}">
  <ds:schemaRefs>
    <ds:schemaRef ds:uri="http://schemas.microsoft.com/office/2006/metadata/properties"/>
    <ds:schemaRef ds:uri="http://schemas.microsoft.com/office/infopath/2007/PartnerControls"/>
    <ds:schemaRef ds:uri="0ed28443-0e4f-42de-bea0-5e9782d0a73a"/>
    <ds:schemaRef ds:uri="CD49F6B8-954C-4B64-8248-AA0A395BA72F"/>
    <ds:schemaRef ds:uri="232ae7aa-1163-483e-9057-bc92b2c1d050"/>
  </ds:schemaRefs>
</ds:datastoreItem>
</file>

<file path=customXml/itemProps5.xml><?xml version="1.0" encoding="utf-8"?>
<ds:datastoreItem xmlns:ds="http://schemas.openxmlformats.org/officeDocument/2006/customXml" ds:itemID="{44F04093-6AF2-431A-9EC7-843D693915FD}">
  <ds:schemaRefs>
    <ds:schemaRef ds:uri="http://schemas.microsoft.com/sharepoint/v3/contenttype/forms"/>
  </ds:schemaRefs>
</ds:datastoreItem>
</file>

<file path=customXml/itemProps6.xml><?xml version="1.0" encoding="utf-8"?>
<ds:datastoreItem xmlns:ds="http://schemas.openxmlformats.org/officeDocument/2006/customXml" ds:itemID="{32B97F0C-BEE1-4B30-B607-ED0AD2CEC54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1108</Words>
  <Characters>6318</Characters>
  <Application>Microsoft Office Word</Application>
  <DocSecurity>0</DocSecurity>
  <Lines>52</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fod justitie</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marietie</dc:creator>
  <cp:lastModifiedBy>Liana Brili</cp:lastModifiedBy>
  <cp:revision>7</cp:revision>
  <cp:lastPrinted>2019-02-21T09:39:00Z</cp:lastPrinted>
  <dcterms:created xsi:type="dcterms:W3CDTF">2021-12-09T08:45:00Z</dcterms:created>
  <dcterms:modified xsi:type="dcterms:W3CDTF">2021-12-16T16:23:00Z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0x01010019A3678727083D4694BA0E319D4EF8DC0100516D54665B8A184DA9B4E24634C9D800</vt:lpwstr>
  </property>
  <property fmtid="{D5CDD505-2E9C-101B-9397-08002B2CF9AE}" pid="3" name="_dlc_DocIdItemGuid">
    <vt:lpwstr>ebcf1557-8668-44ec-b6b3-44c5f7420f6c</vt:lpwstr>
  </property>
  <property fmtid="{D5CDD505-2E9C-101B-9397-08002B2CF9AE}" pid="4" name="FolderKB">
    <vt:lpwstr>4;#Préparation|358cfc8e-6565-4b8c-b5c9-af9659aca599</vt:lpwstr>
  </property>
  <property fmtid="{D5CDD505-2E9C-101B-9397-08002B2CF9AE}" pid="5" name="DocumentType">
    <vt:lpwstr>8;#Projet|ee91f70e-57bf-401c-bc26-ad15a5df3984</vt:lpwstr>
  </property>
</Properties>
</file>