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Layout w:type="fixed"/>
        <w:tblLook w:val="04A0" w:firstRow="1" w:lastRow="0" w:firstColumn="1" w:lastColumn="0" w:noHBand="0" w:noVBand="1"/>
      </w:tblPr>
      <w:tblGrid>
        <w:gridCol w:w="9639"/>
      </w:tblGrid>
      <w:tr w:rsidR="00914531" w:rsidRPr="001333C1" w14:paraId="63CDADFE" w14:textId="77777777" w:rsidTr="00337224">
        <w:tc>
          <w:tcPr>
            <w:tcW w:w="4678" w:type="dxa"/>
            <w:tcBorders>
              <w:top w:val="nil"/>
              <w:left w:val="nil"/>
              <w:bottom w:val="nil"/>
              <w:right w:val="nil"/>
            </w:tcBorders>
          </w:tcPr>
          <w:p w14:paraId="42BBE7F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3DBFC527"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BELGICKÉ KRÁLOVSTVÍ</w:t>
            </w:r>
          </w:p>
          <w:p w14:paraId="00FB46C2"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_________</w:t>
            </w:r>
          </w:p>
          <w:p w14:paraId="42D62EEF"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2DD351FB" w14:textId="77777777" w:rsidR="00914531" w:rsidRPr="00914531" w:rsidRDefault="00914531" w:rsidP="00914531">
            <w:pPr>
              <w:jc w:val="center"/>
              <w:rPr>
                <w:rFonts w:ascii="Calibri" w:eastAsia="Times New Roman" w:hAnsi="Calibri" w:cs="Calibri"/>
                <w:b/>
                <w:sz w:val="24"/>
                <w:szCs w:val="24"/>
              </w:rPr>
            </w:pPr>
            <w:r>
              <w:rPr>
                <w:rFonts w:ascii="Calibri" w:hAnsi="Calibri"/>
                <w:b/>
                <w:sz w:val="24"/>
              </w:rPr>
              <w:t>FEDERÁLNÍ VEŘEJNÁ SLUŽBA PRO SPRAVEDLNOST</w:t>
            </w:r>
          </w:p>
          <w:p w14:paraId="1EFCD03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tc>
      </w:tr>
      <w:tr w:rsidR="00914531" w:rsidRPr="001333C1" w14:paraId="5581AA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98D073"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D8204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A6AC82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19. ČERVNA 2022 – Královský výnos, kterým se stanoví postupy umožňující belgické Komisi pro hazardní hry nahlédnout do centrálního registru úvěrů fyzických osob (Centrale des crédits aux particuliers) a kterým se mění ustanovení o omezení on-line hazardních her</w:t>
            </w:r>
          </w:p>
          <w:p w14:paraId="1D8E77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BC441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FE26832"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914531" w14:paraId="5F6D998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145E2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b/>
                <w:sz w:val="24"/>
              </w:rPr>
              <w:t>ZPRÁVA PRO KRÁLE</w:t>
            </w:r>
          </w:p>
        </w:tc>
      </w:tr>
      <w:tr w:rsidR="00914531" w:rsidRPr="00914531" w14:paraId="79B80C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AA8685A"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FR"/>
              </w:rPr>
            </w:pPr>
          </w:p>
        </w:tc>
      </w:tr>
      <w:tr w:rsidR="00914531" w:rsidRPr="00914531" w14:paraId="65368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B23F6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Vaše Veličenstvo, </w:t>
            </w:r>
          </w:p>
        </w:tc>
      </w:tr>
      <w:tr w:rsidR="00914531" w:rsidRPr="00914531" w14:paraId="0AA4F9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ED5A0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lang w:val="fr-FR"/>
              </w:rPr>
            </w:pPr>
          </w:p>
        </w:tc>
      </w:tr>
      <w:tr w:rsidR="00914531" w:rsidRPr="001333C1" w14:paraId="2783CA7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5FC983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Tento návrh královského výnosu, který Vám byl předložen, má dvě části. Zaprvé je jeho cílem provést článek 55/1 zákona ze dne 7. května 1999 o hazardních hrách, sázkách, zařízeních pro hazardní hry a ochraně hráčů (dále jen „zákon o hazardních hrách“). Zadruhé stanoví změnu a upřesnění čl. 6 § 1 bodu 1 královského výnosu ze dne 25. října 2018 o postupech pro provozování hazardních her a sázek s využitím nástrojů informační společnosti.</w:t>
            </w:r>
          </w:p>
          <w:p w14:paraId="7668A4B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FA8E1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5F9E8F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Návrh byl předložen Úřadu pro ochranu údajů, který dne 4. října 2021 vydal stanovisko č. 177/2021. Převážná většina připomínek Úřadu pro ochranu údajů byla zohledněna a je zahrnuta v poznámkách k jednotlivým článkům níže.</w:t>
            </w:r>
          </w:p>
          <w:p w14:paraId="5F6AB04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E6EBA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92A7F9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V návaznosti na sdělení oznámení 2021/0845/B Evropské komisi dne 9. prosince 2021, podle čl. 5 odst. 1 směrnice Evropského parlamentu a Rady (EU) 2015/1535 ze dne 9. září 2015 o postupu při poskytování informací v oblasti technických předpisů a předpisů pro služby informační společnosti, nebyly k návrhu obdrženy žádné připomínky od Evropské komise ani členských států.</w:t>
            </w:r>
          </w:p>
        </w:tc>
      </w:tr>
      <w:tr w:rsidR="00914531" w:rsidRPr="001333C1" w14:paraId="6539F09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8E71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5F9C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ACFA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Než přejdeme k části týkající se provádění článku 55/1 je třeba vyjasnit změnu čl. 6 § 1 bodu 1 výše uvedeného královského výnosu ze dne 25. října 2018. Cílem ustanovení tohoto výnosu, kterými se provádí článek 55/1, je totiž splnit úkoly stanovené v čl. 6 § 1 bodě 1 písm. b) královského výnosu ze dne 25. října 2018.</w:t>
            </w:r>
          </w:p>
          <w:p w14:paraId="0A7E2FB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A4E95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D638D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0966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B6EA3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První změna se týká písmene a), ve kterém se stanoví, že „</w:t>
            </w:r>
            <w:r>
              <w:rPr>
                <w:rFonts w:ascii="Calibri" w:hAnsi="Calibri"/>
                <w:i/>
                <w:iCs/>
                <w:sz w:val="24"/>
              </w:rPr>
              <w:t>hráč může vkládat na své on-line hráčské účty nejvýše 500 EUR týdně na všechny hazardní hry a sázky, kterých se účastní</w:t>
            </w:r>
            <w:r>
              <w:rPr>
                <w:rFonts w:ascii="Calibri" w:hAnsi="Calibri"/>
                <w:sz w:val="24"/>
              </w:rPr>
              <w:t xml:space="preserve">“. Výchozí částka herního limitu je revidována směrem dolů na 200 EUR s cílem zvýšit ochranu hráčů.  Dále se zrušují slova „na všechny hazardní hry a sázky, kterých se účastní“. Ukazuje se, že celkový herní limit (platný pro všechny stránky), který nebyl od nabytí účinnosti královského výnosu v roce 2018 v praxi zaveden, je technicky nerealistický. Má také mnoho nevýhod. Celkový limit má chránit hráče před nebezpečími hazardních her a předejít nadměrným výdajům souvisejícím s hazardními hrami. Je však třeba poznamenat, že celkový herní limit ve své současné podobě neposkytuje hráčům kvalitní ochranu. Vztahuje se pouze na legální on-line hazardní hry, takže hráči mohou stále jít do kamenných zařízení pro hazardní hry. Vzhledem ke zpracování údajů týkajících se </w:t>
            </w:r>
            <w:r>
              <w:rPr>
                <w:rFonts w:ascii="Calibri" w:hAnsi="Calibri"/>
                <w:sz w:val="24"/>
              </w:rPr>
              <w:lastRenderedPageBreak/>
              <w:t>celkového herního limitu mohou mít hráči tendenci hromadně žádat o zvýšení svého limitu tak, aby se již žádné další údaje nezpracovávaly.</w:t>
            </w:r>
          </w:p>
          <w:p w14:paraId="3B43B87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688D55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3BF8CC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S ohledem na výše uvedené skutečnosti je proto vhodnější zrušit obecnou povahu limitu a zůstat u limitu pro jednotlivé internetové stránky a zároveň snížit výchozí limit. To chrání hráče lépe, zejména ty nejzranitelnější z nich.</w:t>
            </w:r>
          </w:p>
        </w:tc>
      </w:tr>
      <w:tr w:rsidR="00914531" w:rsidRPr="001333C1" w14:paraId="3E3774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A6C0CE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 důsledku toho hráč, který si přeje zvýšit svůj herní limit ve výši 200 EUR, podá žádost Komisi pro hazardní hry prostřednictvím držitele licence. Komise pro hazardní hry do tří dnů ověří, zda je o hráči v centrálním registru úvěrů fyzických osob Belgické národní banky uvedeno, že je v prodlení s platbou. Pokud není známo, že je hráč v prodlení, bude mu umožněno zvýšit jeho herní limit u tohoto držitele licence o částku, kterou si sám zvolí.</w:t>
            </w:r>
          </w:p>
        </w:tc>
      </w:tr>
      <w:tr w:rsidR="00914531" w:rsidRPr="001333C1" w14:paraId="683FF6B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0898F00"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D929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E8FDA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V souladu s článkem 55/1 zákona o hazardních hrách je proto třeba vymezit ustanovení, podle nichž může komise požádat Belgickou národní banku o informaci, zda je v centrálním registru úvěrů fyzických osob Belgické národní banky uvedeno, že osoba je v prodlení s platbou. Účelem těchto ustanovení je umožnit komisi plnit úkoly ochrany hráče, které jí byly svěřeny výše uvedeným zákonem a jeho prováděcími předpisy.</w:t>
            </w:r>
          </w:p>
          <w:p w14:paraId="1D57154F"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9E475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609B2A5" w14:textId="06843D59"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Článek 6 § 1 bod 1 výše uvedeného výnosu ze dne 25. října 2018 stanoví výchozí omezení uložené všem hráčům, pokud jde o vkládání prostředků na jejich hráčské účty pro hazardní hry a sázky s využitím nástrojů informační společnosti. V souladu s čl. 6 § 1 bodem 1 písm. b) královského výnosu ze dne 25. října 2018, ve znění tohoto výnosu, mohou hráči požádat o zvýšení tohoto herního limitu. S výjimkou případů vymezených v přechodném opatření podle čl. 13 pododstavce 2 královského výnosu ze dne 25. října 2018 však může být toto zvýšení povoleno pouze tehdy, pokud Národní banka Komisi pro hazardní hry potvrdí, že o hráči není v centrálním registru úvěrů fyzických osob uvedeno, že je v prodlení s platbami. Za účelem ověření této skutečnosti musí provozovatelé hazardních her předat určité údaje hráčů Komisi pro hazardní hry, která zase musí být schopna ověřit u Národní banky, zda je hráč v dotčeném registru uveden.</w:t>
            </w:r>
            <w:r>
              <w:rPr>
                <w:rFonts w:ascii="Times New Roman" w:hAnsi="Times New Roman"/>
                <w:sz w:val="24"/>
              </w:rPr>
              <w:t xml:space="preserve"> </w:t>
            </w:r>
            <w:r>
              <w:rPr>
                <w:rFonts w:ascii="Calibri" w:hAnsi="Calibri"/>
                <w:sz w:val="24"/>
              </w:rPr>
              <w:t>Z tohoto systému vyplývá, že je nutné vydat královský výnos, který upraví způsob, jakým se komise může dotázat Národní banky, zda je osoba podle centrálního registru úvěrů fyzických osob v prodlení s platbou, jak stanoví článek 55/1 zákona.</w:t>
            </w:r>
          </w:p>
          <w:p w14:paraId="0D17174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6C84A8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C881B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Ustanovení tohoto výnosu jsou tedy určena ke splnění úkolů stanovených v čl. 6 § 1 bodě 1 písm. b) výše uvedeného výnosu.</w:t>
            </w:r>
          </w:p>
        </w:tc>
      </w:tr>
      <w:tr w:rsidR="00914531" w:rsidRPr="001333C1" w14:paraId="75DCB1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38CB5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DB62E3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8BA142" w14:textId="77777777" w:rsidR="00914531" w:rsidRPr="00914531" w:rsidRDefault="00914531" w:rsidP="00914531">
            <w:pPr>
              <w:widowControl w:val="0"/>
              <w:autoSpaceDE w:val="0"/>
              <w:autoSpaceDN w:val="0"/>
              <w:adjustRightInd w:val="0"/>
              <w:jc w:val="both"/>
              <w:rPr>
                <w:rFonts w:ascii="Calibri" w:eastAsia="Times New Roman" w:hAnsi="Calibri" w:cs="Calibri"/>
                <w:b/>
                <w:i/>
                <w:sz w:val="24"/>
                <w:szCs w:val="24"/>
              </w:rPr>
            </w:pPr>
            <w:r>
              <w:rPr>
                <w:rFonts w:ascii="Calibri" w:hAnsi="Calibri"/>
                <w:b/>
                <w:i/>
                <w:sz w:val="24"/>
              </w:rPr>
              <w:t>Poznámky k článkům</w:t>
            </w:r>
          </w:p>
        </w:tc>
      </w:tr>
      <w:tr w:rsidR="00914531" w:rsidRPr="00914531" w14:paraId="6C0E8A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184B54"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54D714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4DE079F"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Článek 1</w:t>
            </w:r>
          </w:p>
        </w:tc>
      </w:tr>
      <w:tr w:rsidR="00914531" w:rsidRPr="00914531" w14:paraId="175F7C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A33FC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781F4D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540047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 souladu se stanoviskem Úřadu pro ochranu údajů tento článek stanoví účel, pro který může Komise pro hazardní hry nahlížet do centrálního registru úvěrů fyzických osob Belgické národní banky. Komise pro hazardní hry odpovídá za ověření toho, zda je o osobě žádající o zvýšení svého herního limitu v centrálním registru úvěrů fyzických osob Belgické národní banky uvedeno, je v prodlení s platbou.</w:t>
            </w:r>
          </w:p>
          <w:p w14:paraId="43F84B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476C69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9B648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Článek 2</w:t>
            </w:r>
          </w:p>
        </w:tc>
      </w:tr>
      <w:tr w:rsidR="00914531" w:rsidRPr="001333C1" w14:paraId="07FF690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50ED72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Jako správce údajů stanoví Belgická národní banka technická opatření pro nahlížení Komise pro </w:t>
            </w:r>
            <w:r>
              <w:rPr>
                <w:rFonts w:ascii="Calibri" w:hAnsi="Calibri"/>
                <w:sz w:val="24"/>
              </w:rPr>
              <w:lastRenderedPageBreak/>
              <w:t xml:space="preserve">hazardní hry do centrálního registru úvěrů fyzických osob Belgické národní banky. </w:t>
            </w:r>
          </w:p>
          <w:p w14:paraId="455FD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72A72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C6D12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Tento článek vychází ze stanoviska Úřadu pro ochranu osobních údajů.</w:t>
            </w:r>
          </w:p>
          <w:p w14:paraId="2F5A54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21099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483C66E"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Článek 3</w:t>
            </w:r>
          </w:p>
          <w:p w14:paraId="0E6051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nl-BE"/>
              </w:rPr>
            </w:pPr>
          </w:p>
        </w:tc>
      </w:tr>
      <w:tr w:rsidR="00914531" w:rsidRPr="001333C1" w14:paraId="66AC413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7A69E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V souladu se stanoviskem Úřadu pro ochranu údajů článek 3 stanoví, které identifikační údaje může Komise pro hazardní hry předat Belgické národní bance. </w:t>
            </w:r>
          </w:p>
          <w:p w14:paraId="293EBB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5566F04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4ED6C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Aby mohla Komise pro hazardní hry podat žádost Belgické národní bance, komise musí mít k dispozici národní registrační číslo hráče</w:t>
            </w:r>
            <w:r>
              <w:rPr>
                <w:rFonts w:ascii="Times New Roman" w:hAnsi="Times New Roman"/>
                <w:sz w:val="24"/>
              </w:rPr>
              <w:t xml:space="preserve"> </w:t>
            </w:r>
            <w:r>
              <w:rPr>
                <w:rFonts w:ascii="Calibri" w:hAnsi="Calibri"/>
                <w:sz w:val="24"/>
              </w:rPr>
              <w:t>, který žádá o zvýšení herního limitu, nebo pokud toto číslo není provozovateli, který předává údaje Komisi pro hazardní hry, známo, příjmení, jméno a datum narození hráče. Údaje o zaznamenaných úvěrech se nesdělují.</w:t>
            </w:r>
          </w:p>
          <w:p w14:paraId="6091D3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100483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91D9F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Toto ustanovení rovněž zahrnuje povinnost provozovatelů připojit tyto údaje k oznámení podle čl. 6 § 1 bodu 1 písm. b) bodu 2 výnosu ze dne 25. října 2018. Pokud tak provozovatelé neučiní, nemůže Komise pro hazardní hry plnit svůj úkol.</w:t>
            </w:r>
          </w:p>
          <w:p w14:paraId="3079F0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3950F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2E02E1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Článek 4</w:t>
            </w:r>
          </w:p>
          <w:p w14:paraId="3D5511B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7830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6FCF8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V souladu se stanoviskem Úřadu pro ochranu údajů článek 4 stanoví dobu uchovávání národního registračního čísla nebo identifikačních údajů hráče Komisí pro hazardní hry. </w:t>
            </w:r>
          </w:p>
        </w:tc>
      </w:tr>
      <w:tr w:rsidR="00914531" w:rsidRPr="001333C1" w14:paraId="4D57CEE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1EB5CE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EDB26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CAA3F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Článek 5</w:t>
            </w:r>
          </w:p>
          <w:p w14:paraId="6A439C9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5B73B4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4E6D7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Článek 5 se týká vedení souborů protokolů Komisí pro hazardní hry a Belgickou národní bankou, jak požaduje Úřad pro ochranu údajů. </w:t>
            </w:r>
          </w:p>
          <w:p w14:paraId="73CB9F9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1005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68F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Úřad pro ochranu osobních údajů ve svém stanovisku uvádí, že </w:t>
            </w:r>
            <w:r>
              <w:rPr>
                <w:rFonts w:ascii="Calibri" w:hAnsi="Calibri"/>
                <w:i/>
                <w:iCs/>
                <w:sz w:val="24"/>
              </w:rPr>
              <w:t>„Tento soubor musí být chráněn před jakoukoli změnou, uchováván po dobu 10 let od data nahlédnutí do údajů a musí být na první žádost zpřístupněn Úřadu pro ochranu osobních údajů.“</w:t>
            </w:r>
            <w:r>
              <w:rPr>
                <w:rFonts w:ascii="Calibri" w:hAnsi="Calibri"/>
                <w:i/>
                <w:sz w:val="24"/>
              </w:rPr>
              <w:t xml:space="preserve"> </w:t>
            </w:r>
            <w:r>
              <w:rPr>
                <w:rFonts w:ascii="Calibri" w:hAnsi="Calibri"/>
                <w:sz w:val="24"/>
              </w:rPr>
              <w:t xml:space="preserve">Tato doba uchovávání však musí být přizpůsobena délce doby uchovávání stanovené v čl. 12 § 3 zákona ze dne 28. listopadu 2021 o organizaci registru úvěrů pro podniky, která činí 5 let, neboť údaje centrálního registru úvěrů fyzických osob a registru úvěrů pro podniky jsou ve stejném systému. Belgická národní banka proto nemůže upravit dobu uchovávání souborů protokolů v závislosti na kapacitě uživatele nebo použité funkci. </w:t>
            </w:r>
          </w:p>
        </w:tc>
      </w:tr>
      <w:tr w:rsidR="00914531" w:rsidRPr="00914531" w14:paraId="5D9A83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43D2AAF" w14:textId="77777777" w:rsidR="00012F63" w:rsidRDefault="00012F63" w:rsidP="00914531">
            <w:pPr>
              <w:widowControl w:val="0"/>
              <w:autoSpaceDE w:val="0"/>
              <w:autoSpaceDN w:val="0"/>
              <w:adjustRightInd w:val="0"/>
              <w:jc w:val="both"/>
              <w:rPr>
                <w:rFonts w:ascii="Calibri" w:hAnsi="Calibri"/>
                <w:b/>
                <w:sz w:val="24"/>
              </w:rPr>
            </w:pPr>
          </w:p>
          <w:p w14:paraId="6BB01820" w14:textId="37DDD4E5"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Článek 6</w:t>
            </w:r>
          </w:p>
        </w:tc>
      </w:tr>
      <w:tr w:rsidR="00914531" w:rsidRPr="00914531" w14:paraId="433545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BC5ED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B9239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DCA79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 základě stanoviska Úřadu pro ochranu údajů jsou práva na přístup k centrálnímu registru úvěrů fyzických osob omezena na osoby určené Komisí pro hazardní hry, jejichž úloha to vyžaduje. V souladu s tímto stanoviskem tento článek rovněž stanoví použití systému silného ověřování pro správu přístupu, a sice autentizaci prostřednictvím elektronického průkazu totožnosti buď v souvislosti s žádostí Komise pro hazardní hry, nebo v souvislosti s žádostí Belgické národní banky. Pokud tedy lze autentizaci, pokud jde o jednu ze dvou výše uvedených žádostí, provést pomocí elektronického průkazu totožnosti, je toto ustanovení dodrženo.</w:t>
            </w:r>
          </w:p>
        </w:tc>
      </w:tr>
      <w:tr w:rsidR="00914531" w:rsidRPr="001333C1" w14:paraId="020C57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3BD0D9B"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V současné době je spojení s centrálním registrem úvěrů fyzických osob provedeno pouze </w:t>
            </w:r>
            <w:r>
              <w:rPr>
                <w:rFonts w:ascii="Calibri" w:hAnsi="Calibri"/>
                <w:sz w:val="24"/>
              </w:rPr>
              <w:lastRenderedPageBreak/>
              <w:t xml:space="preserve">prostřednictvím (skupinového) certifikátu vydaného Belgickou národní bankou, a nikoli pomocí elektronického průkazu totožnosti. </w:t>
            </w:r>
          </w:p>
          <w:p w14:paraId="06BFAAE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114B4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88A5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xml:space="preserve">Je třeba poznamenat, že tento postup probíhá ve dvou fázích: </w:t>
            </w:r>
          </w:p>
          <w:p w14:paraId="4B48C0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68337E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24DD1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 xml:space="preserve">Pokud hráč prostřednictvím provozovatele požádá Komisi pro hazardní hry o zvýšení herního limitu, kontrola vůči centrálnímu registru úvěrů fyzických osob Belgické národní banky se provádí automaticky, bez lidského zásahu, a tudíž bez autentizace. </w:t>
            </w:r>
          </w:p>
          <w:p w14:paraId="0E60E6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8D20D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304E5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Pokud je následně nutný lidský zásah, zejména ze strany zaměstnanců Komise pro hazardní hry, jejichž úloha to vyžaduje, lze provést autentizaci pomocí elektronického průkazu totožnosti. Tento autentizační systém však není v současné době zaveden a jeho zavedení potrvá několik měsíců.</w:t>
            </w:r>
          </w:p>
          <w:p w14:paraId="4DF8473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4FAA0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D4AE13F"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Článek 7</w:t>
            </w:r>
          </w:p>
          <w:p w14:paraId="7CAFF2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FE4590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DF44AC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Článek 7 stanoví dobu uchovávání údajů shromážděných Komisí pro hazardní hry z centrálního registru úvěrů fyzických osob. </w:t>
            </w:r>
          </w:p>
        </w:tc>
      </w:tr>
      <w:tr w:rsidR="00914531" w:rsidRPr="001333C1" w14:paraId="4BC600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63935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CF3904" w14:paraId="5E7EB95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6113D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Článek 8</w:t>
            </w:r>
          </w:p>
        </w:tc>
      </w:tr>
      <w:tr w:rsidR="00914531" w:rsidRPr="00CF3904" w14:paraId="1F074C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996D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450BC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0BF86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 neposlední řadě článek 8 tohoto výnosu stanoví, že náklady na toho nahlížení u Belgické národní banky se hradí z fondu Komise pro hazardní hry uvedený v čl. 19 § 2 zákona o hazardních hrách. Jsou to tedy sami držitelé licence, kdo platí Národní bance prostřednictvím systému příspěvků. Tento přístup je z hlediska ochrany hráčů plně opodstatněný.</w:t>
            </w:r>
          </w:p>
        </w:tc>
      </w:tr>
      <w:tr w:rsidR="00914531" w:rsidRPr="001333C1" w14:paraId="03896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7E126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C12FBF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A550E5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Článek 9</w:t>
            </w:r>
          </w:p>
        </w:tc>
      </w:tr>
      <w:tr w:rsidR="00914531" w:rsidRPr="00914531" w14:paraId="52393D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58F1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5C1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F04C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Článkem 9 tohoto výnosu se mění čl. 6 § 1 bod 1 královského výnosu ze dne 25. října 2018</w:t>
            </w:r>
            <w:r>
              <w:rPr>
                <w:rFonts w:ascii="Times New Roman" w:hAnsi="Times New Roman"/>
                <w:sz w:val="24"/>
              </w:rPr>
              <w:t xml:space="preserve"> </w:t>
            </w:r>
            <w:r>
              <w:rPr>
                <w:rFonts w:ascii="Calibri" w:hAnsi="Calibri"/>
                <w:sz w:val="24"/>
              </w:rPr>
              <w:t xml:space="preserve">o postupech pro provozování hazardních her a sázek s využitím nástrojů informační společnosti, jak je uvedeno výše. </w:t>
            </w:r>
          </w:p>
        </w:tc>
      </w:tr>
      <w:tr w:rsidR="00914531" w:rsidRPr="00914531" w14:paraId="0067AAE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89B647F" w14:textId="77777777" w:rsidR="00012F63" w:rsidRDefault="00012F63" w:rsidP="00914531">
            <w:pPr>
              <w:widowControl w:val="0"/>
              <w:autoSpaceDE w:val="0"/>
              <w:autoSpaceDN w:val="0"/>
              <w:adjustRightInd w:val="0"/>
              <w:jc w:val="both"/>
              <w:rPr>
                <w:rFonts w:ascii="Calibri" w:hAnsi="Calibri"/>
                <w:b/>
                <w:sz w:val="24"/>
              </w:rPr>
            </w:pPr>
          </w:p>
          <w:p w14:paraId="6527730E" w14:textId="499B5F14"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Článek 10</w:t>
            </w:r>
          </w:p>
          <w:p w14:paraId="3575B9DA"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08BEAB3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14171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V článku 10 se stanoví nabytí účinnosti </w:t>
            </w:r>
          </w:p>
          <w:p w14:paraId="31C5B50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královského výnosu. Vzhledem k připomínkám Úřadu pro ochranu údajů je zapotřebí výrazného technologického vývoje. Z tohoto důvodu Komise pro hazardní hry potřebuje lhůtu 3 měsíců.</w:t>
            </w:r>
          </w:p>
        </w:tc>
      </w:tr>
      <w:tr w:rsidR="00914531" w:rsidRPr="001333C1" w14:paraId="393E6B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5BAC5AE"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0BC436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AA50ADB"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Článek 11</w:t>
            </w:r>
          </w:p>
          <w:p w14:paraId="189E4B8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E5A998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17D48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 článku 11 se stanoví přechodné opatření. Tento článek tedy stanoví, že v okamžiku nabytí účinnosti královského výnosu se herní limit pro všechny hráčské účty stanoví na herní limit uvedený v článku 9, tj. 200 EUR.</w:t>
            </w:r>
          </w:p>
        </w:tc>
      </w:tr>
      <w:tr w:rsidR="00914531" w:rsidRPr="001333C1" w14:paraId="2CDA7F8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4C080C0"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Ve svém výnosu č. 253.722 ze dne 12. května 2022 totiž Státní rada výslovně konstatovala, že zvýšení herního limitu na základě článku 6 královského výnosu ze dne 25. října 2018 lze provést až poté, co bylo skutečně prokázáno, že hráč není v souboru zapsán jako hráč, který je v prodlení s platbou. Jinými slovy, pokud se nepoužije dřívější přechodné ustanovení článku 13 královského </w:t>
            </w:r>
            <w:r>
              <w:rPr>
                <w:rFonts w:ascii="Calibri" w:hAnsi="Calibri"/>
                <w:sz w:val="24"/>
              </w:rPr>
              <w:lastRenderedPageBreak/>
              <w:t>výnosu ze dne 25. října 2018, zvýšení nemůže být provedeno u nikoho. </w:t>
            </w:r>
          </w:p>
          <w:p w14:paraId="5818073C"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CEA6F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55C66F7"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lastRenderedPageBreak/>
              <w:t xml:space="preserve">V praxi se ukazuje, že Komise pro hazardní hry nemůže přesně vědět, kdy bylo zvýšení v minulosti povoleno. Nejlepším řešením pro ochranu hráčů je proto snížit všechny limity na 200 EUR. </w:t>
            </w:r>
          </w:p>
          <w:p w14:paraId="54E6FFA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543D5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B32735"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Článek 12</w:t>
            </w:r>
          </w:p>
          <w:p w14:paraId="5BF3DBCB"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2A59D2E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66D4E19"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Článek 12 obsahuje prováděcí článek. </w:t>
            </w:r>
          </w:p>
        </w:tc>
      </w:tr>
      <w:tr w:rsidR="00914531" w:rsidRPr="00914531" w14:paraId="3F0AAD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FC95C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2766AD5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79E1A61"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Je nám ctí,</w:t>
            </w:r>
          </w:p>
        </w:tc>
      </w:tr>
      <w:tr w:rsidR="00914531" w:rsidRPr="001333C1" w14:paraId="28ACD2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915B6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p w14:paraId="410663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Vaše Veličenstvo,</w:t>
            </w:r>
          </w:p>
          <w:p w14:paraId="2D24F9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být Vaší Výsosti</w:t>
            </w:r>
          </w:p>
          <w:p w14:paraId="5FEB641B" w14:textId="13AE770C"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nejuctivějšími</w:t>
            </w:r>
            <w:r>
              <w:rPr>
                <w:rFonts w:ascii="Calibri" w:hAnsi="Calibri"/>
                <w:sz w:val="24"/>
              </w:rPr>
              <w:br/>
              <w:t>a nejvěrnějšími služebníky,</w:t>
            </w:r>
          </w:p>
          <w:p w14:paraId="646C4556"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7A6EB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1FE528"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51EA18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9A46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 hospodářství,</w:t>
            </w:r>
          </w:p>
          <w:p w14:paraId="4308011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P-Y DERMAGNE</w:t>
            </w:r>
          </w:p>
        </w:tc>
      </w:tr>
      <w:tr w:rsidR="00914531" w:rsidRPr="001333C1" w14:paraId="7FC3A4E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28820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 financí,</w:t>
            </w:r>
          </w:p>
          <w:p w14:paraId="64111E4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PETEGHEM</w:t>
            </w:r>
          </w:p>
        </w:tc>
      </w:tr>
      <w:tr w:rsidR="00914531" w:rsidRPr="00914531" w14:paraId="6A027E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F99BEE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 zdravotnictví,</w:t>
            </w:r>
          </w:p>
          <w:p w14:paraId="183CA7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 VANDENBROUCKE</w:t>
            </w:r>
          </w:p>
        </w:tc>
      </w:tr>
      <w:tr w:rsidR="00914531" w:rsidRPr="00914531" w14:paraId="0C40011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CB2003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 spravedlnosti,</w:t>
            </w:r>
          </w:p>
          <w:p w14:paraId="53C01DB1"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QUICKENBORNE</w:t>
            </w:r>
          </w:p>
        </w:tc>
      </w:tr>
      <w:tr w:rsidR="00914531" w:rsidRPr="001333C1" w14:paraId="36DC572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E77B25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ministryně vnitra,</w:t>
            </w:r>
          </w:p>
          <w:p w14:paraId="21028B2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79A12A2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tc>
      </w:tr>
      <w:tr w:rsidR="00914531" w:rsidRPr="00914531" w14:paraId="2BFEFA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08DD7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státní tajemník pro národní loterii,</w:t>
            </w:r>
          </w:p>
          <w:p w14:paraId="75251E0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 MAHDI</w:t>
            </w:r>
          </w:p>
        </w:tc>
      </w:tr>
      <w:tr w:rsidR="00914531" w:rsidRPr="00914531" w14:paraId="58AFDA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E253A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0AD1A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D63055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4F78A72E" w14:textId="77777777" w:rsidTr="00337224">
        <w:tc>
          <w:tcPr>
            <w:tcW w:w="4678" w:type="dxa"/>
            <w:tcBorders>
              <w:top w:val="nil"/>
              <w:left w:val="nil"/>
              <w:bottom w:val="nil"/>
              <w:right w:val="nil"/>
            </w:tcBorders>
          </w:tcPr>
          <w:p w14:paraId="281147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STANOVISKO LEGISLATIVNÍ SEKCE STÁTNÍ RADY Č. 71.218/4 ZE DNE 19. DUBNA 2022 K NÁVRHU KRÁLOVSKÉHO VÝNOSU, KTERÝM SE STANOVÍ POSTUPY UMOŽŇUJÍCÍ BELGICKÉ KOMISI PRO HAZARDNÍ HRY NAHLÉDNOUT DO CENTRÁLNÍHO REGISTRU ÚVĚRŮ FYZICKÝCH OSOB (CENTRALE DES CRÉDITS AUX PARTICULIERS) A KTERÝM SE MĚNÍ USTANOVENÍ O OMEZENÍ ON-LINE HAZARDNÍCH HER</w:t>
            </w:r>
          </w:p>
          <w:p w14:paraId="39FD8F8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24B602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2B267D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Dne 18. března 2022 byla legislativní sekce Státní rady vyzvána místopředsedou vlády a ministrem spravedlnosti a Severního moře, aby do 30 dnů sdělila své stanovisko k návrhu královského výnosu, kterým se stanoví postupy umožňující Komisi pro hazardní hry nahlédnout do centrálního registru úvěrů fyzických osob (Centrale des crédits aux particuliers) a kterým se mění ustanovení o omezení on-line hazardních her.</w:t>
            </w:r>
          </w:p>
          <w:p w14:paraId="7145FA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83E09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7B3ED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Návrh projednal čtvrtý senát dne 19. dubna 2022. Členy senátu byli Martine BAGUETOVÁ, předsedkyně senátu, Luc CAMBIERA a Bernard BLERO, členové Státní rady, a Charles-Henri VAN HOVE, úřadující tajemník.</w:t>
            </w:r>
          </w:p>
          <w:p w14:paraId="14269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55F9F0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04039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Zprávu předložil Stéphane TELLIER, vedoucí auditor.</w:t>
            </w:r>
          </w:p>
          <w:p w14:paraId="080B524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84EB7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06546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Kontrolu ověření shody mezi francouzskou a nizozemskou verzí provedl Bernard BLERO.</w:t>
            </w:r>
          </w:p>
        </w:tc>
      </w:tr>
      <w:tr w:rsidR="00914531" w:rsidRPr="001333C1" w14:paraId="245C1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D2498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Stanovisko, jehož znění následuje, bylo vydáno dne 19. dubna 2022.</w:t>
            </w:r>
          </w:p>
        </w:tc>
      </w:tr>
      <w:tr w:rsidR="00914531" w:rsidRPr="001333C1" w14:paraId="2736CB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6D327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E1AC1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2B3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75553A6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2C3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Vzhledem k tomu, že žádost o stanovisko byla podána na základě čl. 84 § 1 pododstavce 1 bodu 2 zákonů o Státní radě, koordinovaných dne 12. ledna 1973, omezila legislativní sekce přezkum v souladu s čl. 84 § 3 výše uvedených koordinovaných zákonů na právní základ návrhu, pravomoc autora aktu a splnění předběžných formalit.</w:t>
            </w:r>
          </w:p>
        </w:tc>
      </w:tr>
      <w:tr w:rsidR="00914531" w:rsidRPr="001333C1" w14:paraId="0019B2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AE8B0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 těmto třem bodům se k návrhu předkládají následující připomínky.</w:t>
            </w:r>
          </w:p>
        </w:tc>
      </w:tr>
      <w:tr w:rsidR="00914531" w:rsidRPr="001333C1" w14:paraId="6BBCDF2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4D6B3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BBF490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7C978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OBECNÉ PŘIPOMÍNKY</w:t>
            </w:r>
          </w:p>
          <w:p w14:paraId="173087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3A53C4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607BE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1.1.</w:t>
            </w:r>
            <w:r>
              <w:rPr>
                <w:rFonts w:ascii="Calibri" w:hAnsi="Calibri"/>
                <w:sz w:val="24"/>
              </w:rPr>
              <w:tab/>
              <w:t>Na základě článku 55/1 zákona ze dne 7. května 1999 o hazardních hrách, sázkách, zařízeních pro hazardní hry a ochraně hráčů stanoví přezkoumávaný královský výnos postupy umožňující Komisi pro hazardní hry nahlédnout do centrálního registru úvěrů fyzických osob (Centrale des crédits aux particuliers) Belgické národní banky.</w:t>
            </w:r>
          </w:p>
          <w:p w14:paraId="747E7D9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569F77A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059C8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Návrh královského výnosu tak stanoví nové případy zpracování osobních údajů.</w:t>
            </w:r>
          </w:p>
          <w:p w14:paraId="235388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FF3B9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BD87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1.2.</w:t>
            </w:r>
            <w:r>
              <w:rPr>
                <w:rFonts w:ascii="Calibri" w:hAnsi="Calibri"/>
                <w:sz w:val="24"/>
              </w:rPr>
              <w:tab/>
              <w:t>Ve svém stanovisku č. 68.936/AG vydaném dne 7. dubna 2021 k předběžnému návrhu, který se stal zákonem ze dne 14. srpna 2021 o pořádkových opatřeních v nouzovém stavu v souvislosti s epidemii (1), legislativní sekce uvedla:</w:t>
            </w:r>
          </w:p>
        </w:tc>
      </w:tr>
      <w:tr w:rsidR="00914531" w:rsidRPr="001333C1" w14:paraId="07BAD9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9D5E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„b) Článek 22 Ústavy a článek 8 EÚLP</w:t>
            </w:r>
          </w:p>
          <w:p w14:paraId="612FF4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0F720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630325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100. Článek 6 přezkoumávaného předběžného návrhu předpokládá zpracování osobních údajů, které představuje zásah do práva dotčených osob na respektování soukromého života, zaručeného zejména článkem 22 Ústavy a článkem 8 EÚLP.</w:t>
            </w:r>
          </w:p>
          <w:p w14:paraId="2207669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45E9C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3971AD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Aby byl zásah do práva na soukromí podle výše uvedených ustanovení přípustný, musí být definován jasným a dostatečně přesným způsobem, který umožní předvídatelným způsobem pochopit případy, v nichž zákonodárce takové zásahy povolí.</w:t>
            </w:r>
          </w:p>
          <w:p w14:paraId="06EEDB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685CA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6F6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Jakýkoli zásah do práva na soukromí musí být navíc založen na objektivním a přiměřeném odůvodnění, a v důsledku toho musí být přiměřený cílům sledovaným zákonodárcem (2). Pokud zásahy stanovené v předběžném návrhu zákona sledují legitimní cíl, a to ochranu zdraví a ochranu práv a svobod druhých (3), musí být ověřeno dodržování požadavků zákonnosti, přiměřenosti a proporcionality.</w:t>
            </w:r>
          </w:p>
        </w:tc>
      </w:tr>
      <w:tr w:rsidR="00914531" w:rsidRPr="001333C1" w14:paraId="76C111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5AE7A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 Zásada zákonnosti zakotvená v článku 22 Ústavy</w:t>
            </w:r>
          </w:p>
          <w:p w14:paraId="319330B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A9A24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C97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101. V souladu s článkem 22 Ústavy je každé zpracování osobních údajů a obecněji jakýkoli zásah do práva na soukromí podmíněn dodržováním zásady formální zákonnosti (4).</w:t>
            </w:r>
          </w:p>
        </w:tc>
      </w:tr>
      <w:tr w:rsidR="00914531" w:rsidRPr="001333C1" w14:paraId="312A67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1C301D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Tím, že článek 22 Ústavy vyhrazuje příslušnému zákonodárci pravomoc určit, v jakých případech a za jakých podmínek může být porušeno právo na soukromí, zaručuje každému občanovi, že do výkonu tohoto práva nesmí být zasahováno jinak než na základě pravidel přijatých demokraticky </w:t>
            </w:r>
            <w:r>
              <w:rPr>
                <w:rFonts w:ascii="Calibri" w:hAnsi="Calibri"/>
                <w:sz w:val="24"/>
              </w:rPr>
              <w:lastRenderedPageBreak/>
              <w:t>zvoleným rozhodovacím sborem. Přenesení na jiný orgán však není v rozporu se zásadou zákonnosti, pokud je oprávnění definováno dostatečně přesně a týká se provádění opatření, jejichž „podstatné prvky“ jsou předem stanoveny zákonodárcem (5).</w:t>
            </w:r>
          </w:p>
        </w:tc>
      </w:tr>
      <w:tr w:rsidR="00914531" w:rsidRPr="001333C1" w14:paraId="0DA7E0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D558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Proto musí být „podstatné prvky“ zpracování osobních údajů stanoveny v samotném zákoně. V tomto ohledu se legislativní sekce domnívá, že bez ohledu na dotčenou záležitost představují „podstatné prvky“ v zásadě: 1) kategorie zpracovávaných údajů; 2) kategorie dotčených osob; 3) účel sledovaný zpracováním; (4) kategorie osob, které mají přístup ke zpracovávaným údajům a 5) maximální doba uchovávání údajů“ (6).</w:t>
            </w:r>
          </w:p>
        </w:tc>
      </w:tr>
      <w:tr w:rsidR="00914531" w:rsidRPr="001333C1" w14:paraId="12BAC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603A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1.3.</w:t>
            </w:r>
            <w:r>
              <w:rPr>
                <w:rFonts w:ascii="Calibri" w:hAnsi="Calibri"/>
                <w:sz w:val="24"/>
              </w:rPr>
              <w:tab/>
              <w:t>Na dotaz ohledně dodržování výše uvedené zásady zákonnosti a existence právního předpisu, který by tyto podstatné prvky specifikoval, zástupce ministra uvedl:</w:t>
            </w:r>
          </w:p>
        </w:tc>
      </w:tr>
      <w:tr w:rsidR="00914531" w:rsidRPr="001333C1" w14:paraId="43C735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2F8F47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„Podle našeho názoru jsou podstatné prvky již obsaženy v článku zákona, který opravňuje krále k tomu, aby stanovil postupy umožňující Komisi pro hazardní hry nahlédnout do centrálního registru úvěrů fyzických osob. Článek 55/1 zákona ze dne 7. května 1999 o hazardních hrách, sázkách, zařízeních pro hazardní hry a ochraně hráčů stanoví, že: „K tomu, aby komise mohla plnit úkoly ochrany hráčů, které jí ukládá tento zákon a prováděcí předpisy, stanoví král postupy, podle kterých se komise může dotázat Belgické národní banky, zda je v centrálním registru úvěrů fyzických osob Belgické národní banky uvedeno, že osoba je v prodlení s platbou“.</w:t>
            </w:r>
          </w:p>
        </w:tc>
      </w:tr>
      <w:tr w:rsidR="00914531" w:rsidRPr="001333C1" w14:paraId="074449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49FF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Toto ustanovení obsahuje podstatné prvky uvedené ve Vaší otázce:</w:t>
            </w:r>
          </w:p>
          <w:p w14:paraId="4DCB31D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A1C7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CA036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kategorie zpracovávaných údajů: zda je osoba v prodlení s platbou</w:t>
            </w:r>
          </w:p>
          <w:p w14:paraId="1DF2473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5C229B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5EADB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kategorie dotčených osob: fyzické osoby</w:t>
            </w:r>
          </w:p>
          <w:p w14:paraId="223B3D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C02BAE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C671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účel zpracování: umožnit komisi plnit úkoly ochrany hráče, které jí ukládá zákon a jeho prováděcí předpisy</w:t>
            </w:r>
          </w:p>
        </w:tc>
      </w:tr>
      <w:tr w:rsidR="00914531" w:rsidRPr="001333C1" w14:paraId="77CECD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FCA1D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kategorie osob, které mají přístup k údajům: komise</w:t>
            </w:r>
          </w:p>
        </w:tc>
      </w:tr>
      <w:tr w:rsidR="00914531" w:rsidRPr="001333C1" w14:paraId="536FA5D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B7F6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Návrh královského výnosu upravuje technická opatření umožňující nahlédnout do údajů a za tímto účelem podrobně pojednává o různých podstatných prvcích, aniž by je měnil, a tedy aniž by měnil zákon.“</w:t>
            </w:r>
          </w:p>
        </w:tc>
      </w:tr>
      <w:tr w:rsidR="00914531" w:rsidRPr="001333C1" w14:paraId="2C2F9B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D39C4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1.4.</w:t>
            </w:r>
            <w:r>
              <w:rPr>
                <w:rFonts w:ascii="Calibri" w:hAnsi="Calibri"/>
                <w:sz w:val="24"/>
              </w:rPr>
              <w:tab/>
              <w:t>Pokud jde o kategorie zpracovávaných údajů, je třeba poznamenat, že článek 55/1 zákona ze dne 7. května 1999 neumožňuje určit kategorie údajů zpracovávaných v rámci úkolu kontroly plněného Komisí pro hazardní hry. Tyto kategorie jsou přesně stanoveny v čl. 3 § 1 pododstavci 2 bodech 1 a 2 a § 2 pododstavci 3 návrhu výnosu.</w:t>
            </w:r>
          </w:p>
        </w:tc>
      </w:tr>
      <w:tr w:rsidR="00914531" w:rsidRPr="001333C1" w14:paraId="0AC805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70244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Kromě toho, pokud jde o maximální dobu uchovávání údajů, články 4 a 7 návrhu stanoví toto období uchovávání velmi široce. </w:t>
            </w:r>
          </w:p>
          <w:p w14:paraId="1E2BA0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A8E084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767C5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Oprávnění, které král provedl k přijetí výše uvedených ustanovení, by mělo být dále upraveno s cílem zajistit, že toto oprávnění je v souladu s výše uvedenou zásadou zákonnosti, a s cílem lépe zajistit právní jistotu.</w:t>
            </w:r>
          </w:p>
        </w:tc>
      </w:tr>
      <w:tr w:rsidR="00914531" w:rsidRPr="001333C1" w14:paraId="7A3805B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5E055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Změna stanovená v článku 9 návrhu se týká čl. 6 § 1 bodu 1 písm. a) královského výnosu ze dne 25. října 2018 o postupech pro provozování hazardních her a sázek s využitím nástrojů informační společnosti a jejím cílem je stanovit maximální výši vkladu na on-line hráčské účty na 200 EUR týdně namísto 500 EUR týdně a zrušit upřesnění, že tento limit je uložen hráči „na všechny hazardní hry a sázky, kterých se účastní“.</w:t>
            </w:r>
          </w:p>
        </w:tc>
      </w:tr>
      <w:tr w:rsidR="00914531" w:rsidRPr="001333C1" w14:paraId="20589F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40F08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Pokud jde o přiměřenost opatření uvedeného v článku 9, zpráva pro krále týkající se královského výnosu ze dne 25. října 2018 obecně uvádí, že zohledňuje judikaturu Soudního dvora Evropské unie v oblasti hazardních her, podle níž lze omezení činností souvisejících s hazardními hrami </w:t>
            </w:r>
            <w:r>
              <w:rPr>
                <w:rFonts w:ascii="Calibri" w:hAnsi="Calibri"/>
                <w:sz w:val="24"/>
              </w:rPr>
              <w:lastRenderedPageBreak/>
              <w:t>odůvodnit naléhavými důvody obecného zájmu, jako je ochrana spotřebitele, boj proti podvodům a snaha zabránit tomu, aby občané byli nabádáni k nadměrným výdajům za hazardní hry. Zpráva rovněž uvádí, že „s ohledem na cíle ochrany hráčů a potřebě vyhnout se nabádání hráčů k nadměrným výdajům je zavedení přísnějších pravidel přiměřeně odůvodněno pokud, určitý druh hazardních her představuje vysoké riziko závislosti a nadměrných výdajů.“ Pokud jde o článek 6 královského výnosu ze dne 25. října 2018, zpráva pro krále uvádí, že „v zájmu účinného boje proti nadměrným výdajům a závislostí na hazardních hrách je nezbytné stanovit herní limity: hráč může na své on-line hráčské účty vložit nejvýše 500 EUR týdně na všechny hazardní hry a sázky, kterých se účastní.</w:t>
            </w:r>
          </w:p>
        </w:tc>
      </w:tr>
      <w:tr w:rsidR="00914531" w:rsidRPr="001333C1" w14:paraId="49F8CF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2F347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I když se navrhovaná změna čl. 6 § 1 bodu 1 písm. a) královského výnosu ze dne 25. října 2018 jeví jako více omezující, jelikož maximální částku, kterou lze vkládat na on-line hráčské účty, snižuje na 200 EUR, zdá se především liberálnější v tom smyslu, že již nestanoví, že se tento limit vztahuje „na všechny hazardní hry a sázky, kterých se účastní“, což je třeba chápat tak, že se tento limit vztahuje pouze na stránky s on-line hazardními hrami nebo sázkami, na kterých má hráč účet.</w:t>
            </w:r>
          </w:p>
        </w:tc>
      </w:tr>
      <w:tr w:rsidR="00914531" w:rsidRPr="001333C1" w14:paraId="2AD733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48D9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Zpráva pro krále odůvodňuje zrušení slov „na všechny hazardní hry a sázky, kterých se účastní“ takto:</w:t>
            </w:r>
          </w:p>
        </w:tc>
      </w:tr>
      <w:tr w:rsidR="00914531" w:rsidRPr="001333C1" w14:paraId="628219F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DCED2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První změna se týká písmene a), ve kterém se stanoví, že „hráč může vkládat na své on-line hráčské účty nejvýše 500 EUR týdně na všechny hazardní hry a sázky, kterých se účastní“. Výchozí částka herního limitu je revidována směrem dolů na 200 EUR s cílem zvýšit ochranu hráčů. Dále se zrušují slova „na všechny hazardní hry a sázky, kterých se účastní“. Ukazuje se, že celkový herní limit (platný pro všechny stránky), který nebyl od nabytí účinnosti královského výnosu v roce 2018 v praxi zaveden, je technicky nerealistický. Má také mnoho nevýhod. Je proto vhodnější zrušit obecnou povahu limitu a zůstat u limitu pro internetové stránky a zároveň snížit výchozí limit. To chrání hráče lépe, zejména ty nejzranitelnější z nich.“</w:t>
            </w:r>
          </w:p>
        </w:tc>
      </w:tr>
      <w:tr w:rsidR="00914531" w:rsidRPr="001333C1" w14:paraId="6A9273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2A6E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Z navrhované změny vyplývá, že zatímco na základě stávajícího pravidla je hráči teoreticky uložen kreditní limit ve výši 500 EUR týdně na všechny hazardní hry a sázky, kterých se účastní, hráč může v rámci navrhovaného režimu, pokud má více než jeden hráčský účet na různých stránkách on-line hazardních her, vkládat na své hráčské účty výrazně vyšší částky, například celkem 1 000 EUR za týden, pokud má pět hráčských účtů.</w:t>
            </w:r>
          </w:p>
          <w:p w14:paraId="5AF0FF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2F7C9F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65E46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 ohledem na sledovaný cíl chránit spotřebitele a účinně bojovat proti nadměrným výdajům a závislosti na hazardních hrách bude zpráva pro krále doplněna s cílem jasněji stanovit prvky, které umožňují dojít k závěru, že navrhovaná změna je skutečně takové povahy, že lépe chrání hráče, „zejména ty nejzranitelnější z nich“.</w:t>
            </w:r>
          </w:p>
        </w:tc>
      </w:tr>
      <w:tr w:rsidR="00914531" w:rsidRPr="001333C1" w14:paraId="449F49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0ACE7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w:t>
            </w:r>
            <w:r>
              <w:rPr>
                <w:rFonts w:ascii="Calibri" w:hAnsi="Calibri"/>
                <w:sz w:val="24"/>
              </w:rPr>
              <w:tab/>
              <w:t>S výhradou těchto základních připomínek jsou níže uvedeny zvláštní připomínky.</w:t>
            </w:r>
          </w:p>
        </w:tc>
      </w:tr>
      <w:tr w:rsidR="00914531" w:rsidRPr="001333C1" w14:paraId="5F423D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CAF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03ACF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34E32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ZVLÁŠTNÍ PŘIPOMÍNKY</w:t>
            </w:r>
          </w:p>
          <w:p w14:paraId="06FAD7F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2E5252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0ABB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PREAMBULE</w:t>
            </w:r>
          </w:p>
          <w:p w14:paraId="25399D3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C01825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7239B1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Jediným právním základem návrhu uvedeného v prvním pododstavci je článek 55/1 zákona ze dne 7. května 1999. Toto ustanovení však neopravňuje krále změnit královský výnos ze dne 25. října 2018, ani stanovit nabytí účinnosti jeho čl. 6 § 1 bodu 1 písm. b).</w:t>
            </w:r>
          </w:p>
        </w:tc>
      </w:tr>
      <w:tr w:rsidR="00914531" w:rsidRPr="001333C1" w14:paraId="43A7FD6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F149C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Se souhlasem zástupce ministra se první pododstavec doplňuje odkazem na čl. 43/8 § 2 bod 2 zákona ze dne 7. května 1999, který opravňuje krále ke změně královského výnosu ze dne 25. října 2018.</w:t>
            </w:r>
          </w:p>
        </w:tc>
      </w:tr>
      <w:tr w:rsidR="00914531" w:rsidRPr="001333C1" w14:paraId="39BDDD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B250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Pokud jde o článek 10 návrhu, který stanoví nabytí účinnosti čl. 6 § 1 bodu 1 písm. b) téhož </w:t>
            </w:r>
            <w:r>
              <w:rPr>
                <w:rFonts w:ascii="Calibri" w:hAnsi="Calibri"/>
                <w:sz w:val="24"/>
              </w:rPr>
              <w:lastRenderedPageBreak/>
              <w:t>královského výnosu, odkazuje se na zvláštní připomínku uvedenou v článku 10.</w:t>
            </w:r>
          </w:p>
        </w:tc>
      </w:tr>
      <w:tr w:rsidR="00914531" w:rsidRPr="00914531" w14:paraId="603E030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E6619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lastRenderedPageBreak/>
              <w:t>PŘEDPIS</w:t>
            </w:r>
          </w:p>
          <w:p w14:paraId="7839E61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6A623B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608418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Článek 3</w:t>
            </w:r>
          </w:p>
          <w:p w14:paraId="45C67AC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5E931DF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9E0B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Vzhledem k tomu, že v okamžiku, kdy jsou identifikační údaje hráče předány Belgické národní bance k ověření, ještě není prokázáno, že hráč je v prodlení s platbou ve smyslu článku VII.148 zákoníku hospodářského práva, je nesprávné uvést v čl. 3 § 1 prvním pododstavci návrhu, že </w:t>
            </w:r>
          </w:p>
          <w:p w14:paraId="2B32FFF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520087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F282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Identifikační údaje hráčů v prodlení s platbou ve smyslu článku VII.148 zákoníku hospodářského práva mohou být předány […]“. </w:t>
            </w:r>
          </w:p>
          <w:p w14:paraId="0E9855C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35BF3B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F18E2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 tomto ohledu zástupce ministra navrhuje následující znění čl. 3 § 1 prvního pododstavce návrhu:</w:t>
            </w:r>
          </w:p>
          <w:p w14:paraId="25E74E9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18A8EE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447F6D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Identifikační údaje hráče žádajícího o zvýšení jeho herního limitu podle čl. 6 § 1 bodu 1 písm. b) královského výnosu ze dne 25. října 2018 mohou být předány Belgické národní bance, aby ověřila, zda je o hráči ve spise v centrálním registru úvěrů fyzických osob uvedeno, že je v prodlení s platbou ve smyslu článku VII.148 zákoníku hospodářského práva.“</w:t>
            </w:r>
          </w:p>
          <w:p w14:paraId="57D4C5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A16BE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DE16A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u w:val="single"/>
              </w:rPr>
            </w:pPr>
            <w:r>
              <w:rPr>
                <w:rFonts w:ascii="Calibri" w:hAnsi="Calibri"/>
                <w:sz w:val="24"/>
              </w:rPr>
              <w:t>Znění bude za tímto účelem upraveno a slova „královského výnosu ze dne 25. října 2018“ se nahradí slovy „královského výnosu ze dne 25. října 2018 o postupech pro provozování hazardních her a sázek s využitím nástrojů informační společnosti“.</w:t>
            </w:r>
          </w:p>
        </w:tc>
      </w:tr>
      <w:tr w:rsidR="00914531" w:rsidRPr="00914531" w14:paraId="0FE1BBE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8524C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Článek 9</w:t>
            </w:r>
          </w:p>
        </w:tc>
      </w:tr>
      <w:tr w:rsidR="00914531" w:rsidRPr="001333C1" w14:paraId="1AB332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F1F79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Opatření uvedené v článku 9, jehož cílem je změnit čl. 6 § 1 bod 1 písm. a) královského výnosu ze dne 25. října 2018 tak, aby maximální částka vkladů na hráčské účty on-line činila 200 EUR namísto 500 EUR týdně, pravděpodobně bude mít dopad na daňovou pravomoc federovaných jednotek. V tomto ohledu legislativní sekce ve svém stanovisku č. 63.662/VR vydaném dne 17. července 2018 k návrhu, který se stal královským výnosem ze dne 25. října 2018 (7), uvedla:</w:t>
            </w:r>
          </w:p>
        </w:tc>
      </w:tr>
      <w:tr w:rsidR="00914531" w:rsidRPr="001333C1" w14:paraId="4BB5E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949F7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Jak připomněl Ústavní soud ve svém nálezu č. 114/2005 ze dne 30. června 2005 (8), pravomoc stanovit podmínky, za kterých se mohou provádět činnosti tolerovaných hazardních her a sázek, a organizovat kontrolu vyžadovanou kvůli nebezpečné povaze těchto činností, náleží federálnímu orgánu (9).</w:t>
            </w:r>
          </w:p>
        </w:tc>
      </w:tr>
      <w:tr w:rsidR="00914531" w:rsidRPr="001333C1" w14:paraId="774BB57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71C9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Přezkoumávaný návrh výnosu spadá do tohoto rámce, a je tedy v kompetenci jeho autora.“</w:t>
            </w:r>
          </w:p>
        </w:tc>
      </w:tr>
      <w:tr w:rsidR="00914531" w:rsidRPr="001333C1" w14:paraId="04AA0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7CCBF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Tato připomínka se opakuje v souvislosti s článkem 9 návrhu.</w:t>
            </w:r>
          </w:p>
        </w:tc>
      </w:tr>
      <w:tr w:rsidR="00914531" w:rsidRPr="001333C1" w14:paraId="2C74C9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21D8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w:t>
            </w:r>
            <w:r>
              <w:rPr>
                <w:rFonts w:ascii="Calibri" w:hAnsi="Calibri"/>
                <w:sz w:val="24"/>
              </w:rPr>
              <w:tab/>
              <w:t>Královský výnos ze dne 25. října 2018 je nebo byl zcela nebo zčásti předmětem četných návrhů na úplné nebo částečné zrušení (10); některé z nich vyústily v rozsudky, které zrušily některá ustanovení tohoto královského dekretu (11). Žaloba s referenčním číslem G/A. 227.138/XI.22.372 se domáhá zrušení „přinejmenším, podpůrně, jeho článku 1, čl. 6 § 1 bodu 1 a čl. 6 § 2“.</w:t>
            </w:r>
          </w:p>
        </w:tc>
      </w:tr>
      <w:tr w:rsidR="00914531" w:rsidRPr="001333C1" w14:paraId="6FD667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6DF18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Tyto četné soudní spory, jakož i praktické obtíže při provádění zamýšlené změny čl. 6 § 1 bodu 1 písm. a) královského výnosu ze dne 25. října 2018, zdůraznil inspektor financí ve svém stanovisku ze dne 5. července 2021 způsobem, který lze shrnout takto:</w:t>
            </w:r>
          </w:p>
        </w:tc>
      </w:tr>
      <w:tr w:rsidR="00914531" w:rsidRPr="001333C1" w14:paraId="0619436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5E0AA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změna tohoto ustanovení v době, kdy probíhá řízení před Státní radou;</w:t>
            </w:r>
          </w:p>
          <w:p w14:paraId="25CB5F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2BFB93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3C6A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riziko většího počtu žádostí o zvýšení limitu pro vklad na účty u stejného provozovatele nebo u jiného provozovatele, pokud je hráč odmítnut a pokud se domnívá, že je pro toto zvýšení způsobilý;</w:t>
            </w:r>
          </w:p>
        </w:tc>
      </w:tr>
      <w:tr w:rsidR="00914531" w:rsidRPr="001333C1" w14:paraId="1A571EA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3270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„automatická“ povaha odmítnutí, pokud je hráč zapsán do centrálního registru úvěrů, ačkoli může dojít k chybám;</w:t>
            </w:r>
          </w:p>
          <w:p w14:paraId="2A04EF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EAB55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3FEE7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budou nevyhnutelně podána správní odvolání.</w:t>
            </w:r>
          </w:p>
        </w:tc>
      </w:tr>
      <w:tr w:rsidR="00914531" w:rsidRPr="001333C1" w14:paraId="448AA85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0DDA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Po dotazu ohledně těchto obtíží zástupce ministra nepopírá možnost podávaných odvolání, riziko proměnlivosti situace u hráčů, kteří by mohli neustále měnit provozovatele, a upřesňuje, že</w:t>
            </w:r>
          </w:p>
        </w:tc>
      </w:tr>
      <w:tr w:rsidR="00914531" w:rsidRPr="001333C1" w14:paraId="750054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669D44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Je třeba poznamenat, že na základě informací poskytnutých Komisí pro hazardní hry v červnu 2021 bude asi 45 % ze 100 000 každodenních hráčů pravděpodobně požadovat zvýšení jejich herního limitu. Kromě toho se měsíčně zaregistruje v průměru 70 000 nových hráčů a Komise pro hazardní hry odhaduje, že asi 40 % těchto hráčů by mohlo požádat o zvýšení jejich herního limitu.</w:t>
            </w:r>
          </w:p>
        </w:tc>
      </w:tr>
      <w:tr w:rsidR="00914531" w:rsidRPr="001333C1" w14:paraId="2C524A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DBD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 když skutečnost, že provádění právního předpisu, včetně jeho financování, může být komplikované, není důkazem jeho nezákonnosti, změna právního předpisu, který byl napaden před oddělením správního soudnictví Státní rady, může vyvolat obtíže, pokud jde o právní jistotu.</w:t>
            </w:r>
          </w:p>
        </w:tc>
      </w:tr>
      <w:tr w:rsidR="00914531" w:rsidRPr="00914531" w14:paraId="53FFABD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C320D4" w14:textId="77777777" w:rsidR="00012F63" w:rsidRDefault="00012F63" w:rsidP="00914531">
            <w:pPr>
              <w:widowControl w:val="0"/>
              <w:autoSpaceDE w:val="0"/>
              <w:autoSpaceDN w:val="0"/>
              <w:adjustRightInd w:val="0"/>
              <w:jc w:val="center"/>
              <w:rPr>
                <w:rFonts w:ascii="Calibri" w:hAnsi="Calibri"/>
                <w:sz w:val="24"/>
                <w:u w:val="single"/>
              </w:rPr>
            </w:pPr>
          </w:p>
          <w:p w14:paraId="6C0D443C" w14:textId="2C6B3AFF"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Článek 10</w:t>
            </w:r>
          </w:p>
        </w:tc>
      </w:tr>
      <w:tr w:rsidR="00914531" w:rsidRPr="001333C1" w14:paraId="0B7643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70C65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Článek 10 návrhu stanoví nabytí účinnosti čl. 6 § 1 bodu 1 písm. b) královského výnosu ze dne 25. října 2018 „ve stejný den jako tento výnos“.</w:t>
            </w:r>
          </w:p>
        </w:tc>
      </w:tr>
      <w:tr w:rsidR="00914531" w:rsidRPr="001333C1" w14:paraId="3879F4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106E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Nabytí účinnosti tohoto ustanovení je stanoven v čl. 13 prvním pododstavci téhož královského výnosu takto:</w:t>
            </w:r>
          </w:p>
        </w:tc>
      </w:tr>
      <w:tr w:rsidR="00914531" w:rsidRPr="001333C1" w14:paraId="762C2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AB28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Tento výnos nabývá účinnosti prvním dnem osmého měsíce po jeho vyhlášení v belgickém úředním věstníku Moniteur belge, s výjimkou čl. 6 § 1 bodu 1 písm. b), který nabude účinnosti nejpozději v 1. ledna 2019 nebo případně k pozdějšímu datu stanovenému králem na základě výnosu projednaného v Radě ministrů.</w:t>
            </w:r>
          </w:p>
        </w:tc>
      </w:tr>
      <w:tr w:rsidR="00914531" w:rsidRPr="001333C1" w14:paraId="5F57C8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5E723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Zpráva pro krále v souvislosti s článkem 13 objasňuje, že:</w:t>
            </w:r>
          </w:p>
        </w:tc>
      </w:tr>
      <w:tr w:rsidR="00914531" w:rsidRPr="001333C1" w14:paraId="520CA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5A085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Článek 13 stanoví přechodné období v délce osmi měsíců, aby se provozovatelé hazardních her a sázek mohli přizpůsobit novým licenčním požadavkům, s výjimkou čl. 6 § 1 bodu 1 písm. b), který nabude účinnosti nejpozději do 1. ledna 2019“.</w:t>
            </w:r>
          </w:p>
          <w:p w14:paraId="3A2900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2835A9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AF776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 ohledem na tuto jasnou informaci ve zprávě pro krále je třeba mít za to, že vzhledem k neexistenci královského výnosu přijatého před 1. lednem 2019 nabyl čl. 6 § 1 bod 1 písm. b) účinnosti k tomuto datu.</w:t>
            </w:r>
          </w:p>
        </w:tc>
      </w:tr>
      <w:tr w:rsidR="00914531" w:rsidRPr="001333C1" w14:paraId="4380AD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43655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Článek 13 první pododstavec královského výnosu ze dne 25. října 2018 nelze chápat tak, že umožňuje králi přijmout královský výnos projednaný v Radě ministrů po datu 1. ledna 2019, který by stanovil nabytí účinnosti čl. 6 § 1 bodu 1 písm. b) uvedeného výnosu, jelikož by se tím z požadavku, aby toto ustanovení nabylo účinnosti „nejpozději do ledna 2019“, odstranil jakýkoli právní dosah.</w:t>
            </w:r>
          </w:p>
        </w:tc>
      </w:tr>
      <w:tr w:rsidR="00914531" w:rsidRPr="001333C1" w14:paraId="4B5705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A8CEC6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 důsledku toho bude článek 10 návrhu zrušen.</w:t>
            </w:r>
          </w:p>
        </w:tc>
      </w:tr>
      <w:tr w:rsidR="00914531" w:rsidRPr="00914531" w14:paraId="41CCF84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6CED0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228524B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5ECA5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3B5BDAE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DDD0C0"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STÁTNÍ TAJEMNÍK</w:t>
            </w:r>
          </w:p>
          <w:p w14:paraId="209E3AE8"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Charles-Henri VAN HOVE</w:t>
            </w:r>
          </w:p>
          <w:p w14:paraId="714691FF"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lang w:val="fr-FR"/>
              </w:rPr>
            </w:pPr>
          </w:p>
        </w:tc>
      </w:tr>
      <w:tr w:rsidR="00914531" w:rsidRPr="00914531" w14:paraId="1EB45EA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EA702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PŘEDSEDKYNĚ</w:t>
            </w:r>
          </w:p>
          <w:p w14:paraId="35DDF2B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Martine BAGUET</w:t>
            </w:r>
          </w:p>
        </w:tc>
      </w:tr>
      <w:tr w:rsidR="00914531" w:rsidRPr="00914531" w14:paraId="1858AD2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8A0B55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6A2A4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F8A5D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Poznámky</w:t>
            </w:r>
          </w:p>
          <w:p w14:paraId="09FFD53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nl-BE"/>
              </w:rPr>
            </w:pPr>
          </w:p>
        </w:tc>
      </w:tr>
      <w:tr w:rsidR="00914531" w:rsidRPr="001333C1" w14:paraId="2E62734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895301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lastRenderedPageBreak/>
              <w:t>(1)</w:t>
            </w:r>
            <w:r>
              <w:rPr>
                <w:rFonts w:ascii="Times New Roman" w:hAnsi="Times New Roman"/>
                <w:sz w:val="24"/>
              </w:rPr>
              <w:t xml:space="preserve"> </w:t>
            </w:r>
            <w:r>
              <w:rPr>
                <w:rFonts w:ascii="Calibri" w:hAnsi="Calibri"/>
                <w:sz w:val="24"/>
              </w:rPr>
              <w:t>Parl. dokument, senát, 2020–2021, č. 55–1951/1, s. 55 až 127, http://www.raadvst-consetat.be/dbx/avis/68936.pdf.</w:t>
            </w:r>
          </w:p>
        </w:tc>
      </w:tr>
      <w:tr w:rsidR="00914531" w:rsidRPr="001333C1" w14:paraId="67F8C28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EDB9AC"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(2)</w:t>
            </w:r>
            <w:r>
              <w:rPr>
                <w:rFonts w:ascii="Times New Roman" w:hAnsi="Times New Roman"/>
                <w:sz w:val="24"/>
              </w:rPr>
              <w:t xml:space="preserve"> </w:t>
            </w:r>
            <w:r>
              <w:rPr>
                <w:rFonts w:ascii="Calibri" w:hAnsi="Calibri"/>
                <w:sz w:val="24"/>
              </w:rPr>
              <w:t>Poznámka pod čarou 172 uváděného stanoviska: Stanovisko EK č. 63.192/2 ze dne 19. dubna 2018 k předběžnému návrhu zákona ze dne 30. července 2018 o ochraně fyzických osob v souvislosti se zpracováním osobních údajů, Parl. dokument, senát, 2017–2018, č. 54–3126/001, s. 402 až 456, http://www.raadvst-consetat.be/dbx/avis/63192.pdf; stanovisko EK č. 63.202/2 ze dne 26. dubna 2018 k předběžnému návrhu zákona, který se stal zákonem ze dne 5. září 2018, kterým se zřizuje Výbor pro bezpečnost informací a kterým se mění různé zákony týkající se provádění nařízení Evropského parlamentu a Rady (EU) 2016/679 ze dne 27. dubna 2016 o ochraně fyzických osob v souvislosti se zpracováním osobních údajů a o volném pohybu těchto údajů a o zrušení směrnice 95/46/ES, Parl. dokument, senát, 2017–2018, č. 54–3185/001, s. 120 až 145, http://www.raadvstconsetat.be/dbx/avis/63202.pdf.</w:t>
            </w:r>
          </w:p>
        </w:tc>
      </w:tr>
      <w:tr w:rsidR="00914531" w:rsidRPr="001333C1" w14:paraId="56957F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4B234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(3)</w:t>
            </w:r>
            <w:r>
              <w:rPr>
                <w:rFonts w:ascii="Times New Roman" w:hAnsi="Times New Roman"/>
                <w:sz w:val="24"/>
              </w:rPr>
              <w:t xml:space="preserve"> </w:t>
            </w:r>
            <w:r>
              <w:rPr>
                <w:rFonts w:ascii="Calibri" w:hAnsi="Calibri"/>
                <w:sz w:val="24"/>
              </w:rPr>
              <w:t>Poznámka pod čarou 173 uváděného stanoviska: Čl. 8 odst. 2 EÚLP.</w:t>
            </w:r>
          </w:p>
        </w:tc>
      </w:tr>
      <w:tr w:rsidR="00914531" w:rsidRPr="001333C1" w14:paraId="3C7BB2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489B54"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(4)</w:t>
            </w:r>
            <w:r>
              <w:rPr>
                <w:rFonts w:ascii="Times New Roman" w:hAnsi="Times New Roman"/>
                <w:sz w:val="24"/>
              </w:rPr>
              <w:t xml:space="preserve"> </w:t>
            </w:r>
            <w:r>
              <w:rPr>
                <w:rFonts w:ascii="Calibri" w:hAnsi="Calibri"/>
                <w:sz w:val="24"/>
              </w:rPr>
              <w:t>Poznámka pod čarou 174 uváděného stanoviska: Již uvedeno výše, čísla 70 a následující.</w:t>
            </w:r>
          </w:p>
        </w:tc>
      </w:tr>
      <w:tr w:rsidR="00914531" w:rsidRPr="001333C1" w14:paraId="4B39E6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88CD5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(5)</w:t>
            </w:r>
            <w:r>
              <w:rPr>
                <w:rFonts w:ascii="Times New Roman" w:hAnsi="Times New Roman"/>
                <w:sz w:val="24"/>
              </w:rPr>
              <w:t xml:space="preserve"> </w:t>
            </w:r>
            <w:r>
              <w:rPr>
                <w:rFonts w:ascii="Calibri" w:hAnsi="Calibri"/>
                <w:sz w:val="24"/>
              </w:rPr>
              <w:t>Poznámka pod čarou 175 uváděného stanoviska: Ustálená judikatura Ústavního soudu: viz zejména věc C. C., 18. března 2010, č. 29/2010, B.16.1; C. C., 20. února 2020, č. 27/2020, B.17.</w:t>
            </w:r>
          </w:p>
        </w:tc>
      </w:tr>
      <w:tr w:rsidR="00914531" w:rsidRPr="001333C1" w14:paraId="1952661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4FBEAB"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(6)</w:t>
            </w:r>
            <w:r>
              <w:rPr>
                <w:rFonts w:ascii="Times New Roman" w:hAnsi="Times New Roman"/>
                <w:sz w:val="24"/>
              </w:rPr>
              <w:t xml:space="preserve"> </w:t>
            </w:r>
            <w:r>
              <w:rPr>
                <w:rFonts w:ascii="Calibri" w:hAnsi="Calibri"/>
                <w:sz w:val="24"/>
              </w:rPr>
              <w:t>Judikatura, která byla rovněž nedávno citována ve věci C. C., 10. března 2022, č. 33/2022, B.13.1.</w:t>
            </w:r>
          </w:p>
        </w:tc>
      </w:tr>
      <w:tr w:rsidR="00914531" w:rsidRPr="001333C1" w14:paraId="49B8EE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241EA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(7) http://www.raadvst-consetat.be/dbx/avis/63662.pdf.</w:t>
            </w:r>
          </w:p>
        </w:tc>
      </w:tr>
      <w:tr w:rsidR="00914531" w:rsidRPr="001333C1" w14:paraId="192882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6ABD57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(8) Poznámka pod čarou 1 uváděného stanoviska: Bod odůvodnění B.13.</w:t>
            </w:r>
          </w:p>
        </w:tc>
      </w:tr>
      <w:tr w:rsidR="00914531" w:rsidRPr="001333C1" w14:paraId="50B071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18E90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(9)</w:t>
            </w:r>
            <w:r>
              <w:rPr>
                <w:rFonts w:ascii="Times New Roman" w:hAnsi="Times New Roman"/>
                <w:sz w:val="24"/>
              </w:rPr>
              <w:t xml:space="preserve"> </w:t>
            </w:r>
            <w:r>
              <w:rPr>
                <w:rFonts w:ascii="Calibri" w:hAnsi="Calibri"/>
                <w:sz w:val="24"/>
              </w:rPr>
              <w:t>Poznámka pod čarou 2 uváděného stanoviska: Pokud jde o limity, které jsou podle čl. 3 pododstavce 1 bodu 1 zvláštního zákona ze dne 16. ledna 1989 o financování společenství a regionů spojeny s daňovou pravomocí federálního orgánu v oblasti hazardních her a sázek, viz C. C., 22. března 2018, č. 34/2018, bod odůvodnění B.13.</w:t>
            </w:r>
          </w:p>
        </w:tc>
      </w:tr>
      <w:tr w:rsidR="00914531" w:rsidRPr="001333C1" w14:paraId="68391D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118C1E"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(10)</w:t>
            </w:r>
            <w:r>
              <w:rPr>
                <w:rFonts w:ascii="Times New Roman" w:hAnsi="Times New Roman"/>
                <w:sz w:val="24"/>
              </w:rPr>
              <w:t xml:space="preserve"> </w:t>
            </w:r>
            <w:r>
              <w:rPr>
                <w:rFonts w:ascii="Calibri" w:hAnsi="Calibri"/>
                <w:sz w:val="24"/>
              </w:rPr>
              <w:t>Viz referenční čísla G/A. 227.048/XI-22.358, G/A. 227.050/VII-40.459, G/A. 227.051/XI-22.359, G/A. 227.052/VII 40.460, G/A. 227.068/VII-40.461, G/A. 227.073/VII-40.463 a G/A 227.109/XI-22.369, G/A. 227.138/XI.22.372.</w:t>
            </w:r>
          </w:p>
        </w:tc>
      </w:tr>
      <w:tr w:rsidR="00914531" w:rsidRPr="001333C1" w14:paraId="0ECD55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23C4FC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(11)</w:t>
            </w:r>
            <w:r>
              <w:rPr>
                <w:rFonts w:ascii="Times New Roman" w:hAnsi="Times New Roman"/>
                <w:sz w:val="24"/>
              </w:rPr>
              <w:t xml:space="preserve"> </w:t>
            </w:r>
            <w:r>
              <w:rPr>
                <w:rFonts w:ascii="Calibri" w:hAnsi="Calibri"/>
                <w:sz w:val="24"/>
              </w:rPr>
              <w:t>Ve věci G/A. 227.048, rozsudek č. 246.998 ze dne 6. února 2020 zrušil čl. 1 pododstavec 1 a čl. 3 § 2 a 3 královského výnosu ze dne 25. října 2018, jakož i ve věci G/A. 227.051, rozsudek č. 246.999 ze dne 6. února 2020 zrušil v čl. 5 bodě 1 a článku 11 téhož královského výnosu slova „s výjimkou případů, kdy tomu tak je na jejich vlastních internetových stránkách“.</w:t>
            </w:r>
          </w:p>
        </w:tc>
      </w:tr>
      <w:tr w:rsidR="00914531" w:rsidRPr="00914531" w14:paraId="03BFD0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65A5D7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2C08F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ACDDA9"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212C327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047A24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19 ČERVEN 2022 – Královský výnos, kterým se stanoví postupy umožňující belgické Komisi pro hazardní hry nahlédnout do centrálního registru úvěrů fyzických osob (Centrale des crédits aux particuliers) a kterým se mění ustanovení o omezení on-line hazardních her.</w:t>
            </w:r>
          </w:p>
          <w:p w14:paraId="7729FF1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4D15B7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996EC7"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PHILIPPE, král Belgičanů,</w:t>
            </w:r>
          </w:p>
          <w:p w14:paraId="143B96D2"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04A7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2F7E14"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s pozdravem všem zde přítomným i příchozím.</w:t>
            </w:r>
          </w:p>
        </w:tc>
      </w:tr>
      <w:tr w:rsidR="00914531" w:rsidRPr="001333C1" w14:paraId="53CE26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FA051B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 ohledem na zákon ze dne 7. května 1999 o hazardních hrách, sázkách, zařízeních pro hazardní hry a ochraně hráčů, čl. 43/8 § 2 bod 2, který byl vložen zákonem ze dne 10. ledna 2010, a článek 55/1, který byl vložen zákonem ze dne 7. května 2019;</w:t>
            </w:r>
          </w:p>
          <w:p w14:paraId="046C8F9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3D1137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69DF8C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s ohledem na královský výnos ze dne 25. října 2018 o postupech pro provozování hazardních her a sázek s využitím nástrojů informační společnosti;</w:t>
            </w:r>
          </w:p>
          <w:p w14:paraId="155EE05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627DAC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6E590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 ohledem na stanovisko Komise pro hazardní hry vydané dne 20. ledna 2021 a 21. dubna 2021;</w:t>
            </w:r>
          </w:p>
          <w:p w14:paraId="1FF2F1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3DAA8A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201A46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 ohledem na stanovisko finančního inspektora ze dne 27. dubna 2021 a 5. července 2021;</w:t>
            </w:r>
          </w:p>
          <w:p w14:paraId="140C79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CF19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28731C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 ohledem na souhlas státního tajemníka pro rozpočet, který byl vydán ve dnech 11. května 2021 a 15. července 2021;</w:t>
            </w:r>
          </w:p>
          <w:p w14:paraId="278DD9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6A691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F0CA083" w14:textId="77777777" w:rsidR="00914531" w:rsidRPr="00914531" w:rsidRDefault="00914531" w:rsidP="00914531">
            <w:pPr>
              <w:jc w:val="both"/>
              <w:rPr>
                <w:rFonts w:ascii="Calibri" w:eastAsia="Times New Roman" w:hAnsi="Calibri" w:cs="Calibri"/>
                <w:sz w:val="24"/>
                <w:szCs w:val="24"/>
              </w:rPr>
            </w:pPr>
            <w:r>
              <w:rPr>
                <w:rFonts w:ascii="Calibri" w:hAnsi="Calibri"/>
                <w:sz w:val="24"/>
              </w:rPr>
              <w:t>s ohledem na posouzení dopadů nařízení provedené v souladu s články 6 a 7 zákona ze dne 15. prosince 2013 obsahující různá ustanovení týkající se administrativního zjednodušení;</w:t>
            </w:r>
          </w:p>
          <w:p w14:paraId="12767D0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D5CE5B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F1ADCA2" w14:textId="77777777" w:rsidR="00914531" w:rsidRPr="00914531" w:rsidRDefault="00914531" w:rsidP="00914531">
            <w:pPr>
              <w:jc w:val="both"/>
              <w:rPr>
                <w:rFonts w:ascii="Calibri" w:eastAsia="Times New Roman" w:hAnsi="Calibri" w:cs="Calibri"/>
                <w:bCs/>
                <w:sz w:val="24"/>
                <w:szCs w:val="24"/>
              </w:rPr>
            </w:pPr>
            <w:r>
              <w:rPr>
                <w:rFonts w:ascii="Calibri" w:hAnsi="Calibri"/>
                <w:sz w:val="24"/>
              </w:rPr>
              <w:t>s ohledem na stanovisko úřadu pro ochranu údajů č. 177/2021 ze dne 4. října 2021;</w:t>
            </w:r>
          </w:p>
          <w:p w14:paraId="648F02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1C5A0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FE485D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s ohledem na sdělení Evropské komisi 2021/0845/B ze dne 9. prosince 2021 podle čl. 5 odst. 1 směrnice Evropského parlamentu a Rady (EU) 2015/1535 ze dne 9. září 2015 o postupu při poskytování informací v oblasti technických předpisů a předpisů pro služby informační společnosti;</w:t>
            </w:r>
          </w:p>
          <w:p w14:paraId="0CEED74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B34C7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B0E2A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s ohledem na stanovisko Státní rady 71.218/4 ze dne 19. dubna 2022 podle čl. 84 § 1 pododstavce 1 bodu 2 zákonů o Státní radě, koordinovaných dne 12. ledna 1973; </w:t>
            </w:r>
          </w:p>
          <w:p w14:paraId="7DF540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03E11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891D8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F1947A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3F4A7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 návrh ministra hospodářství, ministra financí, ministra zdravotnictví, ministra spravedlnosti, ministra vnitra a státního tajemníka pro národní loterii a stanoviska ministrů, kteří je v Radě projednali,</w:t>
            </w:r>
          </w:p>
        </w:tc>
      </w:tr>
      <w:tr w:rsidR="00914531" w:rsidRPr="001333C1" w14:paraId="671B0A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DF646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SE TÍMTO STANOVÍ:</w:t>
            </w:r>
          </w:p>
          <w:p w14:paraId="001CACB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FR"/>
              </w:rPr>
            </w:pPr>
          </w:p>
        </w:tc>
      </w:tr>
      <w:tr w:rsidR="00914531" w:rsidRPr="001333C1" w14:paraId="1CD520A0" w14:textId="77777777" w:rsidTr="00337224">
        <w:tc>
          <w:tcPr>
            <w:tcW w:w="4678" w:type="dxa"/>
            <w:tcBorders>
              <w:top w:val="nil"/>
              <w:left w:val="nil"/>
              <w:bottom w:val="nil"/>
              <w:right w:val="nil"/>
            </w:tcBorders>
          </w:tcPr>
          <w:p w14:paraId="135F5992"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KAPITOLA 1 – Postupy umožňující Komisi pro hazardní hry nahlédnout do centrálního registru úvěrů fyzických osob v Belgické národní bance</w:t>
            </w:r>
          </w:p>
          <w:p w14:paraId="4BFBFAE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lang w:val="fr-BE"/>
              </w:rPr>
            </w:pPr>
          </w:p>
        </w:tc>
      </w:tr>
      <w:tr w:rsidR="00914531" w:rsidRPr="001333C1" w14:paraId="457C9A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515026" w14:textId="77777777" w:rsidR="00914531" w:rsidRPr="00914531" w:rsidRDefault="00914531" w:rsidP="00914531">
            <w:pPr>
              <w:keepNext/>
              <w:jc w:val="both"/>
              <w:outlineLvl w:val="4"/>
              <w:rPr>
                <w:rFonts w:ascii="Calibri" w:eastAsia="Times New Roman" w:hAnsi="Calibri" w:cs="Calibri"/>
                <w:b/>
                <w:bCs/>
                <w:snapToGrid w:val="0"/>
                <w:sz w:val="24"/>
                <w:szCs w:val="24"/>
              </w:rPr>
            </w:pPr>
            <w:r>
              <w:rPr>
                <w:rFonts w:ascii="Calibri" w:hAnsi="Calibri"/>
                <w:b/>
                <w:snapToGrid w:val="0"/>
                <w:sz w:val="24"/>
              </w:rPr>
              <w:t>Článek</w:t>
            </w:r>
            <w:r>
              <w:rPr>
                <w:rFonts w:ascii="Calibri" w:hAnsi="Calibri"/>
                <w:b/>
                <w:snapToGrid w:val="0"/>
                <w:sz w:val="24"/>
                <w:vertAlign w:val="superscript"/>
              </w:rPr>
              <w:t> </w:t>
            </w:r>
            <w:r>
              <w:rPr>
                <w:rFonts w:ascii="Calibri" w:hAnsi="Calibri"/>
                <w:b/>
                <w:snapToGrid w:val="0"/>
                <w:sz w:val="24"/>
              </w:rPr>
              <w:t>1</w:t>
            </w:r>
            <w:r>
              <w:rPr>
                <w:rFonts w:ascii="Calibri" w:hAnsi="Calibri"/>
                <w:snapToGrid w:val="0"/>
                <w:sz w:val="24"/>
              </w:rPr>
              <w:t xml:space="preserve"> Nahlédnutí do centrálního registru úvěrů fyzických osob v Belgické národní bance Komise pro hazardní hry provádí pro účely uvedené v čl. 6 odst. 1 královského výnosu ze dne 25. října 2018 o postupech pro provozování hazardních her a sázek s využitím nástrojů informační společnosti.</w:t>
            </w:r>
          </w:p>
        </w:tc>
      </w:tr>
      <w:tr w:rsidR="00914531" w:rsidRPr="001333C1" w14:paraId="0D74B6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8353D1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39441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18A39F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Článek 2</w:t>
            </w:r>
            <w:r>
              <w:rPr>
                <w:rFonts w:ascii="Calibri" w:hAnsi="Calibri"/>
                <w:sz w:val="24"/>
              </w:rPr>
              <w:t xml:space="preserve"> Belgická národní banka stanoví technické postupy umožňující Komisi pro hazardní hry nahlédnout do centrálního registru úvěrů fyzických osob v Belgické národní bance.</w:t>
            </w:r>
          </w:p>
          <w:p w14:paraId="3EDEC76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D33D10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A3086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Článek 3 </w:t>
            </w:r>
            <w:r>
              <w:rPr>
                <w:rFonts w:ascii="Calibri" w:hAnsi="Calibri"/>
                <w:sz w:val="24"/>
              </w:rPr>
              <w:t>§</w:t>
            </w:r>
            <w:r>
              <w:rPr>
                <w:rFonts w:ascii="Calibri" w:hAnsi="Calibri"/>
                <w:sz w:val="24"/>
                <w:vertAlign w:val="superscript"/>
              </w:rPr>
              <w:t> </w:t>
            </w:r>
            <w:r>
              <w:rPr>
                <w:rFonts w:ascii="Calibri" w:hAnsi="Calibri"/>
                <w:sz w:val="24"/>
              </w:rPr>
              <w:t>1. Identifikační údaje hráče žádajícího o zvýšení jeho herního limitu podle článku 6 § 1 bodu 1 písm. b) královského výnosu ze dne 25. října 2018 o postupech pro provozování hazardních her a sázek s využitím nástrojů informační společnosti se předají Belgické národní bance, aby ověřila, zda je o hráči ve spise v centrálním registru úvěrů fyzických osob uvedeno, že je v prodlení s platbou ve smyslu článku VII.148 zákoníku hospodářského práva.</w:t>
            </w:r>
          </w:p>
          <w:p w14:paraId="2E87076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298782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E71F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Identifikační údaje uvedené v prvním pododstavci zahrnují:</w:t>
            </w:r>
          </w:p>
          <w:p w14:paraId="18A525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261C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E46F9B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národní registrační číslo hráče, pokud je držiteli licence známo; </w:t>
            </w:r>
          </w:p>
          <w:p w14:paraId="03E6B12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658C2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511C90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pokud držitel licence národní registrační číslo hráče nezná, příjmení, jméno a datum narození.</w:t>
            </w:r>
          </w:p>
        </w:tc>
      </w:tr>
      <w:tr w:rsidR="00914531" w:rsidRPr="001333C1" w14:paraId="1F90E40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62B20A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56CBBB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88212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Údaje o zaznamenaných půjčkách se neposkytují.</w:t>
            </w:r>
          </w:p>
        </w:tc>
      </w:tr>
      <w:tr w:rsidR="00914531" w:rsidRPr="001333C1" w14:paraId="215979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76B5B6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2 Národní registrační číslo hráče se použije výhradně za účelem zjištění toho, zda je o hráči ve složce centrálního registru úvěrů fyzických osob uvedeno, že je v prodlení s platbou.</w:t>
            </w:r>
          </w:p>
          <w:p w14:paraId="6C9EC0D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730613C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8AE20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Z důvodů uvedených v čl. 6 odst. 1 královského výnosu ze dne 25. října 2018 o postupech pro provozování hazardních her a sázek s využitím nástrojů informační společnosti je Komise pro hazardní hry oprávněna používat národní registrační číslo jako kritéria vyhledávání v rámci centrálního registru úvěrů fyzických osob v Belgické národní bance.</w:t>
            </w:r>
          </w:p>
          <w:p w14:paraId="6B0D29B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CC4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22EA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Je-li Komisi pro hazardní hry předložena žádost o navýšení herního limitu, držitelé licence třídy A+, B+ nebo F1+ vyzvednou národní registrační číslo hráče a sdělí jej Komisi pro hazardní hry.</w:t>
            </w:r>
          </w:p>
          <w:p w14:paraId="5F35C49E"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9518C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33E7A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Článek 4</w:t>
            </w:r>
            <w:r>
              <w:rPr>
                <w:rFonts w:ascii="Calibri" w:hAnsi="Calibri"/>
                <w:sz w:val="24"/>
              </w:rPr>
              <w:t xml:space="preserve"> Komise pro hazardní hry uchovává národní registrační číslo nebo identifikační údaje hráče uvedené v článku 3 po dobu nezbytnou k plnění úkolu měsíčního ověření, zda může povolení ke zvýšení herního limitu trvat i nadále.</w:t>
            </w:r>
          </w:p>
          <w:p w14:paraId="5EDEEDB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29BC9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8C8A2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Komise pro hazardní hry vymaže identifikační údaje uvedené v článku 3, pokud je herní limit na on-line hráčském účtu snížen na 200 EUR nebo méně nebo pokud je on-line hráčský účet vymazán.</w:t>
            </w:r>
          </w:p>
        </w:tc>
      </w:tr>
      <w:tr w:rsidR="00914531" w:rsidRPr="001333C1" w14:paraId="7513960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962E0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Článek 5</w:t>
            </w:r>
            <w:r>
              <w:rPr>
                <w:rFonts w:ascii="Calibri" w:hAnsi="Calibri"/>
                <w:sz w:val="24"/>
              </w:rPr>
              <w:t xml:space="preserve"> §</w:t>
            </w:r>
            <w:r>
              <w:rPr>
                <w:rFonts w:ascii="Calibri" w:hAnsi="Calibri"/>
                <w:sz w:val="24"/>
                <w:vertAlign w:val="superscript"/>
              </w:rPr>
              <w:t> </w:t>
            </w:r>
            <w:r>
              <w:rPr>
                <w:rFonts w:ascii="Calibri" w:hAnsi="Calibri"/>
                <w:sz w:val="24"/>
              </w:rPr>
              <w:t>1. Komise pro hazardní hry vytvoří soubory protokolů o nahlédnutí do centrálního registru úvěrů fyzických osob v Belgické národní bance.</w:t>
            </w:r>
          </w:p>
          <w:p w14:paraId="75706D0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3292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6EBD4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Tyto soubory protokolů o nahlédnutí se použijí s cílem určit:</w:t>
            </w:r>
          </w:p>
          <w:p w14:paraId="3260B5B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39A5E1B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1087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datum a čas nahlédnutí;</w:t>
            </w:r>
          </w:p>
          <w:p w14:paraId="7B20F00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FF9EB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BD1E0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totožnost jednotlivého uživatele nebo, pokud to není možné, postup nebo systém, jimiž bylo zpřístupnění údajů provedeno;</w:t>
            </w:r>
          </w:p>
          <w:p w14:paraId="2D98F4F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4A6F3DE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D492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3. druh žádosti; </w:t>
            </w:r>
          </w:p>
          <w:p w14:paraId="22FFCD2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nl-BE"/>
              </w:rPr>
            </w:pPr>
          </w:p>
        </w:tc>
      </w:tr>
      <w:tr w:rsidR="00914531" w:rsidRPr="001333C1" w14:paraId="2B4D1A9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742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4. účel nahlédnutí.</w:t>
            </w:r>
          </w:p>
          <w:p w14:paraId="33BE6C4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3F6D22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801E62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2 Belgická národní banka vytvoří soubory protokolů za účelem určení:</w:t>
            </w:r>
          </w:p>
          <w:p w14:paraId="0BE8259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93210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E8A97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totožnosti uživatele, který měl přístup k údajům nebo je obdržel; </w:t>
            </w:r>
          </w:p>
          <w:p w14:paraId="0EB8F8E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746B7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C078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 druhu podané žádosti; </w:t>
            </w:r>
          </w:p>
          <w:p w14:paraId="32CFC1B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DFFBC7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F0C1A3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Datu a času nahlédnutí nebo sdělení.</w:t>
            </w:r>
          </w:p>
          <w:p w14:paraId="2E57165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5B7BA0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EE5D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3 Komise pro hazardní hry a Belgická národní banka přijmou vhodná opatření v zájmu zajištění </w:t>
            </w:r>
            <w:r>
              <w:rPr>
                <w:rFonts w:ascii="Calibri" w:hAnsi="Calibri"/>
                <w:sz w:val="24"/>
              </w:rPr>
              <w:lastRenderedPageBreak/>
              <w:t>bezpečnosti souborů protokolů, a zejména zabránění neoprávněnému zpracování a k zajištění integrity zpracovávaných údajů.</w:t>
            </w:r>
          </w:p>
          <w:p w14:paraId="718F68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6EDA4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67CE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Soubory protokolů se uchovávají po dobu pěti let od data nahlédnutí.</w:t>
            </w:r>
          </w:p>
          <w:p w14:paraId="6D5C3F1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1CBF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C258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Soubory protokolů Komise pro hazardní hry se uchovávají a zpřístupňují se na první žádost orgánu pro ochranu údajů.</w:t>
            </w:r>
          </w:p>
          <w:p w14:paraId="6BD97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F9862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9E35B2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Článek 6</w:t>
            </w:r>
            <w:r>
              <w:rPr>
                <w:rFonts w:ascii="Calibri" w:hAnsi="Calibri"/>
                <w:sz w:val="24"/>
              </w:rPr>
              <w:t xml:space="preserve"> Osoby určené Komisí pro hazardní hry, jejichž úloha vyžaduje přístup do centrálního registru úvěrů fyzických osob v Belgické národní bance, mohou mít přístup pouze k informacím o tom, že hráč je v prodlení s platbou ve smyslu článku VII.148 zákoníku ekonomického práva, a to pouze po ověření prostřednictvím elektronického průkazu totožnosti, ať už v souvislosti s žádostí Komise pro hazardní hry, nebo s ohledem na žádost Belgické národní banky.</w:t>
            </w:r>
          </w:p>
          <w:p w14:paraId="022D51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1ED4FA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3FBA4C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Komise pro hazardní hry poskytne Belgické národní bance nebo Úřadu pro ochranu údajů na první žádost totožnost svého zaměstnance, který nahlédl do osobních údajů uvedených v prvním pododstavci nebo se o nich dozvěděl.</w:t>
            </w:r>
          </w:p>
          <w:p w14:paraId="57EC5E5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00C8DA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16B90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b/>
                <w:bCs/>
                <w:sz w:val="24"/>
              </w:rPr>
              <w:t>Článek 7</w:t>
            </w:r>
            <w:r>
              <w:rPr>
                <w:rFonts w:ascii="Calibri" w:hAnsi="Calibri"/>
                <w:sz w:val="24"/>
              </w:rPr>
              <w:t xml:space="preserve"> Komise pro hazardní hry uchovává osobní údaje, do nichž bylo nahlédnuto, v centrálním registru úvěrů fyzických osob Belgické národní banky po dobu nezbytnou k plnění úkolů uvedených v čl. 6 odst. 1 královského výnosu ze dne 25. října 2018 o postupech pro provozování hazardních her a sázek s využitím nástrojů informační společnosti.</w:t>
            </w:r>
          </w:p>
          <w:p w14:paraId="0AC4195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AB2B4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A3D761"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Článek 8</w:t>
            </w:r>
            <w:r>
              <w:rPr>
                <w:rFonts w:ascii="Calibri" w:hAnsi="Calibri"/>
                <w:sz w:val="24"/>
              </w:rPr>
              <w:t xml:space="preserve"> Náklady nahlédnutí do centrálního registru úvěrů fyzických osob v Belgické národní bance jsou hrazeny v plné výši z prostředků Komise pro hazardní hry, jak je uvedeno v čl. 19 odst. 2 zákona ze dne 7. května 1999 o hazardních hrách, sázkách, zařízeních hazardních her a ochraně hráčů.</w:t>
            </w:r>
          </w:p>
          <w:p w14:paraId="548A5A3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3AC4F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D22CF4"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br w:type="page"/>
            </w:r>
            <w:r>
              <w:br w:type="page"/>
            </w:r>
            <w:r>
              <w:rPr>
                <w:rFonts w:ascii="Calibri" w:hAnsi="Calibri"/>
                <w:b/>
                <w:sz w:val="24"/>
              </w:rPr>
              <w:t>KAPITOLA II – Změny královského výnosu ze dne 25. října 2018 o postupech pro provozování hazardních her a sázek s využitím nástrojů informační společnosti</w:t>
            </w:r>
          </w:p>
          <w:p w14:paraId="5E1340DD"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1E022E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46A2D5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Článek 9</w:t>
            </w:r>
            <w:r>
              <w:rPr>
                <w:rFonts w:ascii="Calibri" w:hAnsi="Calibri"/>
                <w:sz w:val="24"/>
              </w:rPr>
              <w:t xml:space="preserve"> V čl. 6 § 1 odst. 1 písm. a)</w:t>
            </w:r>
            <w:r>
              <w:rPr>
                <w:rFonts w:ascii="Calibri" w:hAnsi="Calibri"/>
                <w:sz w:val="24"/>
                <w:vertAlign w:val="superscript"/>
              </w:rPr>
              <w:t xml:space="preserve"> </w:t>
            </w:r>
            <w:r>
              <w:rPr>
                <w:rFonts w:ascii="Calibri" w:hAnsi="Calibri"/>
                <w:sz w:val="24"/>
              </w:rPr>
              <w:t>královského výnosu ze dne 25. října 2018 o postupech pro provozování hazardních her a sázek s využitím nástrojů informační společnosti se číslo „500“ nahrazuje číslem „200“ a slova „na všechny hazardní a sázkové hry, jichž se účastní“ se zrušují.</w:t>
            </w:r>
          </w:p>
          <w:p w14:paraId="185A0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DEA73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A6F5D8"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Kapitola III – Nabytí účinnosti a přechodné ustanovení</w:t>
            </w:r>
          </w:p>
          <w:p w14:paraId="06322CB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368B3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4E6145" w14:textId="77777777" w:rsidR="00914531" w:rsidRPr="00914531" w:rsidRDefault="00914531" w:rsidP="00914531">
            <w:pPr>
              <w:keepNext/>
              <w:jc w:val="both"/>
              <w:outlineLvl w:val="4"/>
              <w:rPr>
                <w:rFonts w:ascii="Calibri" w:eastAsia="Times New Roman" w:hAnsi="Calibri" w:cs="Calibri"/>
                <w:b/>
                <w:bCs/>
                <w:snapToGrid w:val="0"/>
                <w:sz w:val="24"/>
                <w:szCs w:val="24"/>
                <w:u w:val="single"/>
              </w:rPr>
            </w:pPr>
            <w:r>
              <w:rPr>
                <w:rFonts w:ascii="Calibri" w:hAnsi="Calibri"/>
                <w:b/>
                <w:snapToGrid w:val="0"/>
                <w:sz w:val="24"/>
              </w:rPr>
              <w:t>Článek 10</w:t>
            </w:r>
            <w:r>
              <w:rPr>
                <w:rFonts w:ascii="Calibri" w:hAnsi="Calibri"/>
                <w:snapToGrid w:val="0"/>
                <w:sz w:val="24"/>
              </w:rPr>
              <w:t xml:space="preserve"> Tento výnos nabývá účinnosti tři měsíce po jeho vyhlášení v belgickém úředním věstníku Moniteur belge.</w:t>
            </w:r>
          </w:p>
          <w:p w14:paraId="77F6701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63B30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871EE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Článek 11</w:t>
            </w:r>
            <w:r>
              <w:rPr>
                <w:rFonts w:ascii="Calibri" w:hAnsi="Calibri"/>
                <w:sz w:val="24"/>
              </w:rPr>
              <w:t xml:space="preserve"> Po nabytí účinnosti tohoto výnosu se herní limit pro všechny hráčské účty stanoví na limit 200 EUR v souladu s článkem 9 tohoto výnosu.</w:t>
            </w:r>
          </w:p>
          <w:p w14:paraId="09BA96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6A3FB38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CDB90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Kapitola IV – Závěrečné ustanovení.</w:t>
            </w:r>
          </w:p>
        </w:tc>
      </w:tr>
      <w:tr w:rsidR="00914531" w:rsidRPr="001333C1" w14:paraId="65461A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D7438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bCs/>
                <w:sz w:val="24"/>
              </w:rPr>
              <w:t>Článek 12</w:t>
            </w:r>
            <w:r>
              <w:rPr>
                <w:rFonts w:ascii="Calibri" w:hAnsi="Calibri"/>
                <w:sz w:val="24"/>
              </w:rPr>
              <w:t xml:space="preserve"> Za provádění tohoto výnosu odpovídají, každý v rozsahu své působnosti, ministr hospodářství, ministr financí, ministr zdravotnictví, ministr spravedlnosti, ministryně vnitra a státní tajemník pro národní loterii.</w:t>
            </w:r>
          </w:p>
        </w:tc>
      </w:tr>
      <w:tr w:rsidR="00914531" w:rsidRPr="001333C1" w14:paraId="142112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4D6E1B7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9C773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3C70A67" w14:textId="77777777" w:rsidR="00914531" w:rsidRPr="00914531" w:rsidRDefault="00914531" w:rsidP="00914531">
            <w:pPr>
              <w:widowControl w:val="0"/>
              <w:autoSpaceDE w:val="0"/>
              <w:autoSpaceDN w:val="0"/>
              <w:adjustRightInd w:val="0"/>
              <w:rPr>
                <w:rFonts w:ascii="Calibri" w:eastAsia="Times New Roman" w:hAnsi="Calibri" w:cs="Calibri"/>
                <w:bCs/>
                <w:sz w:val="24"/>
                <w:szCs w:val="24"/>
              </w:rPr>
            </w:pPr>
            <w:r>
              <w:rPr>
                <w:rFonts w:ascii="Calibri" w:hAnsi="Calibri"/>
                <w:sz w:val="24"/>
              </w:rPr>
              <w:t>V Bruselu, dne 19. června 2022</w:t>
            </w:r>
          </w:p>
          <w:p w14:paraId="15E6FEB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9A02CC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394894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FILIP</w:t>
            </w:r>
          </w:p>
          <w:p w14:paraId="0462D89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Za krále:</w:t>
            </w:r>
          </w:p>
          <w:p w14:paraId="5F1CA985"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1333C1" w14:paraId="110FCC5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0E2C9D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 hospodářství,</w:t>
            </w:r>
          </w:p>
          <w:p w14:paraId="576677D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P-Y DERMAGNE</w:t>
            </w:r>
          </w:p>
        </w:tc>
      </w:tr>
      <w:tr w:rsidR="00914531" w:rsidRPr="001333C1" w14:paraId="0F88306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6200F83"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 financí,</w:t>
            </w:r>
          </w:p>
          <w:p w14:paraId="36FFD481"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PETEGHEM</w:t>
            </w:r>
          </w:p>
        </w:tc>
      </w:tr>
      <w:tr w:rsidR="00914531" w:rsidRPr="00914531" w14:paraId="5F9122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B4D91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 zdravotnictví,</w:t>
            </w:r>
          </w:p>
          <w:p w14:paraId="12F86D98"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F. VANDENBROUCKE</w:t>
            </w:r>
          </w:p>
        </w:tc>
      </w:tr>
      <w:tr w:rsidR="00914531" w:rsidRPr="00914531" w14:paraId="3FEB9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DF7CAF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 spravedlnosti,</w:t>
            </w:r>
          </w:p>
          <w:p w14:paraId="0631CF55"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QUICKENBORNE</w:t>
            </w:r>
          </w:p>
        </w:tc>
      </w:tr>
      <w:tr w:rsidR="00914531" w:rsidRPr="001333C1" w14:paraId="216885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C1DA04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ministryně vnitra,</w:t>
            </w:r>
          </w:p>
          <w:p w14:paraId="279B39B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0901B424"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BE"/>
              </w:rPr>
            </w:pPr>
          </w:p>
        </w:tc>
      </w:tr>
      <w:tr w:rsidR="00914531" w:rsidRPr="00914531" w14:paraId="717142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CF762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státní tajemník pro národní loterii,</w:t>
            </w:r>
          </w:p>
          <w:p w14:paraId="4EF3939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S. MAHDI</w:t>
            </w:r>
          </w:p>
        </w:tc>
      </w:tr>
      <w:tr w:rsidR="00914531" w:rsidRPr="00914531" w14:paraId="53D02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1018ECD"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bl>
    <w:p w14:paraId="727C642E" w14:textId="77777777" w:rsidR="0035716E" w:rsidRPr="00914531" w:rsidRDefault="0035716E" w:rsidP="00914531">
      <w:pPr>
        <w:rPr>
          <w:lang w:val="fr-BE"/>
        </w:rPr>
      </w:pPr>
    </w:p>
    <w:sectPr w:rsidR="0035716E" w:rsidRPr="00914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31"/>
    <w:rsid w:val="00012F63"/>
    <w:rsid w:val="001333C1"/>
    <w:rsid w:val="0035716E"/>
    <w:rsid w:val="005D2F71"/>
    <w:rsid w:val="00914531"/>
    <w:rsid w:val="0098737B"/>
    <w:rsid w:val="00CF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F027"/>
  <w15:chartTrackingRefBased/>
  <w15:docId w15:val="{EFFD9389-B05A-4F11-B738-E1760C23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5968</Words>
  <Characters>32233</Characters>
  <Application>Microsoft Office Word</Application>
  <DocSecurity>0</DocSecurity>
  <Lines>685</Lines>
  <Paragraphs>272</Paragraphs>
  <ScaleCrop>false</ScaleCrop>
  <HeadingPairs>
    <vt:vector size="2" baseType="variant">
      <vt:variant>
        <vt:lpstr>Title</vt:lpstr>
      </vt:variant>
      <vt:variant>
        <vt:i4>1</vt:i4>
      </vt:variant>
    </vt:vector>
  </HeadingPairs>
  <TitlesOfParts>
    <vt:vector size="1" baseType="lpstr">
      <vt:lpstr/>
    </vt:vector>
  </TitlesOfParts>
  <Company>FOD Justitie / SPF Justice</Company>
  <LinksUpToDate>false</LinksUpToDate>
  <CharactersWithSpaces>37929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class='Internal'</cp:keywords>
  <dc:description/>
  <cp:lastModifiedBy>Ines Varvodic</cp:lastModifiedBy>
  <cp:revision>2</cp:revision>
  <dcterms:created xsi:type="dcterms:W3CDTF">2022-11-03T13:15:00Z</dcterms:created>
  <dcterms:modified xsi:type="dcterms:W3CDTF">2022-11-03T13:15:00Z</dcterms:modified>
</cp:coreProperties>
</file>