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39" w:type="dxa"/>
        <w:tblLayout w:type="fixed"/>
        <w:tblLook w:val="04A0" w:firstRow="1" w:lastRow="0" w:firstColumn="1" w:lastColumn="0" w:noHBand="0" w:noVBand="1"/>
      </w:tblPr>
      <w:tblGrid>
        <w:gridCol w:w="9639"/>
      </w:tblGrid>
      <w:tr w:rsidR="00914531" w:rsidRPr="001333C1" w14:paraId="63CDADFE" w14:textId="77777777" w:rsidTr="00337224">
        <w:tc>
          <w:tcPr>
            <w:tcW w:w="4678" w:type="dxa"/>
            <w:tcBorders>
              <w:top w:val="nil"/>
              <w:left w:val="nil"/>
              <w:bottom w:val="nil"/>
              <w:right w:val="nil"/>
            </w:tcBorders>
          </w:tcPr>
          <w:p w14:paraId="42BBE7FE" w14:textId="77777777" w:rsidR="00914531" w:rsidRPr="00914531" w:rsidRDefault="00914531" w:rsidP="00914531">
            <w:pPr>
              <w:widowControl w:val="0"/>
              <w:autoSpaceDE w:val="0"/>
              <w:autoSpaceDN w:val="0"/>
              <w:adjustRightInd w:val="0"/>
              <w:rPr>
                <w:rFonts w:ascii="Calibri" w:eastAsia="Times New Roman" w:hAnsi="Calibri" w:cs="Calibri"/>
                <w:b/>
                <w:sz w:val="24"/>
                <w:szCs w:val="24"/>
                <w:lang w:val="fr-FR"/>
              </w:rPr>
            </w:pPr>
          </w:p>
          <w:p w14:paraId="3DBFC527" w14:textId="77777777" w:rsidR="00914531" w:rsidRPr="00914531" w:rsidRDefault="00914531" w:rsidP="00914531">
            <w:pPr>
              <w:widowControl w:val="0"/>
              <w:autoSpaceDE w:val="0"/>
              <w:autoSpaceDN w:val="0"/>
              <w:adjustRightInd w:val="0"/>
              <w:jc w:val="center"/>
              <w:rPr>
                <w:rFonts w:ascii="Calibri" w:eastAsia="Times New Roman" w:hAnsi="Calibri" w:cs="Calibri"/>
                <w:b/>
                <w:sz w:val="24"/>
                <w:szCs w:val="24"/>
              </w:rPr>
            </w:pPr>
            <w:r>
              <w:rPr>
                <w:rFonts w:ascii="Calibri" w:hAnsi="Calibri"/>
                <w:b/>
                <w:sz w:val="24"/>
              </w:rPr>
              <w:t>KONUNGARIKET BELGIEN</w:t>
            </w:r>
          </w:p>
          <w:p w14:paraId="00FB46C2" w14:textId="77777777" w:rsidR="00914531" w:rsidRPr="00914531" w:rsidRDefault="00914531" w:rsidP="00914531">
            <w:pPr>
              <w:widowControl w:val="0"/>
              <w:autoSpaceDE w:val="0"/>
              <w:autoSpaceDN w:val="0"/>
              <w:adjustRightInd w:val="0"/>
              <w:jc w:val="center"/>
              <w:rPr>
                <w:rFonts w:ascii="Calibri" w:eastAsia="Times New Roman" w:hAnsi="Calibri" w:cs="Calibri"/>
                <w:b/>
                <w:sz w:val="24"/>
                <w:szCs w:val="24"/>
              </w:rPr>
            </w:pPr>
            <w:r>
              <w:rPr>
                <w:rFonts w:ascii="Calibri" w:hAnsi="Calibri"/>
                <w:b/>
                <w:sz w:val="24"/>
              </w:rPr>
              <w:t>_________</w:t>
            </w:r>
          </w:p>
          <w:p w14:paraId="42D62EEF" w14:textId="77777777" w:rsidR="00914531" w:rsidRPr="00914531" w:rsidRDefault="00914531" w:rsidP="00914531">
            <w:pPr>
              <w:widowControl w:val="0"/>
              <w:autoSpaceDE w:val="0"/>
              <w:autoSpaceDN w:val="0"/>
              <w:adjustRightInd w:val="0"/>
              <w:rPr>
                <w:rFonts w:ascii="Calibri" w:eastAsia="Times New Roman" w:hAnsi="Calibri" w:cs="Calibri"/>
                <w:b/>
                <w:sz w:val="24"/>
                <w:szCs w:val="24"/>
                <w:lang w:val="fr-FR"/>
              </w:rPr>
            </w:pPr>
          </w:p>
          <w:p w14:paraId="2DD351FB" w14:textId="77777777" w:rsidR="00914531" w:rsidRPr="00914531" w:rsidRDefault="00914531" w:rsidP="00914531">
            <w:pPr>
              <w:jc w:val="center"/>
              <w:rPr>
                <w:rFonts w:ascii="Calibri" w:eastAsia="Times New Roman" w:hAnsi="Calibri" w:cs="Calibri"/>
                <w:b/>
                <w:sz w:val="24"/>
                <w:szCs w:val="24"/>
              </w:rPr>
            </w:pPr>
            <w:r>
              <w:rPr>
                <w:rFonts w:ascii="Calibri" w:hAnsi="Calibri"/>
                <w:b/>
                <w:sz w:val="24"/>
              </w:rPr>
              <w:t>DEN FEDERALA OFFENTLIGA FÖRVALTNINGEN FÖR RÄTTVISA</w:t>
            </w:r>
          </w:p>
          <w:p w14:paraId="1EFCD03E" w14:textId="77777777" w:rsidR="00914531" w:rsidRPr="00914531" w:rsidRDefault="00914531" w:rsidP="00914531">
            <w:pPr>
              <w:widowControl w:val="0"/>
              <w:autoSpaceDE w:val="0"/>
              <w:autoSpaceDN w:val="0"/>
              <w:adjustRightInd w:val="0"/>
              <w:rPr>
                <w:rFonts w:ascii="Calibri" w:eastAsia="Times New Roman" w:hAnsi="Calibri" w:cs="Calibri"/>
                <w:b/>
                <w:sz w:val="24"/>
                <w:szCs w:val="24"/>
                <w:lang w:val="fr-FR"/>
              </w:rPr>
            </w:pPr>
          </w:p>
        </w:tc>
      </w:tr>
      <w:tr w:rsidR="00914531" w:rsidRPr="001333C1" w14:paraId="5581AA3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498D073"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7D82040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A6AC82E" w14:textId="77777777" w:rsidR="00914531" w:rsidRPr="00914531" w:rsidRDefault="00914531" w:rsidP="00914531">
            <w:pPr>
              <w:widowControl w:val="0"/>
              <w:autoSpaceDE w:val="0"/>
              <w:autoSpaceDN w:val="0"/>
              <w:adjustRightInd w:val="0"/>
              <w:jc w:val="both"/>
              <w:rPr>
                <w:rFonts w:ascii="Calibri" w:eastAsia="Times New Roman" w:hAnsi="Calibri" w:cs="Calibri"/>
                <w:b/>
                <w:bCs/>
                <w:sz w:val="24"/>
                <w:szCs w:val="24"/>
              </w:rPr>
            </w:pPr>
            <w:r>
              <w:rPr>
                <w:rFonts w:ascii="Calibri" w:hAnsi="Calibri"/>
                <w:b/>
                <w:sz w:val="24"/>
              </w:rPr>
              <w:t xml:space="preserve">19 JUNI 2022 – kungligt dekret om förfaranden för den belgiska spelkommissionens sökningar i Centrale des </w:t>
            </w:r>
            <w:proofErr w:type="spellStart"/>
            <w:r>
              <w:rPr>
                <w:rFonts w:ascii="Calibri" w:hAnsi="Calibri"/>
                <w:b/>
                <w:sz w:val="24"/>
              </w:rPr>
              <w:t>crédits</w:t>
            </w:r>
            <w:proofErr w:type="spellEnd"/>
            <w:r>
              <w:rPr>
                <w:rFonts w:ascii="Calibri" w:hAnsi="Calibri"/>
                <w:b/>
                <w:sz w:val="24"/>
              </w:rPr>
              <w:t xml:space="preserve"> aux </w:t>
            </w:r>
            <w:proofErr w:type="spellStart"/>
            <w:r>
              <w:rPr>
                <w:rFonts w:ascii="Calibri" w:hAnsi="Calibri"/>
                <w:b/>
                <w:sz w:val="24"/>
              </w:rPr>
              <w:t>particuliers</w:t>
            </w:r>
            <w:proofErr w:type="spellEnd"/>
            <w:r>
              <w:rPr>
                <w:rFonts w:ascii="Calibri" w:hAnsi="Calibri"/>
                <w:b/>
                <w:sz w:val="24"/>
              </w:rPr>
              <w:t xml:space="preserve"> (det centrala registret över krediter till enskilda) och om ändring av bestämmelserna om begränsning av hasardspel online.</w:t>
            </w:r>
          </w:p>
          <w:p w14:paraId="1D8E774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2BC4419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FE26832" w14:textId="77777777" w:rsidR="00914531" w:rsidRPr="00914531" w:rsidRDefault="00914531" w:rsidP="00914531">
            <w:pPr>
              <w:widowControl w:val="0"/>
              <w:autoSpaceDE w:val="0"/>
              <w:autoSpaceDN w:val="0"/>
              <w:adjustRightInd w:val="0"/>
              <w:jc w:val="both"/>
              <w:rPr>
                <w:rFonts w:ascii="Calibri" w:eastAsia="Times New Roman" w:hAnsi="Calibri" w:cs="Calibri"/>
                <w:b/>
                <w:bCs/>
                <w:sz w:val="24"/>
                <w:szCs w:val="24"/>
                <w:lang w:val="fr-BE"/>
              </w:rPr>
            </w:pPr>
          </w:p>
        </w:tc>
      </w:tr>
      <w:tr w:rsidR="00914531" w:rsidRPr="00914531" w14:paraId="5F6D998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3145E2D"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b/>
                <w:sz w:val="24"/>
              </w:rPr>
              <w:t>RAPPORT TILL KUNGEN</w:t>
            </w:r>
          </w:p>
        </w:tc>
      </w:tr>
      <w:tr w:rsidR="00914531" w:rsidRPr="00914531" w14:paraId="79B80C0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AA8685A" w14:textId="77777777" w:rsidR="00914531" w:rsidRPr="00914531" w:rsidRDefault="00914531" w:rsidP="00914531">
            <w:pPr>
              <w:widowControl w:val="0"/>
              <w:autoSpaceDE w:val="0"/>
              <w:autoSpaceDN w:val="0"/>
              <w:adjustRightInd w:val="0"/>
              <w:jc w:val="center"/>
              <w:rPr>
                <w:rFonts w:ascii="Calibri" w:eastAsia="Times New Roman" w:hAnsi="Calibri" w:cs="Calibri"/>
                <w:b/>
                <w:bCs/>
                <w:sz w:val="24"/>
                <w:szCs w:val="24"/>
                <w:lang w:val="fr-FR"/>
              </w:rPr>
            </w:pPr>
          </w:p>
        </w:tc>
      </w:tr>
      <w:tr w:rsidR="00914531" w:rsidRPr="00914531" w14:paraId="6536808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4B23F63"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sz w:val="24"/>
              </w:rPr>
              <w:t xml:space="preserve">Ers Majestät. </w:t>
            </w:r>
          </w:p>
        </w:tc>
      </w:tr>
      <w:tr w:rsidR="00914531" w:rsidRPr="00914531" w14:paraId="0AA4F94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6ED5A0F"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lang w:val="fr-FR"/>
              </w:rPr>
            </w:pPr>
          </w:p>
        </w:tc>
      </w:tr>
      <w:tr w:rsidR="00914531" w:rsidRPr="001333C1" w14:paraId="2783CA7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5FC9838"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rPr>
            </w:pPr>
            <w:r>
              <w:rPr>
                <w:rFonts w:ascii="Calibri" w:hAnsi="Calibri"/>
                <w:sz w:val="24"/>
              </w:rPr>
              <w:t>Detta utkast till kungligt dekret som överlämnats till dig består av två delar. För det första syftar den till att genomföra artikel 55/1 i lagen av den 7 maj 1999 om hasardspel, vadhållning, spelinrättningar och skydd för spelare (nedan kallad lagen om hasardspel). För det andra föreskrivs en ändring och ett förtydligande av artikel 6.1.1 i det kungliga dekretet av den 25 oktober 2018 om förfaranden för hasardspel och vadhållning med hjälp av informationssamhällets tjänster.</w:t>
            </w:r>
          </w:p>
          <w:p w14:paraId="7668A4B6"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1AFA8E1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5F9E8F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Utkastet överlämnades till dataskyddsmyndigheten, som avgav yttrande nr 177/2021 den 4 oktober 2021. De allra flesta av dataskyddsmyndighetens synpunkter har följts upp och återspeglas i kommentarerna artikel för artikel nedan.</w:t>
            </w:r>
          </w:p>
          <w:p w14:paraId="5F6AB04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0E6EBA2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92A7F9F"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sz w:val="24"/>
              </w:rPr>
              <w:t>Efter meddelande 2021/0845/B till Europeiska kommissionen av den 9 december 2021, i enlighet med artikel 5.1 i Europaparlamentets och rådets direktiv (EU) 2015/1535 av den 9 september 2015 om ett informationsförfarande beträffande tekniska föreskrifter och beträffande föreskrifter för informationssamhällets tjänster, mottogs inga synpunkter till utkastet från Europeiska kommissionen eller medlemsstaterna.</w:t>
            </w:r>
          </w:p>
        </w:tc>
      </w:tr>
      <w:tr w:rsidR="00914531" w:rsidRPr="001333C1" w14:paraId="6539F09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48E71C6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25F9C3B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ACFA1C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Innan den del som rör genomförandet av artikel 55/1 behandlas är det nödvändigt att förtydliga ändringen av artikel 6.1.1 i ovannämnda kungliga dekret av den 25 oktober 2018. Bestämmelserna i detta dekret om genomförande av artikel 55/1 är avsedda att utföra den uppgift som föreskrivs i artikel 6.1.1 b i den kungliga förordningen av den 25 oktober 2018.</w:t>
            </w:r>
          </w:p>
          <w:p w14:paraId="0A7E2FBB"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2A4E950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9D638D1"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300966F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3B6EA3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Det första ändringsförslaget gäller led a, där det föreskrivs att spelare får fylla på sina </w:t>
            </w:r>
            <w:proofErr w:type="spellStart"/>
            <w:r>
              <w:rPr>
                <w:rFonts w:ascii="Calibri" w:hAnsi="Calibri"/>
                <w:sz w:val="24"/>
              </w:rPr>
              <w:t>onlinespelarkonton</w:t>
            </w:r>
            <w:proofErr w:type="spellEnd"/>
            <w:r>
              <w:rPr>
                <w:rFonts w:ascii="Calibri" w:hAnsi="Calibri"/>
                <w:sz w:val="24"/>
              </w:rPr>
              <w:t xml:space="preserve"> med högst 500 euro per vecka för alla hasardspel och all vadhållning som de deltar i. Standardbeloppet för spelgränsen justeras nedåt till 200 euro för att förbättra spelarskyddet.  Dessutom ska orden ”för alla hasardspel och all vadhållning som de deltar i” strykas. Det visar sig att en global spelgräns (som gäller för alla webbplatser), som inte har genomförts i praktiken sedan det kungliga dekretet trädde i kraft 2018, är tekniskt orealistisk. Den har också många nackdelar. Den globala gränsen är tänkt att skydda spelare från farorna med spel och förhindra att de får alltför stora utgifter i samband med spel. Det bör dock noteras att den </w:t>
            </w:r>
            <w:r>
              <w:rPr>
                <w:rFonts w:ascii="Calibri" w:hAnsi="Calibri"/>
                <w:sz w:val="24"/>
              </w:rPr>
              <w:lastRenderedPageBreak/>
              <w:t>globala spelgränsen i sin nuvarande form inte ger spelare något kvalitetsskydd. Den gäller endast för lagliga hasardspel online, så spelare kan fortfarande besöka landbaserade spelinrättningar. På grund av behandlingen av data som rör den globala spelgränsen kan spelare vara benägna att begära en storskalig höjning av sin gräns, så att inga fler data behandlas.</w:t>
            </w:r>
          </w:p>
          <w:p w14:paraId="3B43B87D"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1688D55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3BF8CC8"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lastRenderedPageBreak/>
              <w:t>Mot bakgrund av ovanstående är det därför bättre att ta bort den globala aspekten av gränsen och behålla en gräns per webbplats, samtidigt som standardgränsen sänks. Detta skyddar spelarna bättre, särskilt de mest sårbara av dem.</w:t>
            </w:r>
          </w:p>
        </w:tc>
      </w:tr>
      <w:tr w:rsidR="00914531" w:rsidRPr="001333C1" w14:paraId="3E3774D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1A6C0CE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Detta innebär att en spelare som vill öka sin spelgräns på 200 euro ska lämna in en ansökan till spelkommissionen via licensinnehavaren. Spelkommissionen ska inom tre dagar kontrollera om spelaren har en utestående betalning enligt det centrala registret över krediter till enskilda vid Belgiens centralbank. Om spelaren inte har en utestående betalning kommer de att tillåtas att öka sin spelgräns hos den licenstagaren med ett belopp som de själva väljer.</w:t>
            </w:r>
          </w:p>
        </w:tc>
      </w:tr>
      <w:tr w:rsidR="00914531" w:rsidRPr="001333C1" w14:paraId="683FF6B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0898F00"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30D9291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8E8FDA1"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rPr>
            </w:pPr>
            <w:r>
              <w:rPr>
                <w:rFonts w:ascii="Calibri" w:hAnsi="Calibri"/>
                <w:sz w:val="24"/>
              </w:rPr>
              <w:t>I enlighet med artikel 55/1 i lagen om hasardspel är det därför nödvändigt att fastställa de bestämmelser enligt vilka kommissionen kan skicka en förfrågan till Belgiens centralbank avseende om en person har en utestående betalning enligt det centrala registret över krediter till enskilda vid Belgiens centralbank. Syftet med dessa bestämmelser är att göra det möjligt för kommissionen att utföra de spelarskyddsuppgifter som den tilldelats genom ovannämnda lag och dess genomförandeförordningar.</w:t>
            </w:r>
          </w:p>
          <w:p w14:paraId="1D57154F"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49E475C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1609B2A5" w14:textId="06843D59"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I artikel 6.1.1 i ovannämnda dekret av den 25 oktober 2018 föreskrivs en begränsning som införs som standard för alla spelare när det gäller att fylla på sina spelarkonton för hasardspel och vadhållning med hjälp av informationssamhällets tjänster. I enlighet med artikel 6.1.1 b i kungligt dekret av den 25 oktober 2018, ändrad genom detta dekret, kan spelare begära en höjning av denna spelgräns. Med undantag för de fall som anges i övergångsåtgärden i artikel 13.2 i det kungliga dekretet av den 25 oktober 2018 får en sådan ökning emellertid endast beviljas om centralbanken bekräftar för spelkommissionen att spelaren inte har en utestående betalning enligt det centrala registret över krediter till enskilda. För att kontrollera detta ska speloperatörer överföra vissa uppgifter om spelare till spelkommissionen, som i sin tur behöver kunna kontrollera med centralbanken om spelaren är känd i registret i fråga.</w:t>
            </w:r>
            <w:r>
              <w:rPr>
                <w:rFonts w:ascii="Times New Roman" w:hAnsi="Times New Roman"/>
                <w:sz w:val="24"/>
              </w:rPr>
              <w:t xml:space="preserve"> </w:t>
            </w:r>
            <w:r>
              <w:rPr>
                <w:rFonts w:ascii="Calibri" w:hAnsi="Calibri"/>
                <w:sz w:val="24"/>
              </w:rPr>
              <w:t>Detta system innebär att ett kungligt dekret är nödvändigt för att reglera det sätt på vilket kommissionen kan skicka en förfrågan till centralbanken avseende om en person har en utestående betalning enligt det centrala registret över krediter till enskilda, i enlighet med artikel 55/1 i lagen.</w:t>
            </w:r>
          </w:p>
          <w:p w14:paraId="0D171745"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6C84A84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5C881B1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Bestämmelserna i detta dekret syftar således till att utföra den uppgift som föreskrivs i artikel 6.1.1 b i ovannämnda dekret.</w:t>
            </w:r>
          </w:p>
        </w:tc>
      </w:tr>
      <w:tr w:rsidR="00914531" w:rsidRPr="001333C1" w14:paraId="75DCB15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838CB51"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914531" w14:paraId="3DB62E3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E8BA142" w14:textId="77777777" w:rsidR="00914531" w:rsidRPr="00914531" w:rsidRDefault="00914531" w:rsidP="00914531">
            <w:pPr>
              <w:widowControl w:val="0"/>
              <w:autoSpaceDE w:val="0"/>
              <w:autoSpaceDN w:val="0"/>
              <w:adjustRightInd w:val="0"/>
              <w:jc w:val="both"/>
              <w:rPr>
                <w:rFonts w:ascii="Calibri" w:eastAsia="Times New Roman" w:hAnsi="Calibri" w:cs="Calibri"/>
                <w:b/>
                <w:i/>
                <w:sz w:val="24"/>
                <w:szCs w:val="24"/>
              </w:rPr>
            </w:pPr>
            <w:r>
              <w:rPr>
                <w:rFonts w:ascii="Calibri" w:hAnsi="Calibri"/>
                <w:b/>
                <w:i/>
                <w:sz w:val="24"/>
              </w:rPr>
              <w:t>Kommentarer till artiklarna</w:t>
            </w:r>
          </w:p>
        </w:tc>
      </w:tr>
      <w:tr w:rsidR="00914531" w:rsidRPr="00914531" w14:paraId="6C0E8A5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1184B54"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nl-BE"/>
              </w:rPr>
            </w:pPr>
          </w:p>
        </w:tc>
      </w:tr>
      <w:tr w:rsidR="00914531" w:rsidRPr="00914531" w14:paraId="54D7145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4DE079F" w14:textId="77777777" w:rsidR="00914531" w:rsidRPr="00914531" w:rsidRDefault="00914531" w:rsidP="00914531">
            <w:pPr>
              <w:widowControl w:val="0"/>
              <w:autoSpaceDE w:val="0"/>
              <w:autoSpaceDN w:val="0"/>
              <w:adjustRightInd w:val="0"/>
              <w:rPr>
                <w:rFonts w:ascii="Calibri" w:eastAsia="Times New Roman" w:hAnsi="Calibri" w:cs="Calibri"/>
                <w:sz w:val="24"/>
                <w:szCs w:val="24"/>
              </w:rPr>
            </w:pPr>
            <w:r>
              <w:rPr>
                <w:rFonts w:ascii="Calibri" w:hAnsi="Calibri"/>
                <w:b/>
                <w:sz w:val="24"/>
              </w:rPr>
              <w:t>Artikel 1</w:t>
            </w:r>
          </w:p>
        </w:tc>
      </w:tr>
      <w:tr w:rsidR="00914531" w:rsidRPr="00914531" w14:paraId="175F7CB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5A33FC3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2781F4D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45400478"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I enlighet med dataskyddsmyndighetens yttrande specificerar denna artikel det syfte för vilket spelkommissionen får ta del av det centrala registret över krediter till enskilda vid Belgiens centralbank. Det är spelkommissionens uppgift att kontrollera huruvida en person som begär en höjning av spelgränsen har en utestående betalning enligt det centrala registret över krediter till enskilda vid Belgiens centralbank.</w:t>
            </w:r>
          </w:p>
          <w:p w14:paraId="43F84BD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476C694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3F9B6487"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b/>
                <w:sz w:val="24"/>
              </w:rPr>
              <w:lastRenderedPageBreak/>
              <w:t>Artikel 2</w:t>
            </w:r>
          </w:p>
        </w:tc>
      </w:tr>
      <w:tr w:rsidR="00914531" w:rsidRPr="001333C1" w14:paraId="07FF690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50ED721"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I egenskap av personuppgiftsansvarig ska Belgiens centralbank fastställa de tekniska arrangemangen för spelkommissionens sökningar i det centrala registret över krediter till enskilda vid Belgiens centralbank. </w:t>
            </w:r>
          </w:p>
          <w:p w14:paraId="455FD1C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3772A72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6C6D120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Denna artikel följer dataskyddsmyndighetens yttrande.</w:t>
            </w:r>
          </w:p>
          <w:p w14:paraId="2F5A54C4"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2021099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4483C66E"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Artikel 3</w:t>
            </w:r>
          </w:p>
          <w:p w14:paraId="0E605171"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nl-BE"/>
              </w:rPr>
            </w:pPr>
          </w:p>
        </w:tc>
      </w:tr>
      <w:tr w:rsidR="00914531" w:rsidRPr="001333C1" w14:paraId="66AC413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E7A69E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I enlighet med dataskyddsmyndighetens yttrande specificeras det i artikel 3 vilka identifieringsuppgifter som spelkommissionen får överföra till Belgiens centralbank. </w:t>
            </w:r>
          </w:p>
          <w:p w14:paraId="293EBB8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5566F04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94ED6C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För att göra det möjligt för spelkommissionen att lämna in en förfrågan till Belgiens centralbank behöver kommissionen ha det nationella registreringsnumret för den spelare</w:t>
            </w:r>
            <w:r>
              <w:rPr>
                <w:rFonts w:ascii="Times New Roman" w:hAnsi="Times New Roman"/>
                <w:sz w:val="24"/>
              </w:rPr>
              <w:t xml:space="preserve"> </w:t>
            </w:r>
            <w:r>
              <w:rPr>
                <w:rFonts w:ascii="Calibri" w:hAnsi="Calibri"/>
                <w:sz w:val="24"/>
              </w:rPr>
              <w:t>som begär en höjning av sin spelgräns, eller, om den operatör som överför data till spelkommissionen inte känner till detta, spelarens efternamn, namn och födelsedatum. Inga uppgifter om registrerade lån ska lämnas.</w:t>
            </w:r>
          </w:p>
          <w:p w14:paraId="6091D36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5100483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691D9F6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Denna bestämmelse omfattar även operatörernas skyldighet att bifoga dessa uppgifter till den anmälan som föreskrivs i artikel 6.1.1 b.2 i dekretet av den 25 oktober 2018. Om operatörerna inte gör det kan spelkommissionen inte fullgöra sin uppgift.</w:t>
            </w:r>
          </w:p>
          <w:p w14:paraId="3079F031"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03950F1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12E02E18"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Artikel 4</w:t>
            </w:r>
          </w:p>
          <w:p w14:paraId="3D5511B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4478308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86FCF81"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I enlighet med dataskyddsmyndighetens yttrande anges spelkommissionens lagringsperiod för nationella registreringsnummer eller spelares identitetsuppgifter i artikel 4. </w:t>
            </w:r>
          </w:p>
        </w:tc>
      </w:tr>
      <w:tr w:rsidR="00914531" w:rsidRPr="001333C1" w14:paraId="4D57CEE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51EB5CE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3EDB260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3CAA3F1A"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Artikel 5</w:t>
            </w:r>
          </w:p>
          <w:p w14:paraId="6A439C9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65B73B4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84E6D7F"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sz w:val="24"/>
              </w:rPr>
              <w:t xml:space="preserve">Artikel 5 avser förandet av loggfiler av spelkommissionen och Belgiens centralbank, i enlighet med dataskyddsmyndighetens begäran. </w:t>
            </w:r>
          </w:p>
          <w:p w14:paraId="73CB9F9D"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7210058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4168F1C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I sitt yttrande anger dataskyddsmyndigheten att denna fil ska skyddas mot alla ändringar, lagras i 10 år från dagen för sökningen och göras tillgänglig för dataskyddsmyndigheten på första begäran.</w:t>
            </w:r>
            <w:r>
              <w:rPr>
                <w:rFonts w:ascii="Calibri" w:hAnsi="Calibri"/>
                <w:i/>
                <w:sz w:val="24"/>
              </w:rPr>
              <w:t xml:space="preserve"> </w:t>
            </w:r>
            <w:r>
              <w:rPr>
                <w:rFonts w:ascii="Calibri" w:hAnsi="Calibri"/>
                <w:sz w:val="24"/>
              </w:rPr>
              <w:t xml:space="preserve">Denna lagringsperiod ska dock anpassas till längden på den lagringsperiod som föreskrivs i artikel 12.3 i lagen av den 28 november 2021 om organisationen av ett register över krediter till företag, dvs. 5 år, eftersom uppgifterna i det centrala registret över krediter till enskilda och registret över krediter till företag finns i samma system. Det är därför inte möjligt för Belgiens centralbank att anpassa lagringsperioden för loggfiler efter användarens kapacitet eller den funktionalitet som används. </w:t>
            </w:r>
          </w:p>
        </w:tc>
      </w:tr>
      <w:tr w:rsidR="00914531" w:rsidRPr="00914531" w14:paraId="5D9A83F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DB784C4" w14:textId="77777777" w:rsidR="00376DEF" w:rsidRDefault="00376DEF" w:rsidP="00914531">
            <w:pPr>
              <w:widowControl w:val="0"/>
              <w:autoSpaceDE w:val="0"/>
              <w:autoSpaceDN w:val="0"/>
              <w:adjustRightInd w:val="0"/>
              <w:jc w:val="both"/>
              <w:rPr>
                <w:rFonts w:ascii="Calibri" w:hAnsi="Calibri"/>
                <w:b/>
                <w:sz w:val="24"/>
              </w:rPr>
            </w:pPr>
          </w:p>
          <w:p w14:paraId="6BB01820" w14:textId="78B68920"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b/>
                <w:sz w:val="24"/>
              </w:rPr>
              <w:t>Artikel 6</w:t>
            </w:r>
          </w:p>
        </w:tc>
      </w:tr>
      <w:tr w:rsidR="00914531" w:rsidRPr="00914531" w14:paraId="433545F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BC5ED8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0B9239B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6DCA7909"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I enlighet med dataskyddsmyndighetens yttrande begränsas rätten till tillgång till det centrala registret över krediter till enskilda till personer som utsetts av spelkommissionen vars roll kräver detta. I enlighet med detta yttrande föreskrivs även i artikeln att ett starkt autentiseringssystem </w:t>
            </w:r>
            <w:r>
              <w:rPr>
                <w:rFonts w:ascii="Calibri" w:hAnsi="Calibri"/>
                <w:sz w:val="24"/>
              </w:rPr>
              <w:lastRenderedPageBreak/>
              <w:t>ska användas för åtkomsthantering, nämligen autentisering via ett elektroniskt identitetskort, antingen på ansökan av spelkommissionen eller på ansökan av Belgiens centralbank. Så länge autentisering kan ske med hjälp av det elektroniska identitetskortet för någon av de två ovannämnda tillämpningarna så följs bestämmelsen.</w:t>
            </w:r>
          </w:p>
        </w:tc>
      </w:tr>
      <w:tr w:rsidR="00914531" w:rsidRPr="001333C1" w14:paraId="020C579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3BD0D9B"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sz w:val="24"/>
              </w:rPr>
              <w:lastRenderedPageBreak/>
              <w:t xml:space="preserve">För närvarande görs anslutningen till det centrala registret över krediter till enskilda endast med ett certifikat (för grupper) utfärdat av Belgiens centralbank och inte med ett elektroniskt identitetskort. </w:t>
            </w:r>
          </w:p>
          <w:p w14:paraId="06BFAAE9"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4114B41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E88A5A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Det bör noteras att den process som avses här genomförs i två faser: </w:t>
            </w:r>
          </w:p>
          <w:p w14:paraId="4B48C0A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368337E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524DD13D"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w:t>
            </w:r>
            <w:r>
              <w:rPr>
                <w:rFonts w:ascii="Calibri" w:hAnsi="Calibri"/>
                <w:sz w:val="24"/>
              </w:rPr>
              <w:tab/>
              <w:t xml:space="preserve">När en spelare, via operatören, begär en höjning av spelgränsen från spelkommissionen, sker kontrollen av det centrala registret över krediter till enskilda vid Belgiens centralbank automatiskt, utan mänsklig inblandning och därför utan autentisering. </w:t>
            </w:r>
          </w:p>
          <w:p w14:paraId="0E60E6C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FR"/>
              </w:rPr>
            </w:pPr>
          </w:p>
        </w:tc>
      </w:tr>
      <w:tr w:rsidR="00914531" w:rsidRPr="001333C1" w14:paraId="48D20D0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6304E5F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w:t>
            </w:r>
            <w:r>
              <w:rPr>
                <w:rFonts w:ascii="Calibri" w:hAnsi="Calibri"/>
                <w:sz w:val="24"/>
              </w:rPr>
              <w:tab/>
              <w:t>Om mänsklig inblandning är nödvändig i ett senare skede, i synnerhet av den personal vid spelkommissionen vars funktion kräver det, ska autentisering med det elektroniska identitetskortet vara möjlig. Detta autentiseringssystem är dock för närvarande inte på plats och det kommer att ta flera månader att inrätta.</w:t>
            </w:r>
          </w:p>
          <w:p w14:paraId="4DF8473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04FAA0B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3D4AE13F"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Artikel 7</w:t>
            </w:r>
          </w:p>
          <w:p w14:paraId="7CAFF298"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3FE4590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1DF44AC0" w14:textId="77777777" w:rsidR="00914531" w:rsidRPr="00914531" w:rsidRDefault="00914531" w:rsidP="00914531">
            <w:pPr>
              <w:widowControl w:val="0"/>
              <w:autoSpaceDE w:val="0"/>
              <w:autoSpaceDN w:val="0"/>
              <w:adjustRightInd w:val="0"/>
              <w:rPr>
                <w:rFonts w:ascii="Calibri" w:eastAsia="Times New Roman" w:hAnsi="Calibri" w:cs="Calibri"/>
                <w:sz w:val="24"/>
                <w:szCs w:val="24"/>
              </w:rPr>
            </w:pPr>
            <w:r>
              <w:rPr>
                <w:rFonts w:ascii="Calibri" w:hAnsi="Calibri"/>
                <w:sz w:val="24"/>
              </w:rPr>
              <w:t xml:space="preserve">I artikel 7 fastställs lagringsperioden för uppgifter som samlats in av spelkommissionen från det centrala registret över krediter till enskilda. </w:t>
            </w:r>
          </w:p>
        </w:tc>
      </w:tr>
      <w:tr w:rsidR="00914531" w:rsidRPr="001333C1" w14:paraId="4BC6009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3639357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CF3904" w14:paraId="5E7EB95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6113DDB"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b/>
                <w:sz w:val="24"/>
              </w:rPr>
              <w:t>Artikel 8</w:t>
            </w:r>
          </w:p>
        </w:tc>
      </w:tr>
      <w:tr w:rsidR="00914531" w:rsidRPr="00CF3904" w14:paraId="1F074C6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3E996D6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44450BC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60BF864"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Slutligen anges i artikel 8 i detta dekret att kostnaderna för denna sökning av Belgiens centralbank kommer att bäras av den spelkommissionsfond som avses i artikel 19.2 i lagen om hasardspel. Det är därför samma licensinnehavare själva som genom avgiftssystemet betalar till centralbanken. Detta tillvägagångssätt är fullt motiverat ur spelarskyddssynpunkt.</w:t>
            </w:r>
          </w:p>
        </w:tc>
      </w:tr>
      <w:tr w:rsidR="00914531" w:rsidRPr="001333C1" w14:paraId="03896E3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7E1265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3C12FBF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4A550E50" w14:textId="77777777" w:rsidR="00914531" w:rsidRPr="00914531" w:rsidRDefault="00914531" w:rsidP="00914531">
            <w:pPr>
              <w:widowControl w:val="0"/>
              <w:autoSpaceDE w:val="0"/>
              <w:autoSpaceDN w:val="0"/>
              <w:adjustRightInd w:val="0"/>
              <w:rPr>
                <w:rFonts w:ascii="Calibri" w:eastAsia="Times New Roman" w:hAnsi="Calibri" w:cs="Calibri"/>
                <w:sz w:val="24"/>
                <w:szCs w:val="24"/>
              </w:rPr>
            </w:pPr>
            <w:r>
              <w:rPr>
                <w:rFonts w:ascii="Calibri" w:hAnsi="Calibri"/>
                <w:b/>
                <w:sz w:val="24"/>
              </w:rPr>
              <w:t>Artikel 9</w:t>
            </w:r>
          </w:p>
        </w:tc>
      </w:tr>
      <w:tr w:rsidR="00914531" w:rsidRPr="00914531" w14:paraId="52393D4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3F58F198"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35C1C17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8F04CDD"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Genom artikel 9 i detta dekret ändras artikel 6.1.1 i det kungliga dekretet av den 25 oktober 2018</w:t>
            </w:r>
            <w:r>
              <w:rPr>
                <w:rFonts w:ascii="Times New Roman" w:hAnsi="Times New Roman"/>
                <w:sz w:val="24"/>
              </w:rPr>
              <w:t xml:space="preserve"> </w:t>
            </w:r>
            <w:r>
              <w:rPr>
                <w:rFonts w:ascii="Calibri" w:hAnsi="Calibri"/>
                <w:sz w:val="24"/>
              </w:rPr>
              <w:t xml:space="preserve">om förfaranden för hasardspel och vadhållning med hjälp av informationssamhällets tjänster såsom anges ovan. </w:t>
            </w:r>
          </w:p>
        </w:tc>
      </w:tr>
      <w:tr w:rsidR="00914531" w:rsidRPr="00914531" w14:paraId="0067AAE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8CAEEAB" w14:textId="77777777" w:rsidR="00376DEF" w:rsidRDefault="00376DEF" w:rsidP="00914531">
            <w:pPr>
              <w:widowControl w:val="0"/>
              <w:autoSpaceDE w:val="0"/>
              <w:autoSpaceDN w:val="0"/>
              <w:adjustRightInd w:val="0"/>
              <w:jc w:val="both"/>
              <w:rPr>
                <w:rFonts w:ascii="Calibri" w:hAnsi="Calibri"/>
                <w:b/>
                <w:sz w:val="24"/>
              </w:rPr>
            </w:pPr>
          </w:p>
          <w:p w14:paraId="6527730E" w14:textId="546D1BA8" w:rsidR="00914531" w:rsidRPr="00914531" w:rsidRDefault="00914531" w:rsidP="00914531">
            <w:pPr>
              <w:widowControl w:val="0"/>
              <w:autoSpaceDE w:val="0"/>
              <w:autoSpaceDN w:val="0"/>
              <w:adjustRightInd w:val="0"/>
              <w:jc w:val="both"/>
              <w:rPr>
                <w:rFonts w:ascii="Calibri" w:eastAsia="Times New Roman" w:hAnsi="Calibri" w:cs="Times New Roman"/>
                <w:b/>
                <w:sz w:val="24"/>
                <w:szCs w:val="24"/>
              </w:rPr>
            </w:pPr>
            <w:r>
              <w:rPr>
                <w:rFonts w:ascii="Calibri" w:hAnsi="Calibri"/>
                <w:b/>
                <w:sz w:val="24"/>
              </w:rPr>
              <w:t>Artikel 10</w:t>
            </w:r>
          </w:p>
          <w:p w14:paraId="3575B9DA"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08BEAB3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4141711"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sz w:val="24"/>
              </w:rPr>
              <w:t xml:space="preserve">I artikel 10 fastställs ikraftträdandet av </w:t>
            </w:r>
          </w:p>
          <w:p w14:paraId="31C5B507"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 det kungliga dekretet. Med tanke på dataskyddsmyndighetens kommentarer behövs mycket teknisk utveckling. Av denna anledning, behöver spelkommissionen en period på 3 månader.</w:t>
            </w:r>
          </w:p>
        </w:tc>
      </w:tr>
      <w:tr w:rsidR="00914531" w:rsidRPr="001333C1" w14:paraId="393E6B3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15BAC5AE"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914531" w14:paraId="0BC436F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AA50ADB" w14:textId="77777777" w:rsidR="00914531" w:rsidRPr="00914531" w:rsidRDefault="00914531" w:rsidP="00914531">
            <w:pPr>
              <w:widowControl w:val="0"/>
              <w:autoSpaceDE w:val="0"/>
              <w:autoSpaceDN w:val="0"/>
              <w:adjustRightInd w:val="0"/>
              <w:jc w:val="both"/>
              <w:rPr>
                <w:rFonts w:ascii="Calibri" w:eastAsia="Times New Roman" w:hAnsi="Calibri" w:cs="Times New Roman"/>
                <w:b/>
                <w:sz w:val="24"/>
                <w:szCs w:val="24"/>
              </w:rPr>
            </w:pPr>
            <w:r>
              <w:rPr>
                <w:rFonts w:ascii="Calibri" w:hAnsi="Calibri"/>
                <w:b/>
                <w:sz w:val="24"/>
              </w:rPr>
              <w:t>Artikel 11</w:t>
            </w:r>
          </w:p>
          <w:p w14:paraId="189E4B87"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3E5A998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17D48B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I artikel 11 föreskrivs en övergångsåtgärd. I denna artikel föreskrivs således att när det kungliga dekretet träder i kraft ska spelgränsen för alla spelarkonton fastställas till den spelgräns som </w:t>
            </w:r>
            <w:r>
              <w:rPr>
                <w:rFonts w:ascii="Calibri" w:hAnsi="Calibri"/>
                <w:sz w:val="24"/>
              </w:rPr>
              <w:lastRenderedPageBreak/>
              <w:t>anges i artikel 9, dvs. 200 euro.</w:t>
            </w:r>
          </w:p>
        </w:tc>
      </w:tr>
      <w:tr w:rsidR="00914531" w:rsidRPr="001333C1" w14:paraId="2CDA7F8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34C080C0"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sz w:val="24"/>
              </w:rPr>
              <w:lastRenderedPageBreak/>
              <w:t>I statsrådets dekret nr </w:t>
            </w:r>
            <w:proofErr w:type="gramStart"/>
            <w:r>
              <w:rPr>
                <w:rFonts w:ascii="Calibri" w:hAnsi="Calibri"/>
                <w:sz w:val="24"/>
              </w:rPr>
              <w:t>253.722</w:t>
            </w:r>
            <w:proofErr w:type="gramEnd"/>
            <w:r>
              <w:rPr>
                <w:rFonts w:ascii="Calibri" w:hAnsi="Calibri"/>
                <w:sz w:val="24"/>
              </w:rPr>
              <w:t xml:space="preserve"> av den 12 maj 2022 fastslog statsrådet uttryckligen att en höjning av spelgränsen på grundval av artikel 6 i det kungliga dekretet av den 25 oktober 2018 endast kan göras efter det att det faktiskt har fastställts att spelaren inte har någon utestående betalning registrerad. Med andra ord kan ingen ha fått någon höjning om inte den tidigare övergångsbestämmelsen i artikel 13 i det kungliga dekretet av den 25 oktober 2018 tillämpas. </w:t>
            </w:r>
          </w:p>
          <w:p w14:paraId="5818073C"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3CEA6F0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555C66F7"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sz w:val="24"/>
              </w:rPr>
              <w:t xml:space="preserve">I praktiken framgår det att det inte är möjligt för spelkommissionen att veta exakt när en ökning tidigare har beviljats. Den bästa lösningen för spelarskydd är att sänka alla gränser till 200 euro. </w:t>
            </w:r>
          </w:p>
          <w:p w14:paraId="54E6FFA6"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914531" w14:paraId="3543D5C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8B32735"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Artikel 12</w:t>
            </w:r>
          </w:p>
          <w:p w14:paraId="5BF3DBCB"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nl-BE"/>
              </w:rPr>
            </w:pPr>
          </w:p>
        </w:tc>
      </w:tr>
      <w:tr w:rsidR="00914531" w:rsidRPr="00914531" w14:paraId="2A59D2E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066D4E19" w14:textId="77777777" w:rsidR="00914531" w:rsidRPr="00914531" w:rsidRDefault="00914531" w:rsidP="00914531">
            <w:pPr>
              <w:widowControl w:val="0"/>
              <w:autoSpaceDE w:val="0"/>
              <w:autoSpaceDN w:val="0"/>
              <w:adjustRightInd w:val="0"/>
              <w:rPr>
                <w:rFonts w:ascii="Calibri" w:eastAsia="Times New Roman" w:hAnsi="Calibri" w:cs="Calibri"/>
                <w:sz w:val="24"/>
                <w:szCs w:val="24"/>
              </w:rPr>
            </w:pPr>
            <w:r>
              <w:rPr>
                <w:rFonts w:ascii="Calibri" w:hAnsi="Calibri"/>
                <w:sz w:val="24"/>
              </w:rPr>
              <w:t xml:space="preserve">Artikel 12 innehåller genomförandeartikeln. </w:t>
            </w:r>
          </w:p>
        </w:tc>
      </w:tr>
      <w:tr w:rsidR="00914531" w:rsidRPr="00914531" w14:paraId="3F0AAD1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2FC95C6"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914531" w14:paraId="2766AD5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179E1A61" w14:textId="77777777" w:rsidR="00914531" w:rsidRPr="00914531" w:rsidRDefault="00914531" w:rsidP="00914531">
            <w:pPr>
              <w:widowControl w:val="0"/>
              <w:autoSpaceDE w:val="0"/>
              <w:autoSpaceDN w:val="0"/>
              <w:adjustRightInd w:val="0"/>
              <w:rPr>
                <w:rFonts w:ascii="Calibri" w:eastAsia="Times New Roman" w:hAnsi="Calibri" w:cs="Calibri"/>
                <w:sz w:val="24"/>
                <w:szCs w:val="24"/>
              </w:rPr>
            </w:pPr>
            <w:r>
              <w:rPr>
                <w:rFonts w:ascii="Calibri" w:hAnsi="Calibri"/>
                <w:sz w:val="24"/>
              </w:rPr>
              <w:t>Vi har äran att vara</w:t>
            </w:r>
          </w:p>
        </w:tc>
      </w:tr>
      <w:tr w:rsidR="00914531" w:rsidRPr="001333C1" w14:paraId="28ACD2C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915B67B"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lang w:val="fr-BE"/>
              </w:rPr>
            </w:pPr>
          </w:p>
          <w:p w14:paraId="41066387"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p>
          <w:p w14:paraId="2D24F987"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Ers Majestäts</w:t>
            </w:r>
          </w:p>
          <w:p w14:paraId="5FEB641B" w14:textId="13AE770C"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mest respektfulla och trognaste tjänare.</w:t>
            </w:r>
          </w:p>
          <w:p w14:paraId="646C4556" w14:textId="77777777" w:rsidR="00914531" w:rsidRPr="001333C1" w:rsidRDefault="00914531" w:rsidP="00914531">
            <w:pPr>
              <w:widowControl w:val="0"/>
              <w:autoSpaceDE w:val="0"/>
              <w:autoSpaceDN w:val="0"/>
              <w:adjustRightInd w:val="0"/>
              <w:rPr>
                <w:rFonts w:ascii="Calibri" w:eastAsia="Times New Roman" w:hAnsi="Calibri" w:cs="Calibri"/>
                <w:sz w:val="24"/>
                <w:szCs w:val="24"/>
                <w:lang w:val="fr-FR"/>
              </w:rPr>
            </w:pPr>
          </w:p>
        </w:tc>
      </w:tr>
      <w:tr w:rsidR="00914531" w:rsidRPr="001333C1" w14:paraId="27A6EB7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91FE528" w14:textId="77777777" w:rsidR="00914531" w:rsidRPr="001333C1" w:rsidRDefault="00914531" w:rsidP="00914531">
            <w:pPr>
              <w:widowControl w:val="0"/>
              <w:autoSpaceDE w:val="0"/>
              <w:autoSpaceDN w:val="0"/>
              <w:adjustRightInd w:val="0"/>
              <w:rPr>
                <w:rFonts w:ascii="Calibri" w:eastAsia="Times New Roman" w:hAnsi="Calibri" w:cs="Calibri"/>
                <w:sz w:val="24"/>
                <w:szCs w:val="24"/>
                <w:lang w:val="fr-FR"/>
              </w:rPr>
            </w:pPr>
          </w:p>
        </w:tc>
      </w:tr>
      <w:tr w:rsidR="00914531" w:rsidRPr="001333C1" w14:paraId="251EA18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49A466C9"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Ekonomiministern,</w:t>
            </w:r>
          </w:p>
          <w:p w14:paraId="43080117"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P-Y DERMAGNE</w:t>
            </w:r>
          </w:p>
        </w:tc>
      </w:tr>
      <w:tr w:rsidR="00914531" w:rsidRPr="001333C1" w14:paraId="7FC3A4E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3288207"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Finansministern,</w:t>
            </w:r>
          </w:p>
          <w:p w14:paraId="64111E48"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V. VAN PETEGHEM</w:t>
            </w:r>
          </w:p>
        </w:tc>
      </w:tr>
      <w:tr w:rsidR="00914531" w:rsidRPr="00914531" w14:paraId="6A027E3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F99BEE2"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Folkhälsoministern,</w:t>
            </w:r>
          </w:p>
          <w:p w14:paraId="183CA7EA"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F. VANDENBROUCKE</w:t>
            </w:r>
          </w:p>
        </w:tc>
      </w:tr>
      <w:tr w:rsidR="00914531" w:rsidRPr="00914531" w14:paraId="0C40011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CB2003D"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Justitieministern,</w:t>
            </w:r>
          </w:p>
          <w:p w14:paraId="53C01DB1"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V. VAN QUICKENBORNE</w:t>
            </w:r>
          </w:p>
        </w:tc>
      </w:tr>
      <w:tr w:rsidR="00914531" w:rsidRPr="001333C1" w14:paraId="36DC572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E77B25E"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Inrikesministern,</w:t>
            </w:r>
          </w:p>
          <w:p w14:paraId="21028B27"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A. VERLINDEN</w:t>
            </w:r>
          </w:p>
          <w:p w14:paraId="79A12A2F"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lang w:val="fr-BE"/>
              </w:rPr>
            </w:pPr>
          </w:p>
        </w:tc>
      </w:tr>
      <w:tr w:rsidR="00914531" w:rsidRPr="00914531" w14:paraId="2BFEFAA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3E08DD78"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Ministern för det nationella lotteriet,</w:t>
            </w:r>
          </w:p>
          <w:p w14:paraId="75251E0E"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S. MAHDI</w:t>
            </w:r>
          </w:p>
        </w:tc>
      </w:tr>
      <w:tr w:rsidR="00914531" w:rsidRPr="00914531" w14:paraId="58AFDAA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FE253A5"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nl-BE"/>
              </w:rPr>
            </w:pPr>
          </w:p>
        </w:tc>
      </w:tr>
      <w:tr w:rsidR="00914531" w:rsidRPr="00914531" w14:paraId="0AD1A77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D63055D"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w:t>
            </w:r>
          </w:p>
        </w:tc>
      </w:tr>
      <w:tr w:rsidR="00914531" w:rsidRPr="001333C1" w14:paraId="4F78A72E" w14:textId="77777777" w:rsidTr="00337224">
        <w:tc>
          <w:tcPr>
            <w:tcW w:w="4678" w:type="dxa"/>
            <w:tcBorders>
              <w:top w:val="nil"/>
              <w:left w:val="nil"/>
              <w:bottom w:val="nil"/>
              <w:right w:val="nil"/>
            </w:tcBorders>
          </w:tcPr>
          <w:p w14:paraId="281147D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YTTRANDE 71,218/4 AV DEN 19 APRIL 2022 FRÅN STATSRÅDET, DEN LAGSTIFTANDE AVDELNINGEN, OM ETT UTKAST TILL KUNGLIGT DEKRET OM FÖRFARANDEN FÖR DEN BELGISKA SPELKOMMISSIONENS SÖKNINGAR I CENTRALE DES CRÉDITS AUX PARTICULIERS (DET CENTRALA REGISTRET ÖVER KREDITER TILL ENSKILDA) OCH OM ÄNDRING AV BESTÄMMELSERNA OM BEGRÄNSNING AV HASARDSPEL ONLINE.</w:t>
            </w:r>
          </w:p>
          <w:p w14:paraId="39FD8F8B"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FR"/>
              </w:rPr>
            </w:pPr>
          </w:p>
        </w:tc>
      </w:tr>
      <w:tr w:rsidR="00914531" w:rsidRPr="001333C1" w14:paraId="24B6021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2B267D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Den 18 mars 2022 uppmanades statsrådet, den lagstiftande avdelningen, av vice premiärministern och justitieministern och ministern för Nordsjön att inom 30 dagar utfärda ett yttrande om ett utkast till kungligt dekret om förfaranden för spelkommissionens sökningar i Centrale des </w:t>
            </w:r>
            <w:proofErr w:type="spellStart"/>
            <w:r>
              <w:rPr>
                <w:rFonts w:ascii="Calibri" w:hAnsi="Calibri"/>
                <w:sz w:val="24"/>
              </w:rPr>
              <w:t>crédits</w:t>
            </w:r>
            <w:proofErr w:type="spellEnd"/>
            <w:r>
              <w:rPr>
                <w:rFonts w:ascii="Calibri" w:hAnsi="Calibri"/>
                <w:sz w:val="24"/>
              </w:rPr>
              <w:t xml:space="preserve"> aux </w:t>
            </w:r>
            <w:proofErr w:type="spellStart"/>
            <w:r>
              <w:rPr>
                <w:rFonts w:ascii="Calibri" w:hAnsi="Calibri"/>
                <w:sz w:val="24"/>
              </w:rPr>
              <w:t>particuliers</w:t>
            </w:r>
            <w:proofErr w:type="spellEnd"/>
            <w:r>
              <w:rPr>
                <w:rFonts w:ascii="Calibri" w:hAnsi="Calibri"/>
                <w:sz w:val="24"/>
              </w:rPr>
              <w:t xml:space="preserve"> (det centrala registret över krediter till enskilda) och om ändring av bestämmelserna om begränsning av hasardspel online.</w:t>
            </w:r>
          </w:p>
          <w:p w14:paraId="7145FAD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283E09A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57B3ED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lastRenderedPageBreak/>
              <w:t>Utkastet granskades av fjärde kammaren den 19 april 2022. Kammaren utgjordes av avdelningsordföranden Martine BAGUET, statsråden Luc CAMBIER och Bernard BLERO, och biträdande justitiesekreterare Charles-Henri VAN HOVE.</w:t>
            </w:r>
          </w:p>
          <w:p w14:paraId="14269C1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355F9F0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F04039B"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Rapporten presenterades av Stéphane TELLIER, förste revisor.</w:t>
            </w:r>
          </w:p>
          <w:p w14:paraId="080B5244"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384EB71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065468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Överensstämmelsen mellan den franska versionen och den nederländska versionen kontrollerades under tillsyn av Bernard BLERO.</w:t>
            </w:r>
          </w:p>
        </w:tc>
      </w:tr>
      <w:tr w:rsidR="00914531" w:rsidRPr="001333C1" w14:paraId="245C13B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ED2498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Yttrandet, vars text följer, utfärdades den 19 april 2022.</w:t>
            </w:r>
          </w:p>
        </w:tc>
      </w:tr>
      <w:tr w:rsidR="00914531" w:rsidRPr="001333C1" w14:paraId="2736CB8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B6D327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20E1AC1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C2B36C9"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w:t>
            </w:r>
          </w:p>
        </w:tc>
      </w:tr>
      <w:tr w:rsidR="00914531" w:rsidRPr="001333C1" w14:paraId="75553A6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C92C32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Eftersom begäran om yttrande överlämnas på grundval av artikel 84.1.1.2 i lagen om statsrådet, konsoliderad den 12 januari 1973, begränsar den lagstiftande avdelningen sin prövning till den rättsliga grunden för utkastet, behörigheten för upphovsmannen till handlingen och fullgörandet av de tidigare formaliteterna, i enlighet med artikel 84.3 i ovannämnda konsoliderade rättsakter.</w:t>
            </w:r>
          </w:p>
        </w:tc>
      </w:tr>
      <w:tr w:rsidR="00914531" w:rsidRPr="001333C1" w14:paraId="0019B23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1AE8B0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På dessa tre punkter efterlyses följande iakttagelser i utkastet.</w:t>
            </w:r>
          </w:p>
        </w:tc>
      </w:tr>
      <w:tr w:rsidR="00914531" w:rsidRPr="001333C1" w14:paraId="6BBCDF2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4D6B3C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3BBF490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7C978EA"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rPr>
            </w:pPr>
            <w:r>
              <w:rPr>
                <w:rFonts w:ascii="Calibri" w:hAnsi="Calibri"/>
                <w:sz w:val="24"/>
                <w:u w:val="single"/>
              </w:rPr>
              <w:t>ALLMÄNNA KOMMENTARER</w:t>
            </w:r>
          </w:p>
          <w:p w14:paraId="1730873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33A53C4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4607BE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1.1.</w:t>
            </w:r>
            <w:r>
              <w:rPr>
                <w:rFonts w:ascii="Calibri" w:hAnsi="Calibri"/>
                <w:sz w:val="24"/>
              </w:rPr>
              <w:tab/>
              <w:t>På grundval av artikel 55/1 i lagen av den 7 maj 1999 om hasardspel, vadhållning, spelinrättningar och skydd för spelare föreskrivs i det kungliga dekret som prövas förfaranden för spelkommissionens sökningar i det centrala registret över krediter till enskilda vid Belgiens centralbank.</w:t>
            </w:r>
          </w:p>
          <w:p w14:paraId="747E7D99"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ab/>
            </w:r>
          </w:p>
        </w:tc>
      </w:tr>
      <w:tr w:rsidR="00914531" w:rsidRPr="001333C1" w14:paraId="569F77A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5059C8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På så sätt föreskrivs i utkastet till kungligt dekret nya fall av behandling av personuppgifter.</w:t>
            </w:r>
          </w:p>
          <w:p w14:paraId="2353884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07FF3B9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EBD876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1.2.</w:t>
            </w:r>
            <w:r>
              <w:rPr>
                <w:rFonts w:ascii="Calibri" w:hAnsi="Calibri"/>
                <w:sz w:val="24"/>
              </w:rPr>
              <w:tab/>
              <w:t>I yttrande nr </w:t>
            </w:r>
            <w:proofErr w:type="gramStart"/>
            <w:r>
              <w:rPr>
                <w:rFonts w:ascii="Calibri" w:hAnsi="Calibri"/>
                <w:sz w:val="24"/>
              </w:rPr>
              <w:t>68.936</w:t>
            </w:r>
            <w:proofErr w:type="gramEnd"/>
            <w:r>
              <w:rPr>
                <w:rFonts w:ascii="Calibri" w:hAnsi="Calibri"/>
                <w:sz w:val="24"/>
              </w:rPr>
              <w:t>/AG från den lagstiftande avdelningen av den 7 april 2021 om ett preliminärt utkast som ledde till lagen av den 14 augusti 2021 om administrativa polisåtgärder i en epidemisk nödsituation (1) konstaterade den lagstiftande avdelningen följande:</w:t>
            </w:r>
          </w:p>
        </w:tc>
      </w:tr>
      <w:tr w:rsidR="00914531" w:rsidRPr="001333C1" w14:paraId="07BAD95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59D5E1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b) Artikel 22 i grundlagen och artikel 8 i EKMR</w:t>
            </w:r>
          </w:p>
          <w:p w14:paraId="612FF44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10F7201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630325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100. I artikel 6 i det preliminära utkastet föreskrivs behandling av personuppgifter som utgör ett ingrepp i de berörda personernas rätt till privatliv, vilket särskilt garanteras i artikel 22 i grundlagen och artikel 8 i EKMR.</w:t>
            </w:r>
          </w:p>
          <w:p w14:paraId="2207669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145E9C1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3971AD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För att det ska vara tillåtet enligt ovannämnda bestämmelser behöver ingreppet i utövandet av rätten till privatliv definieras klart och tillräckligt specifikt för att göra det möjligt att på ett förutsägbart sätt förstå i vilka fall lagstiftaren tillåter sådan inblandning.</w:t>
            </w:r>
          </w:p>
          <w:p w14:paraId="06EEDB4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1685CA4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C96F6C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Varje ingrepp i rätten till privatliv ska dessutom grundas på en objektiv och rimlig motivering och följaktligen stå i proportion till de mål som lagstiftaren eftersträvar (2). Om de ingrepp som föreskrivs i det aktuella utkastet till lag har ett legitimt syfte, nämligen skyddet av hälsan och skyddet av andras rättigheter och friheter (3), behöver efterlevnaden av kraven på laglighet, relevans och proportionalitet kontrolleras.</w:t>
            </w:r>
          </w:p>
        </w:tc>
      </w:tr>
      <w:tr w:rsidR="00914531" w:rsidRPr="001333C1" w14:paraId="76C1118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5AE7A3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c) Principen om laglighet i artikel 22 i grundlagen</w:t>
            </w:r>
          </w:p>
          <w:p w14:paraId="319330B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37A9A24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7C97C1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lastRenderedPageBreak/>
              <w:t>101. I enlighet med artikel 22 i grundlagen ska all behandling av personuppgifter och, mer allmänt, varje kränkning av rätten till privatliv, omfattas av principen om formell laglighet (4).</w:t>
            </w:r>
          </w:p>
        </w:tc>
      </w:tr>
      <w:tr w:rsidR="00914531" w:rsidRPr="001333C1" w14:paraId="312A679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1C301D8"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Genom att förbehålla den behöriga lagstiftaren befogenheten att avgöra i vilka fall och på vilka villkor rätten till privatliv kan kränkas garanteras varje medborgare genom artikel 22 i grundlagen att inget ingrepp i utövandet av denna rätt får äga rum utom i enlighet med bestämmelser som antagits genom överläggning i en demokratiskt vald församling. Delegering till en annan myndighet strider dock inte mot principen om laglighet, förutsatt att tillståndet definieras på ett tillräckligt specifikt sätt och avser genomförandet av åtgärder vars väsentliga delar fastställs i förväg av lagstiftaren (5).</w:t>
            </w:r>
          </w:p>
        </w:tc>
      </w:tr>
      <w:tr w:rsidR="00914531" w:rsidRPr="001333C1" w14:paraId="0DA7E09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2D5584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Därför måste väsentliga delar av behandlingen av personuppgifter fastställas i själva lagen. I detta avseende anser den lagstiftande avdelningen att oavsett vilken fråga som berörs är följande i princip väsentliga delar: 1) De kategorier av uppgifter som behandlas. 2) De kategorier av personer som berörs. 3) Det syfte som eftersträvas med behandlingen. 4) De kategorier av personer som har tillgång till de uppgifter som behandlas. 5) Den maximala lagringsperioden för uppgifter (6).</w:t>
            </w:r>
          </w:p>
        </w:tc>
      </w:tr>
      <w:tr w:rsidR="00914531" w:rsidRPr="001333C1" w14:paraId="12BACA8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C603AC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1.3.</w:t>
            </w:r>
            <w:r>
              <w:rPr>
                <w:rFonts w:ascii="Calibri" w:hAnsi="Calibri"/>
                <w:sz w:val="24"/>
              </w:rPr>
              <w:tab/>
              <w:t>Som svar på frågan om iakttagandet av den ovannämnda principen om laglighet och förekomsten av en rättslig bestämmelse som specificerar dessa väsentliga delar svarade den biträdande ministern följande:</w:t>
            </w:r>
          </w:p>
        </w:tc>
      </w:tr>
      <w:tr w:rsidR="00914531" w:rsidRPr="001333C1" w14:paraId="43C7350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2F8F477"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Vi anser att de väsentliga delarna redan finns i artikeln i den lag som ger kungen befogenhet att fastställa förfaranden för spelkommissionens sökningar i det centrala registret över krediter till enskilda. I artikel 55/1 i lagen av den 7 maj 1999 om hasardspel, vadhållning, spelinrättningar och skydd för spelare föreskrivs följande: För att kommissionen ska kunna utföra de spelarskyddsuppgifter som den tilldelas genom denna lag och dess genomförandeförordningar ska kungen fastställa de förfaranden enligt vilka kommissionen får skicka en förfrågan till Belgiens centralbank avseende om en person har en utestående betalning enligt det centrala registret över krediter till enskilda vid Belgiens centralbank.</w:t>
            </w:r>
          </w:p>
        </w:tc>
      </w:tr>
      <w:tr w:rsidR="00914531" w:rsidRPr="001333C1" w14:paraId="074449A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C49FF1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Denna bestämmelse innehåller de väsentliga delar som anges i din fråga:</w:t>
            </w:r>
          </w:p>
          <w:p w14:paraId="4DCB31D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72A1C71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1CA036D"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Den kategori av uppgifter som behandlas; huruvida en person har en utestående betalning.</w:t>
            </w:r>
          </w:p>
          <w:p w14:paraId="1DF2473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55C229B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35EADB8"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De kategorier av personer som berörs; individer.</w:t>
            </w:r>
          </w:p>
          <w:p w14:paraId="223B3DE4"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1C02BAE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4C671A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Syftet med behandlingen; att göra det möjligt för kommissionen att utföra de spelarskyddsuppgifter som den tilldelats genom lagen och dess genomförandeförordningar.</w:t>
            </w:r>
          </w:p>
        </w:tc>
      </w:tr>
      <w:tr w:rsidR="00914531" w:rsidRPr="001333C1" w14:paraId="77CECDB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FCA1D3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De kategorier av personer som har tillgång till uppgifterna; kommissionen.</w:t>
            </w:r>
          </w:p>
        </w:tc>
      </w:tr>
      <w:tr w:rsidR="00914531" w:rsidRPr="001333C1" w14:paraId="536FA5D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3B7F64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Genom utkastet till kungligt dekret regleras de tekniska arrangemangen för sökningar och i detta syfte går man i detalj in i de olika väsentliga delarna utan att ändra dem, och därför utan att ändra lagen.</w:t>
            </w:r>
          </w:p>
        </w:tc>
      </w:tr>
      <w:tr w:rsidR="00914531" w:rsidRPr="001333C1" w14:paraId="2C2F9B9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D39C46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1.4.</w:t>
            </w:r>
            <w:r>
              <w:rPr>
                <w:rFonts w:ascii="Calibri" w:hAnsi="Calibri"/>
                <w:sz w:val="24"/>
              </w:rPr>
              <w:tab/>
              <w:t>När det gäller de kategorier av uppgifter som behandlas bör det noteras att artikel 55/1 i lagen av den 7 maj 1999 inte gör det möjligt att identifiera de kategorier av uppgifter som behandlas inom ramen för spelkommissionens övervakningsuppdrag. Dessa kategorier finns utförligt angivna i artikel 3.1.2.1, 3.1.2.2, 3.2.3 i utkastet till dekret.</w:t>
            </w:r>
          </w:p>
        </w:tc>
      </w:tr>
      <w:tr w:rsidR="00914531" w:rsidRPr="001333C1" w14:paraId="0AC8050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9702441"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När det gäller den maximala lagringsperioden för uppgifter föreskrivs dessutom denna lagringsperiod i mycket allmänna ordalag i artiklarna 4 och 7 i utkastet. </w:t>
            </w:r>
          </w:p>
          <w:p w14:paraId="1E2BA0E4"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7A8E084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6767C5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Det bemyndigande som kungen genomfört för att anta ovannämnda bestämmelser bör avgränsas bättre för att säkerställa att detta tillstånd är förenligt med den ovannämnda principen om </w:t>
            </w:r>
            <w:r>
              <w:rPr>
                <w:rFonts w:ascii="Calibri" w:hAnsi="Calibri"/>
                <w:sz w:val="24"/>
              </w:rPr>
              <w:lastRenderedPageBreak/>
              <w:t>laglighet och för att bättre säkerställa rättssäkerheten.</w:t>
            </w:r>
          </w:p>
        </w:tc>
      </w:tr>
      <w:tr w:rsidR="00914531" w:rsidRPr="001333C1" w14:paraId="7A3805B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5E0556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lastRenderedPageBreak/>
              <w:t xml:space="preserve">2.    Den ändring som föreskrivs i artikel 9 i utkastet avser artikel 6.1.1 a i det kungliga dekretet av den 25 oktober 2018 om förfaranden för hasardspel och vadhållning med hjälp av informationssamhällets tjänster och syftar till att fastställa det maximala beloppet för påfyllnad av </w:t>
            </w:r>
            <w:proofErr w:type="spellStart"/>
            <w:r>
              <w:rPr>
                <w:rFonts w:ascii="Calibri" w:hAnsi="Calibri"/>
                <w:sz w:val="24"/>
              </w:rPr>
              <w:t>onlinespelarkonton</w:t>
            </w:r>
            <w:proofErr w:type="spellEnd"/>
            <w:r>
              <w:rPr>
                <w:rFonts w:ascii="Calibri" w:hAnsi="Calibri"/>
                <w:sz w:val="24"/>
              </w:rPr>
              <w:t xml:space="preserve"> till 200 euro per vecka i stället för 500 euro per vecka och att upphäva klargörandet att denna gräns införs för spelaren för alla hasardspel och all vadhållning som de deltar i.</w:t>
            </w:r>
          </w:p>
        </w:tc>
      </w:tr>
      <w:tr w:rsidR="00914531" w:rsidRPr="001333C1" w14:paraId="20589FB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240F089"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När det gäller proportionaliteten hos den åtgärd som planeras i artikel 9 anges i rapporten till kungen om det kungliga dekretet av den 25 oktober 2018 att rättspraxis från Europeiska unionens domstol på området hasardspel beaktas i dess allmänna del, enligt vilken begränsningen av verksamhet med anknytning till hasardspel kan motiveras av tvingande skäl av allmänintresset, såsom konsumentskydd, bekämpning av bedrägerier och önskan att motverka att allmänheten lockas till överdrivna spelutgifter. I rapporten anges även att, med tanke på målen för spelarskydd och behovet av att undvika alla incitament för spelare att lockas till överdrivna spelutgifter, införandet av strängare regler är rimligt motiverat i proportion till det faktum att en viss typ av spel innebär en hög risk för beroende och överdrivna spelutgifter. När det gäller artikel 6 i kungligt dekret av den 25 oktober 2018 nämns i rapporten till kungen att det är nödvändigt att införa spelgränser för att effektivt motverka överdrivna spelutgifter och spelberoende; en spelare kan fylla på sina </w:t>
            </w:r>
            <w:proofErr w:type="spellStart"/>
            <w:r>
              <w:rPr>
                <w:rFonts w:ascii="Calibri" w:hAnsi="Calibri"/>
                <w:sz w:val="24"/>
              </w:rPr>
              <w:t>onlinespelarkonton</w:t>
            </w:r>
            <w:proofErr w:type="spellEnd"/>
            <w:r>
              <w:rPr>
                <w:rFonts w:ascii="Calibri" w:hAnsi="Calibri"/>
                <w:sz w:val="24"/>
              </w:rPr>
              <w:t xml:space="preserve"> med högst 500 euro per vecka för alla hasardspel och all vadhållning som de deltar i.</w:t>
            </w:r>
          </w:p>
        </w:tc>
      </w:tr>
      <w:tr w:rsidR="00914531" w:rsidRPr="001333C1" w14:paraId="49F8CFC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2F34709"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Även om den föreslagna ändringen av artikel 6.1.1 a i det kungliga dekretet av den 25 oktober 2018 förefaller mer restriktiv, eftersom det högsta belopp som man kan fylla på </w:t>
            </w:r>
            <w:proofErr w:type="spellStart"/>
            <w:r>
              <w:rPr>
                <w:rFonts w:ascii="Calibri" w:hAnsi="Calibri"/>
                <w:sz w:val="24"/>
              </w:rPr>
              <w:t>onlinespelarkonton</w:t>
            </w:r>
            <w:proofErr w:type="spellEnd"/>
            <w:r>
              <w:rPr>
                <w:rFonts w:ascii="Calibri" w:hAnsi="Calibri"/>
                <w:sz w:val="24"/>
              </w:rPr>
              <w:t xml:space="preserve"> med sänks till 200 euro, förefaller det framför allt mer tillåtande, eftersom det inte längre föreskrivs att denna gräns gäller för alla hasardspel och all vadhållning som de deltar i, vilket behöver förstås i den mening att gränsen endast gäller per </w:t>
            </w:r>
            <w:proofErr w:type="spellStart"/>
            <w:r>
              <w:rPr>
                <w:rFonts w:ascii="Calibri" w:hAnsi="Calibri"/>
                <w:sz w:val="24"/>
              </w:rPr>
              <w:t>onlinespels</w:t>
            </w:r>
            <w:proofErr w:type="spellEnd"/>
            <w:r>
              <w:rPr>
                <w:rFonts w:ascii="Calibri" w:hAnsi="Calibri"/>
                <w:sz w:val="24"/>
              </w:rPr>
              <w:t>- eller vadslagningswebbplats för vilka en spelare har ett konto.</w:t>
            </w:r>
          </w:p>
        </w:tc>
      </w:tr>
      <w:tr w:rsidR="00914531" w:rsidRPr="001333C1" w14:paraId="2AD7336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948D9C4"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Rapporten till kungen motiverar strykningen av orden ”för alla hasardspel och all vadhållning som de deltar i” enligt följande:</w:t>
            </w:r>
          </w:p>
        </w:tc>
      </w:tr>
      <w:tr w:rsidR="00914531" w:rsidRPr="001333C1" w14:paraId="628219F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CDCED2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 Det första ändringsförslaget gäller led a, där det föreskrivs att spelare får fylla på sina </w:t>
            </w:r>
            <w:proofErr w:type="spellStart"/>
            <w:r>
              <w:rPr>
                <w:rFonts w:ascii="Calibri" w:hAnsi="Calibri"/>
                <w:sz w:val="24"/>
              </w:rPr>
              <w:t>onlinespelarkonton</w:t>
            </w:r>
            <w:proofErr w:type="spellEnd"/>
            <w:r>
              <w:rPr>
                <w:rFonts w:ascii="Calibri" w:hAnsi="Calibri"/>
                <w:sz w:val="24"/>
              </w:rPr>
              <w:t xml:space="preserve"> med högst 500 euro per vecka för alla hasardspel och all vadhållning som de deltar i. Standardbeloppet för spelgränsen justeras nedåt till 200 euro för att förbättra spelarskyddet. Dessutom ska orden ”för alla hasardspel och all vadhållning som de deltar i” strykas. Det visar sig att en global spelgräns (som gäller för alla webbplatser), som inte har genomförts i praktiken sedan det kungliga dekretet trädde i kraft 2018, är tekniskt orealistisk. Den har också många nackdelar. Det är därför bättre att ta bort den globala aspekten av gränsen och behålla en gräns per webbplats, samtidigt som standardgränsen sänks. Detta skyddar spelarna bättre, särskilt de mest sårbara av dem.</w:t>
            </w:r>
          </w:p>
        </w:tc>
      </w:tr>
      <w:tr w:rsidR="00914531" w:rsidRPr="001333C1" w14:paraId="6A92738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42A6EF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Det följer av den föreslagna ändringen att även om spelaren i teorin, på grundval av den nuvarande regeln, åläggs en kreditgräns på 500 euro per vecka för alla hasardspel enligt det föreslagna systemet, kan spelaren, om han eller hon har mer än ett spelarkonto på olika webbplatser för </w:t>
            </w:r>
            <w:proofErr w:type="spellStart"/>
            <w:r>
              <w:rPr>
                <w:rFonts w:ascii="Calibri" w:hAnsi="Calibri"/>
                <w:sz w:val="24"/>
              </w:rPr>
              <w:t>onlinespel</w:t>
            </w:r>
            <w:proofErr w:type="spellEnd"/>
            <w:r>
              <w:rPr>
                <w:rFonts w:ascii="Calibri" w:hAnsi="Calibri"/>
                <w:sz w:val="24"/>
              </w:rPr>
              <w:t>, fylla på sina spelarkonton upp till ett betydligt högre belopp, till exempel totalt 1 000 euro per vecka om de har fem spelarkonton.</w:t>
            </w:r>
          </w:p>
          <w:p w14:paraId="5AF0FFC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52F7C9F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F65E46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Med tanke på det eftersträvade målet att skydda konsumenterna och effektivt motverka överdrivna spelutgifter och spelberoende, kommer rapporten till kungen att kompletteras i syfte att tydligare ange de faktorer som gör det möjligt att anse att den föreslagna ändringen verkligen är av en karaktär som bättre skyddar spelarna, särskilt de mest sårbara av dem.</w:t>
            </w:r>
          </w:p>
        </w:tc>
      </w:tr>
      <w:tr w:rsidR="00914531" w:rsidRPr="001333C1" w14:paraId="449F494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70ACE7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lastRenderedPageBreak/>
              <w:t>3.</w:t>
            </w:r>
            <w:r>
              <w:rPr>
                <w:rFonts w:ascii="Calibri" w:hAnsi="Calibri"/>
                <w:sz w:val="24"/>
              </w:rPr>
              <w:tab/>
              <w:t>Med förbehåll för dessa allmänna kommentarer görs följande särskilda kommentarer.</w:t>
            </w:r>
          </w:p>
        </w:tc>
      </w:tr>
      <w:tr w:rsidR="00914531" w:rsidRPr="001333C1" w14:paraId="5F423D4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DCAFC6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603ACF5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B34E326"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rPr>
            </w:pPr>
            <w:r>
              <w:rPr>
                <w:rFonts w:ascii="Calibri" w:hAnsi="Calibri"/>
                <w:sz w:val="24"/>
                <w:u w:val="single"/>
              </w:rPr>
              <w:t>SÄRSKILDA KOMMENTARER</w:t>
            </w:r>
          </w:p>
          <w:p w14:paraId="06FAD7F0"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lang w:val="fr-BE"/>
              </w:rPr>
            </w:pPr>
          </w:p>
        </w:tc>
      </w:tr>
      <w:tr w:rsidR="00914531" w:rsidRPr="00914531" w14:paraId="2E52521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B30ABBF"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rPr>
            </w:pPr>
            <w:r>
              <w:rPr>
                <w:rFonts w:ascii="Calibri" w:hAnsi="Calibri"/>
                <w:sz w:val="24"/>
                <w:u w:val="single"/>
              </w:rPr>
              <w:t>INGRESS</w:t>
            </w:r>
          </w:p>
          <w:p w14:paraId="25399D3F"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lang w:val="fr-BE"/>
              </w:rPr>
            </w:pPr>
          </w:p>
        </w:tc>
      </w:tr>
      <w:tr w:rsidR="00914531" w:rsidRPr="001333C1" w14:paraId="1C01825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7239B17"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Den enda rättsliga grunden för det utkast som avses i första stycket är artikel 55/1 i lagen av den 7 maj 1999. Den bestämmelsen ger emellertid inte kungen befogenhet att varken ändra det kungliga dekretet av den 25 oktober 2018, eller att fastställa ikraftträdandet av artikel 6.1.1 b i den förordningen.</w:t>
            </w:r>
          </w:p>
        </w:tc>
      </w:tr>
      <w:tr w:rsidR="00914531" w:rsidRPr="001333C1" w14:paraId="43A7FD6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0F149C7"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Med den biträdande ministerns samtycke ska första stycket kompletteras med en hänvisning till artikel 43/8.2.2 i lagen av den 7 maj 1999 som ger kungen befogenhet att ändra det kungliga dekretet av den 25 oktober 2018.</w:t>
            </w:r>
          </w:p>
        </w:tc>
      </w:tr>
      <w:tr w:rsidR="00914531" w:rsidRPr="001333C1" w14:paraId="39BDDD7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EB2504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När det gäller artikel 10 i utkastet, i vilken det fastställs att artikel 6.1.1 b i samma kungliga dekret ska träda i kraft, hänvisas det till den särskilda iakttagelse som görs i enlighet med artikel 10.</w:t>
            </w:r>
          </w:p>
        </w:tc>
      </w:tr>
      <w:tr w:rsidR="00914531" w:rsidRPr="00914531" w14:paraId="603E030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3E66192"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rPr>
            </w:pPr>
            <w:r>
              <w:rPr>
                <w:rFonts w:ascii="Calibri" w:hAnsi="Calibri"/>
                <w:sz w:val="24"/>
                <w:u w:val="single"/>
              </w:rPr>
              <w:t>INSTRUMENT</w:t>
            </w:r>
          </w:p>
          <w:p w14:paraId="7839E61E"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lang w:val="fr-BE"/>
              </w:rPr>
            </w:pPr>
          </w:p>
        </w:tc>
      </w:tr>
      <w:tr w:rsidR="00914531" w:rsidRPr="00914531" w14:paraId="6A623BD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6084186"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rPr>
            </w:pPr>
            <w:r>
              <w:rPr>
                <w:rFonts w:ascii="Calibri" w:hAnsi="Calibri"/>
                <w:sz w:val="24"/>
                <w:u w:val="single"/>
              </w:rPr>
              <w:t>Artikel 3</w:t>
            </w:r>
          </w:p>
          <w:p w14:paraId="45C67ACF"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lang w:val="fr-BE"/>
              </w:rPr>
            </w:pPr>
          </w:p>
        </w:tc>
      </w:tr>
      <w:tr w:rsidR="00914531" w:rsidRPr="001333C1" w14:paraId="5E931DF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59E0BA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Med hänsyn till att det, vid den tidpunkt då en spelares identifieringsuppgifter överförs till Belgiens centralbank för kontroll, ännu inte har fastställts huruvida spelaren har en utestående betalning i den mening som avses i artikel VII.148 i lagen om ekonomisk rätt, är det felaktigt att i artikel 3.1.1 i utkastet ange följande: </w:t>
            </w:r>
          </w:p>
          <w:p w14:paraId="2B32FFF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0520087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CF282F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 Identifieringsuppgifter om en spelare som har en utestående betalning i den mening som avses i artikel VII.148 i lagen om ekonomisk rätt får delas [...]”. </w:t>
            </w:r>
          </w:p>
          <w:p w14:paraId="0E9855CB"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lang w:val="fr-BE"/>
              </w:rPr>
            </w:pPr>
          </w:p>
        </w:tc>
      </w:tr>
      <w:tr w:rsidR="00914531" w:rsidRPr="001333C1" w14:paraId="35BF3B0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8F18E27"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Som svar på denna fråga föreslår den biträdande ministern följande lydelse för artikel 3.1.1 i utkastet:</w:t>
            </w:r>
          </w:p>
          <w:p w14:paraId="25E74E9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ab/>
            </w:r>
          </w:p>
        </w:tc>
      </w:tr>
      <w:tr w:rsidR="00914531" w:rsidRPr="001333C1" w14:paraId="18A8EEC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447F6D4"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 Identifieringsuppgifter om den spelare som begär en höjning av spelgränsen i enlighet med artikel 6.1.1 b i det kungliga dekretet av den 25 oktober 2018 får delas med Belgiens centralbank för att kontrollera om spelaren har en utestående betalning i den mening som avses i artikel VII.148 i lagen om ekonomisk rätt i filen i det centrala registret över krediter till enskilda.</w:t>
            </w:r>
          </w:p>
          <w:p w14:paraId="57D4C57B"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lang w:val="fr-BE"/>
              </w:rPr>
            </w:pPr>
          </w:p>
        </w:tc>
      </w:tr>
      <w:tr w:rsidR="00914531" w:rsidRPr="001333C1" w14:paraId="1A16BE0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3DE16A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u w:val="single"/>
              </w:rPr>
            </w:pPr>
            <w:r>
              <w:rPr>
                <w:rFonts w:ascii="Calibri" w:hAnsi="Calibri"/>
                <w:sz w:val="24"/>
              </w:rPr>
              <w:t>Texten ska i detta syfte att anpassas genom att orden ”i det kungliga dekretet av den 25 oktober 2018” ska ersättas med orden ”i det kungliga dekretet av den 25 oktober 2018 om förfaranden för hasardspel och vadhållning med hjälp av informationssamhällets tjänster”.</w:t>
            </w:r>
          </w:p>
        </w:tc>
      </w:tr>
      <w:tr w:rsidR="00914531" w:rsidRPr="00914531" w14:paraId="0FE1BBE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58524CD"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rPr>
            </w:pPr>
            <w:r>
              <w:rPr>
                <w:rFonts w:ascii="Calibri" w:hAnsi="Calibri"/>
                <w:sz w:val="24"/>
                <w:u w:val="single"/>
              </w:rPr>
              <w:t>Artikel 9</w:t>
            </w:r>
          </w:p>
        </w:tc>
      </w:tr>
      <w:tr w:rsidR="00914531" w:rsidRPr="001333C1" w14:paraId="1AB3321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1F1F79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1. Den åtgärd som planeras i artikel 9, som syftar till att ändra artikel 6.1.1 a i det kungliga dekretet av den 25 oktober 2018 för att fastställa det maximala beloppet för </w:t>
            </w:r>
            <w:proofErr w:type="spellStart"/>
            <w:r>
              <w:rPr>
                <w:rFonts w:ascii="Calibri" w:hAnsi="Calibri"/>
                <w:sz w:val="24"/>
              </w:rPr>
              <w:t>onlinespelarkonton</w:t>
            </w:r>
            <w:proofErr w:type="spellEnd"/>
            <w:r>
              <w:rPr>
                <w:rFonts w:ascii="Calibri" w:hAnsi="Calibri"/>
                <w:sz w:val="24"/>
              </w:rPr>
              <w:t xml:space="preserve"> till 200 euro i stället för 500 euro per vecka, kommer sannolikt att ha en inverkan på de federala enheternas skattemässiga behörigheter. I detta avseende konstaterade den lagstiftande avdelningen i sitt yttrande nr </w:t>
            </w:r>
            <w:proofErr w:type="gramStart"/>
            <w:r>
              <w:rPr>
                <w:rFonts w:ascii="Calibri" w:hAnsi="Calibri"/>
                <w:sz w:val="24"/>
              </w:rPr>
              <w:t>63.662</w:t>
            </w:r>
            <w:proofErr w:type="gramEnd"/>
            <w:r>
              <w:rPr>
                <w:rFonts w:ascii="Calibri" w:hAnsi="Calibri"/>
                <w:sz w:val="24"/>
              </w:rPr>
              <w:t>/VR av den 17 juli 2018 om ett utkast som ledde till kungligt dekret av den 25 oktober 2018 (7):</w:t>
            </w:r>
          </w:p>
        </w:tc>
      </w:tr>
      <w:tr w:rsidR="00914531" w:rsidRPr="001333C1" w14:paraId="4BB5E07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7949F7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 Såsom författningsdomstolen påpekade i sitt beslut nr 114/2005 av den 30 juni 2005 (8) faller det inom den federala myndighetens behörighet att fastställa under vilka villkor hasardspel och </w:t>
            </w:r>
            <w:r>
              <w:rPr>
                <w:rFonts w:ascii="Calibri" w:hAnsi="Calibri"/>
                <w:sz w:val="24"/>
              </w:rPr>
              <w:lastRenderedPageBreak/>
              <w:t>vadhållning tolereras och att organisera den tillsyn som krävs på grund av sådan verksamhets farliga karaktär (9).</w:t>
            </w:r>
          </w:p>
        </w:tc>
      </w:tr>
      <w:tr w:rsidR="00914531" w:rsidRPr="001333C1" w14:paraId="774BB57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B71C97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lastRenderedPageBreak/>
              <w:t>Det utkast till dekret som prövas omfattas av denna ram och omfattas därför av upphovsmannens behörighet.</w:t>
            </w:r>
          </w:p>
        </w:tc>
      </w:tr>
      <w:tr w:rsidR="00914531" w:rsidRPr="001333C1" w14:paraId="04AA0F8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E7CCBF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Denna kommentar upprepas när det gäller artikel 9 i utkastet.</w:t>
            </w:r>
          </w:p>
        </w:tc>
      </w:tr>
      <w:tr w:rsidR="00914531" w:rsidRPr="001333C1" w14:paraId="2C74C9C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B21D854"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2.</w:t>
            </w:r>
            <w:r>
              <w:rPr>
                <w:rFonts w:ascii="Calibri" w:hAnsi="Calibri"/>
                <w:sz w:val="24"/>
              </w:rPr>
              <w:tab/>
              <w:t xml:space="preserve">Det kungliga dekretet av den 25 oktober 2018 är eller har helt eller delvis varit föremål för ett stort antal ansökningar om ogiltigförklarande (10). Vissa av dem har lett till beslut om ogiltigförklarande av vissa bestämmelser i det kungliga dekretet (11). Ansökan med referens G/A. </w:t>
            </w:r>
            <w:proofErr w:type="gramStart"/>
            <w:r>
              <w:rPr>
                <w:rFonts w:ascii="Calibri" w:hAnsi="Calibri"/>
                <w:sz w:val="24"/>
              </w:rPr>
              <w:t>227.138</w:t>
            </w:r>
            <w:proofErr w:type="gramEnd"/>
            <w:r>
              <w:rPr>
                <w:rFonts w:ascii="Calibri" w:hAnsi="Calibri"/>
                <w:sz w:val="24"/>
              </w:rPr>
              <w:t>/XI.22.372 yrkar ogiltigförklarande av åtminstone, i andra hand, artiklarna 1, 6.1.1 och 6.2.</w:t>
            </w:r>
          </w:p>
        </w:tc>
      </w:tr>
      <w:tr w:rsidR="00914531" w:rsidRPr="001333C1" w14:paraId="6FD667E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76DF18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Denna omfattande rättstvist, liksom de praktiska svårigheterna med att genomföra den planerade ändringen av artikel 6.1.1 a i det kungliga dekretet av den 25 oktober 2018, betonas av finansinspektören i hans yttrande av den 5 juli 2021, på ett sätt som kan sammanfattas enligt följande:</w:t>
            </w:r>
          </w:p>
        </w:tc>
      </w:tr>
      <w:tr w:rsidR="00914531" w:rsidRPr="001333C1" w14:paraId="0619436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F5E0AA7"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Denna bestämmelse har ändrats medan förfarandet pågår vid statsrådet.</w:t>
            </w:r>
          </w:p>
          <w:p w14:paraId="25CB5F71"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32BFB93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23C6A1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Risken för ett ökande antal begäranden om höjning av gränser för påfyllnad av konton, hos samma operatör eller med en annan operatör, om spelare nekas detta när de anser att de är berättigade till denna höjning.</w:t>
            </w:r>
          </w:p>
        </w:tc>
      </w:tr>
      <w:tr w:rsidR="00914531" w:rsidRPr="001333C1" w14:paraId="1A571EA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032702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Avslagets automatiska karaktär om en spelare är upptagen i registret över krediter, även om det kan finnas fel.</w:t>
            </w:r>
          </w:p>
          <w:p w14:paraId="2A04EF2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7EAB55F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B3FEE7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Administrativa överklaganden kommer oundvikligen att läggas fram.</w:t>
            </w:r>
          </w:p>
        </w:tc>
      </w:tr>
      <w:tr w:rsidR="00914531" w:rsidRPr="001333C1" w14:paraId="448AA85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E0DDAA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Vad gäller dessa svårigheter förnekar inte den biträdande ministern att överklaganden kan förekomma och att det finns risk för volatilitet eftersom spelarna ständigt kan byta operatör, och specificerar följande:</w:t>
            </w:r>
          </w:p>
        </w:tc>
      </w:tr>
      <w:tr w:rsidR="00914531" w:rsidRPr="001333C1" w14:paraId="7500544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669D44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 Det bör noteras att, enligt information som spelkommissionen tillhandahöll i juni 2021, cirka 45 % av de 100 000 dagliga spelarna sannolikt kommer att begära en höjning av sin spelgräns. Dessutom registreras i genomsnitt 70 000 nya spelare per månad, och spelkommissionen uppskattar att cirka 40 % av dessa spelare skulle kunna begära en ökning av sin spelgräns.</w:t>
            </w:r>
          </w:p>
        </w:tc>
      </w:tr>
      <w:tr w:rsidR="00914531" w:rsidRPr="001333C1" w14:paraId="2C524AD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8ADBDA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Även om det faktum att genomförandet, inbegripet finansieringen, av en bestämmelse kan visa sig vara komplicerat inte är något bevis för att det är rättsstridigt kan det ge upphov till svårigheter vad gäller rättssäkerheten att ändra en bestämmelse som redan är föremål för en prövning vid statsrådets förvaltningsrättsliga avdelning.</w:t>
            </w:r>
          </w:p>
        </w:tc>
      </w:tr>
      <w:tr w:rsidR="00914531" w:rsidRPr="00914531" w14:paraId="53FFABD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C0D443C"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rPr>
            </w:pPr>
            <w:r>
              <w:rPr>
                <w:rFonts w:ascii="Calibri" w:hAnsi="Calibri"/>
                <w:sz w:val="24"/>
                <w:u w:val="single"/>
              </w:rPr>
              <w:t>Artikel 10</w:t>
            </w:r>
          </w:p>
        </w:tc>
      </w:tr>
      <w:tr w:rsidR="00914531" w:rsidRPr="001333C1" w14:paraId="0B7643B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270C65B"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I artikel 10 i utkastet föreskrivs att artikel 6.1.1 b i det kungliga dekretet av den 25 oktober 2018 ska träda i kraft samma dag som detta dekret.</w:t>
            </w:r>
          </w:p>
        </w:tc>
      </w:tr>
      <w:tr w:rsidR="00914531" w:rsidRPr="001333C1" w14:paraId="3879F4A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3106EDD"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Ikraftträdandet av denna bestämmelse föreskrivs i artikel 13 första stycket i samma kungliga dekret enligt följande:</w:t>
            </w:r>
          </w:p>
        </w:tc>
      </w:tr>
      <w:tr w:rsidR="00914531" w:rsidRPr="001333C1" w14:paraId="762C207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9AB280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 Detta dekret träder i kraft den första dagen i den åttonde månaden efter det att det har offentliggjorts i Belgiens officiella tidning, med undantag för artikel 6.1.1 b som träder i kraft senast i januari 2019 eller, i tillämpliga fall, på en senare dag som fastställs av kungen genom ett dekret som överlagts i ministerrådet.</w:t>
            </w:r>
          </w:p>
        </w:tc>
      </w:tr>
      <w:tr w:rsidR="00914531" w:rsidRPr="001333C1" w14:paraId="5F57C80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5E723D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I rapporten till kungen klargörs följande i förhållande till artikel 13:</w:t>
            </w:r>
          </w:p>
        </w:tc>
      </w:tr>
      <w:tr w:rsidR="00914531" w:rsidRPr="001333C1" w14:paraId="520CAA8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5A0855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 I artikel 13 föreskrivs en övergångsperiod på åtta månader så att spel- och vadhållningsoperatörer kan anpassa sig till de nya licenskraven, med undantag för artikel 6.1.1 b, som ska träda i kraft senast den 1 januari 2019.</w:t>
            </w:r>
          </w:p>
          <w:p w14:paraId="3A2900B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12835A9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AF77654"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lastRenderedPageBreak/>
              <w:t>Mot bakgrund av denna tydliga indikation i rapporten till kungen måste det anses att artikel 6.1.1 b trädde i kraft den dagen, i avsaknad av ett kungligt dekret som antogs före den 1 januari 2019.</w:t>
            </w:r>
          </w:p>
        </w:tc>
      </w:tr>
      <w:tr w:rsidR="00914531" w:rsidRPr="001333C1" w14:paraId="4380AD8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43655A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Artikel 13 första stycket i det kungliga dekretet av den 25 oktober 2018 kan inte tolkas som att det gör det möjligt för kungen att anta ett kungligt dekret som överlagts i ministerrådet efter den 1 januari 2019 som skulle fastställa ikraftträdandet av artikel 6.1.1 b i det dekretet, eftersom det skulle innebära att kravet på att denna bestämmelse ska träda i kraft senast januari 2019 skulle förlora sin rättsliga betydelse.</w:t>
            </w:r>
          </w:p>
        </w:tc>
      </w:tr>
      <w:tr w:rsidR="00914531" w:rsidRPr="001333C1" w14:paraId="4B57052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A8CEC6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Följaktligen kommer artikel 10 i utkastet att utelämnas.</w:t>
            </w:r>
          </w:p>
        </w:tc>
      </w:tr>
      <w:tr w:rsidR="00914531" w:rsidRPr="00914531" w14:paraId="41CCF84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46CED00"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w:t>
            </w:r>
          </w:p>
        </w:tc>
      </w:tr>
      <w:tr w:rsidR="00914531" w:rsidRPr="00914531" w14:paraId="228524B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F5ECA55"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nl-BE"/>
              </w:rPr>
            </w:pPr>
          </w:p>
        </w:tc>
      </w:tr>
      <w:tr w:rsidR="00914531" w:rsidRPr="001333C1" w14:paraId="3B5BDAE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8DDD0C0" w14:textId="77777777" w:rsidR="00914531" w:rsidRPr="001333C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BITRÄDANDE JUSTITIESEKRETERARE</w:t>
            </w:r>
          </w:p>
          <w:p w14:paraId="209E3AE8" w14:textId="77777777" w:rsidR="00914531" w:rsidRPr="001333C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Charles-Henri VAN HOVE</w:t>
            </w:r>
          </w:p>
          <w:p w14:paraId="714691FF" w14:textId="77777777" w:rsidR="00914531" w:rsidRPr="001333C1" w:rsidRDefault="00914531" w:rsidP="00914531">
            <w:pPr>
              <w:widowControl w:val="0"/>
              <w:autoSpaceDE w:val="0"/>
              <w:autoSpaceDN w:val="0"/>
              <w:adjustRightInd w:val="0"/>
              <w:jc w:val="center"/>
              <w:rPr>
                <w:rFonts w:ascii="Calibri" w:eastAsia="Times New Roman" w:hAnsi="Calibri" w:cs="Calibri"/>
                <w:sz w:val="24"/>
                <w:szCs w:val="24"/>
                <w:lang w:val="fr-FR"/>
              </w:rPr>
            </w:pPr>
          </w:p>
        </w:tc>
      </w:tr>
      <w:tr w:rsidR="00914531" w:rsidRPr="00914531" w14:paraId="1EB45EA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DEA702B"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ORDFÖRANDE</w:t>
            </w:r>
          </w:p>
          <w:p w14:paraId="35DDF2B2"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Martine BAGUET</w:t>
            </w:r>
          </w:p>
        </w:tc>
      </w:tr>
      <w:tr w:rsidR="00914531" w:rsidRPr="00914531" w14:paraId="1858AD2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8A0B552"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w:t>
            </w:r>
          </w:p>
        </w:tc>
      </w:tr>
      <w:tr w:rsidR="00914531" w:rsidRPr="00914531" w14:paraId="36A2A4B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CF8A5DD"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Anmärkningar</w:t>
            </w:r>
          </w:p>
          <w:p w14:paraId="09FFD532"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lang w:val="nl-BE"/>
              </w:rPr>
            </w:pPr>
          </w:p>
        </w:tc>
      </w:tr>
      <w:tr w:rsidR="00914531" w:rsidRPr="001333C1" w14:paraId="2E62734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8953016"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(1)</w:t>
            </w:r>
            <w:r>
              <w:rPr>
                <w:rFonts w:ascii="Times New Roman" w:hAnsi="Times New Roman"/>
                <w:sz w:val="24"/>
              </w:rPr>
              <w:t xml:space="preserve"> </w:t>
            </w:r>
            <w:proofErr w:type="spellStart"/>
            <w:r>
              <w:rPr>
                <w:rFonts w:ascii="Calibri" w:hAnsi="Calibri"/>
                <w:sz w:val="24"/>
              </w:rPr>
              <w:t>Parl</w:t>
            </w:r>
            <w:proofErr w:type="spellEnd"/>
            <w:r>
              <w:rPr>
                <w:rFonts w:ascii="Calibri" w:hAnsi="Calibri"/>
                <w:sz w:val="24"/>
              </w:rPr>
              <w:t>. dok. kammare 2020–2021, nr </w:t>
            </w:r>
            <w:proofErr w:type="gramStart"/>
            <w:r>
              <w:rPr>
                <w:rFonts w:ascii="Calibri" w:hAnsi="Calibri"/>
                <w:sz w:val="24"/>
              </w:rPr>
              <w:t>55-1951</w:t>
            </w:r>
            <w:proofErr w:type="gramEnd"/>
            <w:r>
              <w:rPr>
                <w:rFonts w:ascii="Calibri" w:hAnsi="Calibri"/>
                <w:sz w:val="24"/>
              </w:rPr>
              <w:t>/1, s. 55–127, http://www.raadvst-consetat.be/dbx/avis/68936.pdf.</w:t>
            </w:r>
          </w:p>
        </w:tc>
      </w:tr>
      <w:tr w:rsidR="00914531" w:rsidRPr="001333C1" w14:paraId="67F8C28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1EDB9AC"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(2)</w:t>
            </w:r>
            <w:r>
              <w:rPr>
                <w:rFonts w:ascii="Times New Roman" w:hAnsi="Times New Roman"/>
                <w:sz w:val="24"/>
              </w:rPr>
              <w:t xml:space="preserve"> </w:t>
            </w:r>
            <w:r>
              <w:rPr>
                <w:rFonts w:ascii="Calibri" w:hAnsi="Calibri"/>
                <w:sz w:val="24"/>
              </w:rPr>
              <w:t>Fotnot 172 i det citerade yttrandet: Kommissionens yttrande nr </w:t>
            </w:r>
            <w:proofErr w:type="gramStart"/>
            <w:r>
              <w:rPr>
                <w:rFonts w:ascii="Calibri" w:hAnsi="Calibri"/>
                <w:sz w:val="24"/>
              </w:rPr>
              <w:t>63.192</w:t>
            </w:r>
            <w:proofErr w:type="gramEnd"/>
            <w:r>
              <w:rPr>
                <w:rFonts w:ascii="Calibri" w:hAnsi="Calibri"/>
                <w:sz w:val="24"/>
              </w:rPr>
              <w:t xml:space="preserve">/2 av den 19 april 2018 om ett preliminärt utkast som ledde till lagen av den 30 juli 2018 om skydd för fysiska personer med avseende på behandling av personuppgifter, </w:t>
            </w:r>
            <w:proofErr w:type="spellStart"/>
            <w:r>
              <w:rPr>
                <w:rFonts w:ascii="Calibri" w:hAnsi="Calibri"/>
                <w:sz w:val="24"/>
              </w:rPr>
              <w:t>parl</w:t>
            </w:r>
            <w:proofErr w:type="spellEnd"/>
            <w:r>
              <w:rPr>
                <w:rFonts w:ascii="Calibri" w:hAnsi="Calibri"/>
                <w:sz w:val="24"/>
              </w:rPr>
              <w:t xml:space="preserve">. dok. kammare 2017–2018, nr 54-3126/001, s. 402–456, http://www.raadvst-consetat.be/dbx/avis/63192.pdf; kommissionens yttrande nr 63.202/2 av den 26 april 2018 om utkastet till lag av den 5 september 2018 om inrättande av en kommitté för informationssäkerhet och om ändring av olika lagar avseende genomförandet av Europaparlamentets och rådets förordning (EU) 2016/679 av den 27 april 2016 om skydd för fysiska personer med avseende på behandling av personuppgifter och om det fria flödet av sådana uppgifter och om upphävande av direktiv 95/46/EG, </w:t>
            </w:r>
            <w:proofErr w:type="spellStart"/>
            <w:r>
              <w:rPr>
                <w:rFonts w:ascii="Calibri" w:hAnsi="Calibri"/>
                <w:sz w:val="24"/>
              </w:rPr>
              <w:t>parl</w:t>
            </w:r>
            <w:proofErr w:type="spellEnd"/>
            <w:r>
              <w:rPr>
                <w:rFonts w:ascii="Calibri" w:hAnsi="Calibri"/>
                <w:sz w:val="24"/>
              </w:rPr>
              <w:t>. dok. kammare 2017–2018, nr </w:t>
            </w:r>
            <w:proofErr w:type="gramStart"/>
            <w:r>
              <w:rPr>
                <w:rFonts w:ascii="Calibri" w:hAnsi="Calibri"/>
                <w:sz w:val="24"/>
              </w:rPr>
              <w:t>54-3185</w:t>
            </w:r>
            <w:proofErr w:type="gramEnd"/>
            <w:r>
              <w:rPr>
                <w:rFonts w:ascii="Calibri" w:hAnsi="Calibri"/>
                <w:sz w:val="24"/>
              </w:rPr>
              <w:t>/001, s. 120–145, http://www.raadvstconsetat.be/dbx/avis/63202.pdf.</w:t>
            </w:r>
          </w:p>
        </w:tc>
      </w:tr>
      <w:tr w:rsidR="00914531" w:rsidRPr="001333C1" w14:paraId="56957F7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D4B2349"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(3)</w:t>
            </w:r>
            <w:r>
              <w:rPr>
                <w:rFonts w:ascii="Times New Roman" w:hAnsi="Times New Roman"/>
                <w:sz w:val="24"/>
              </w:rPr>
              <w:t xml:space="preserve"> </w:t>
            </w:r>
            <w:r>
              <w:rPr>
                <w:rFonts w:ascii="Calibri" w:hAnsi="Calibri"/>
                <w:sz w:val="24"/>
              </w:rPr>
              <w:t>Fotnot 173 i det citerade yttrandet: Artikel 8.2 i EKMR.</w:t>
            </w:r>
          </w:p>
        </w:tc>
      </w:tr>
      <w:tr w:rsidR="00914531" w:rsidRPr="001333C1" w14:paraId="3C7BB2D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0489B54"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(4)</w:t>
            </w:r>
            <w:r>
              <w:rPr>
                <w:rFonts w:ascii="Times New Roman" w:hAnsi="Times New Roman"/>
                <w:sz w:val="24"/>
              </w:rPr>
              <w:t xml:space="preserve"> </w:t>
            </w:r>
            <w:r>
              <w:rPr>
                <w:rFonts w:ascii="Calibri" w:hAnsi="Calibri"/>
                <w:sz w:val="24"/>
              </w:rPr>
              <w:t>Fotnot 174 i det citerade yttrandet: Redan tidigare åberopad, nummer 70 och följande.</w:t>
            </w:r>
          </w:p>
        </w:tc>
      </w:tr>
      <w:tr w:rsidR="00914531" w:rsidRPr="001333C1" w14:paraId="4B39E69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088CD53"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(5)</w:t>
            </w:r>
            <w:r>
              <w:rPr>
                <w:rFonts w:ascii="Times New Roman" w:hAnsi="Times New Roman"/>
                <w:sz w:val="24"/>
              </w:rPr>
              <w:t xml:space="preserve"> </w:t>
            </w:r>
            <w:r>
              <w:rPr>
                <w:rFonts w:ascii="Calibri" w:hAnsi="Calibri"/>
                <w:sz w:val="24"/>
              </w:rPr>
              <w:t>Fotnot 175 i det citerade yttrandet: Fast rättspraxis från författningsdomstolen: se särskilt dom nr 29/2010 av den 18 mars 2010, B.16.1; dom nr 27/2020 av den 20 februari 2020, B.17.</w:t>
            </w:r>
          </w:p>
        </w:tc>
      </w:tr>
      <w:tr w:rsidR="00914531" w:rsidRPr="001333C1" w14:paraId="1952661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74FBEAB"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(6)</w:t>
            </w:r>
            <w:r>
              <w:rPr>
                <w:rFonts w:ascii="Times New Roman" w:hAnsi="Times New Roman"/>
                <w:sz w:val="24"/>
              </w:rPr>
              <w:t xml:space="preserve"> </w:t>
            </w:r>
            <w:r>
              <w:rPr>
                <w:rFonts w:ascii="Calibri" w:hAnsi="Calibri"/>
                <w:sz w:val="24"/>
              </w:rPr>
              <w:t>Rättspraxis har också nyligen återgivits i dom nr 33/2022 av den 10 mars 2022, B.13.1.</w:t>
            </w:r>
          </w:p>
        </w:tc>
      </w:tr>
      <w:tr w:rsidR="00914531" w:rsidRPr="001333C1" w14:paraId="49B8EEB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9241EA9"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(7) http://www.raadvst-consetat.be/dbx/avis/63662.pdf.</w:t>
            </w:r>
          </w:p>
        </w:tc>
      </w:tr>
      <w:tr w:rsidR="00914531" w:rsidRPr="001333C1" w14:paraId="1928823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6ABD573"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(8) Fotnot 1 i det citerade yttrandet: Skäl B.13.</w:t>
            </w:r>
          </w:p>
        </w:tc>
      </w:tr>
      <w:tr w:rsidR="00914531" w:rsidRPr="001333C1" w14:paraId="50B071F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218E906"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(9)</w:t>
            </w:r>
            <w:r>
              <w:rPr>
                <w:rFonts w:ascii="Times New Roman" w:hAnsi="Times New Roman"/>
                <w:sz w:val="24"/>
              </w:rPr>
              <w:t xml:space="preserve"> </w:t>
            </w:r>
            <w:r>
              <w:rPr>
                <w:rFonts w:ascii="Calibri" w:hAnsi="Calibri"/>
                <w:sz w:val="24"/>
              </w:rPr>
              <w:t>Fotnot 2 i det citerade yttrandet: Om de gränser som, enligt artikel 3.1.1 i den särskilda lagen av den 16 januari 1989 om finansiering av gemenskaper och regioner, är knutna till den federala myndighetens skattemässiga behörighet när det gäller hasardspel och vadhållning, se dom nr 34/2018 av den 22 mars 2018, skäl B.13.</w:t>
            </w:r>
          </w:p>
        </w:tc>
      </w:tr>
      <w:tr w:rsidR="00914531" w:rsidRPr="001333C1" w14:paraId="68391DE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C118C1E"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lastRenderedPageBreak/>
              <w:t>(10)</w:t>
            </w:r>
            <w:r>
              <w:rPr>
                <w:rFonts w:ascii="Times New Roman" w:hAnsi="Times New Roman"/>
                <w:sz w:val="24"/>
              </w:rPr>
              <w:t xml:space="preserve"> </w:t>
            </w:r>
            <w:r>
              <w:rPr>
                <w:rFonts w:ascii="Calibri" w:hAnsi="Calibri"/>
                <w:sz w:val="24"/>
              </w:rPr>
              <w:t xml:space="preserve">Se referenser G/A. </w:t>
            </w:r>
            <w:proofErr w:type="gramStart"/>
            <w:r>
              <w:rPr>
                <w:rFonts w:ascii="Calibri" w:hAnsi="Calibri"/>
                <w:sz w:val="24"/>
              </w:rPr>
              <w:t>227.048</w:t>
            </w:r>
            <w:proofErr w:type="gramEnd"/>
            <w:r>
              <w:rPr>
                <w:rFonts w:ascii="Calibri" w:hAnsi="Calibri"/>
                <w:sz w:val="24"/>
              </w:rPr>
              <w:t>/XI-22.358, G/A. 227.050/VII-40.459, G/A. 227.051/XI-22.359, G/A. 227.052/VII 40.460, G/A. 227.068/VII-40.461, G/A. 227.073/VII-40.463 och G/A 227.109/XI-22.369, G/A. 227.138/XI.22.372.</w:t>
            </w:r>
          </w:p>
        </w:tc>
      </w:tr>
      <w:tr w:rsidR="00914531" w:rsidRPr="001333C1" w14:paraId="0ECD559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23C4FC6"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(11)</w:t>
            </w:r>
            <w:r>
              <w:rPr>
                <w:rFonts w:ascii="Times New Roman" w:hAnsi="Times New Roman"/>
                <w:sz w:val="24"/>
              </w:rPr>
              <w:t xml:space="preserve"> </w:t>
            </w:r>
            <w:r>
              <w:rPr>
                <w:rFonts w:ascii="Calibri" w:hAnsi="Calibri"/>
                <w:sz w:val="24"/>
              </w:rPr>
              <w:t xml:space="preserve">I mål G/A. </w:t>
            </w:r>
            <w:proofErr w:type="gramStart"/>
            <w:r>
              <w:rPr>
                <w:rFonts w:ascii="Calibri" w:hAnsi="Calibri"/>
                <w:sz w:val="24"/>
              </w:rPr>
              <w:t>227.048</w:t>
            </w:r>
            <w:proofErr w:type="gramEnd"/>
            <w:r>
              <w:rPr>
                <w:rFonts w:ascii="Calibri" w:hAnsi="Calibri"/>
                <w:sz w:val="24"/>
              </w:rPr>
              <w:t xml:space="preserve"> ogiltigförklarades artiklarna 1.1, 3.2 och 3.3 i det kungliga dekretet av den 25 oktober 2018 genom beslut nr 246.998 av den 6 februari 2020, och i mål G/A. 227.051 ogiltigförklarades orden ”utom på deras egen webbplats” i artikel 5.1 och artikel 11 i samma kungliga dekret genom beslut nr 246.999 av den 6 februari 2020.</w:t>
            </w:r>
          </w:p>
        </w:tc>
      </w:tr>
      <w:tr w:rsidR="00914531" w:rsidRPr="00914531" w14:paraId="03BFD07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65A5D72"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w:t>
            </w:r>
          </w:p>
        </w:tc>
      </w:tr>
      <w:tr w:rsidR="00914531" w:rsidRPr="00914531" w14:paraId="32C08F5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0ACDDA9"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nl-BE"/>
              </w:rPr>
            </w:pPr>
          </w:p>
        </w:tc>
      </w:tr>
      <w:tr w:rsidR="00914531" w:rsidRPr="001333C1" w14:paraId="212C327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2047A24C"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 xml:space="preserve">19 JUNI 2022 – Utkast till kungligt dekret om förfaranden för den belgiska spelkommissionens sökningar i Centrale des </w:t>
            </w:r>
            <w:proofErr w:type="spellStart"/>
            <w:r>
              <w:rPr>
                <w:rFonts w:ascii="Calibri" w:hAnsi="Calibri"/>
                <w:b/>
                <w:sz w:val="24"/>
              </w:rPr>
              <w:t>crédits</w:t>
            </w:r>
            <w:proofErr w:type="spellEnd"/>
            <w:r>
              <w:rPr>
                <w:rFonts w:ascii="Calibri" w:hAnsi="Calibri"/>
                <w:b/>
                <w:sz w:val="24"/>
              </w:rPr>
              <w:t xml:space="preserve"> aux </w:t>
            </w:r>
            <w:proofErr w:type="spellStart"/>
            <w:r>
              <w:rPr>
                <w:rFonts w:ascii="Calibri" w:hAnsi="Calibri"/>
                <w:b/>
                <w:sz w:val="24"/>
              </w:rPr>
              <w:t>particuliers</w:t>
            </w:r>
            <w:proofErr w:type="spellEnd"/>
            <w:r>
              <w:rPr>
                <w:rFonts w:ascii="Calibri" w:hAnsi="Calibri"/>
                <w:b/>
                <w:sz w:val="24"/>
              </w:rPr>
              <w:t xml:space="preserve"> (det centrala registret över krediter till enskilda) och om ändring av bestämmelserna om begränsning av hasardspel online.</w:t>
            </w:r>
          </w:p>
          <w:p w14:paraId="7729FF18"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914531" w14:paraId="4D15B78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7996EC7" w14:textId="77777777" w:rsidR="00914531" w:rsidRPr="00914531" w:rsidRDefault="00914531" w:rsidP="00914531">
            <w:pPr>
              <w:widowControl w:val="0"/>
              <w:autoSpaceDE w:val="0"/>
              <w:autoSpaceDN w:val="0"/>
              <w:adjustRightInd w:val="0"/>
              <w:jc w:val="both"/>
              <w:rPr>
                <w:rFonts w:ascii="Calibri" w:eastAsia="Times New Roman" w:hAnsi="Calibri" w:cs="Calibri"/>
                <w:b/>
                <w:bCs/>
                <w:sz w:val="24"/>
                <w:szCs w:val="24"/>
              </w:rPr>
            </w:pPr>
            <w:r>
              <w:rPr>
                <w:rFonts w:ascii="Calibri" w:hAnsi="Calibri"/>
                <w:b/>
                <w:sz w:val="24"/>
              </w:rPr>
              <w:t>PHILIPPE, belgarnas konung,</w:t>
            </w:r>
          </w:p>
          <w:p w14:paraId="143B96D2"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1A04A7A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52F7E14" w14:textId="77777777" w:rsidR="00914531" w:rsidRPr="00914531" w:rsidRDefault="00914531" w:rsidP="00914531">
            <w:pPr>
              <w:widowControl w:val="0"/>
              <w:autoSpaceDE w:val="0"/>
              <w:autoSpaceDN w:val="0"/>
              <w:adjustRightInd w:val="0"/>
              <w:rPr>
                <w:rFonts w:ascii="Calibri" w:eastAsia="Times New Roman" w:hAnsi="Calibri" w:cs="Calibri"/>
                <w:sz w:val="24"/>
                <w:szCs w:val="24"/>
              </w:rPr>
            </w:pPr>
            <w:r>
              <w:rPr>
                <w:rFonts w:ascii="Calibri" w:hAnsi="Calibri"/>
                <w:b/>
                <w:sz w:val="24"/>
              </w:rPr>
              <w:t>Till alla närvarande och kommande, Hälsningar.</w:t>
            </w:r>
          </w:p>
        </w:tc>
      </w:tr>
      <w:tr w:rsidR="00914531" w:rsidRPr="001333C1" w14:paraId="53CE263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3FA051BD"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Med beaktande av artikel 43/8.2.2 som infördes genom lagen av den 10 januari 2010, och artikel 55/1 i lagen av den 7 maj 1999 om hasardspel, vadhållning, spelinrättningar och skydd för spelare, som infördes genom lagen av den 7 maj 2019;</w:t>
            </w:r>
          </w:p>
          <w:p w14:paraId="046C8F9D"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73D1137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269DF8C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Med beaktande av den kungliga förordningen av den 25 oktober 2018 om förfarandena för hasardspel och vadhållning med hjälp av informationssamhällets tjänster;</w:t>
            </w:r>
          </w:p>
          <w:p w14:paraId="155EE057"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4627DAC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36E590DB"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Med beaktande av yttrandena från spelkommissionen av den 20 januari 2021 och den 21 april 2021;</w:t>
            </w:r>
          </w:p>
          <w:p w14:paraId="1FF2F18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FR"/>
              </w:rPr>
            </w:pPr>
          </w:p>
        </w:tc>
      </w:tr>
      <w:tr w:rsidR="00914531" w:rsidRPr="001333C1" w14:paraId="3DAA8A4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0201A46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Med beaktande av finansinspektörens yttrande av den 27 april 2021 och den 5 juli 2021;</w:t>
            </w:r>
          </w:p>
          <w:p w14:paraId="140C79D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07CF195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528731C9"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Med beaktande av budgetministerns överenskommelse av den 11 maj 2021 och den 15 juli 2021;</w:t>
            </w:r>
          </w:p>
          <w:p w14:paraId="278DD91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66A6912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2F0CA083" w14:textId="77777777" w:rsidR="00914531" w:rsidRPr="00914531" w:rsidRDefault="00914531" w:rsidP="00914531">
            <w:pPr>
              <w:jc w:val="both"/>
              <w:rPr>
                <w:rFonts w:ascii="Calibri" w:eastAsia="Times New Roman" w:hAnsi="Calibri" w:cs="Calibri"/>
                <w:sz w:val="24"/>
                <w:szCs w:val="24"/>
              </w:rPr>
            </w:pPr>
            <w:r>
              <w:rPr>
                <w:rFonts w:ascii="Calibri" w:hAnsi="Calibri"/>
                <w:sz w:val="24"/>
              </w:rPr>
              <w:t>Med beaktande av förordningens konsekvensbedömning, som genomförts i enlighet med artiklarna 6 och 7 i lagen av den 15 december 2013, som innehåller olika bestämmelser om administrativ förenkling;</w:t>
            </w:r>
          </w:p>
          <w:p w14:paraId="12767D0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5D5CE5B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1F1ADCA2" w14:textId="77777777" w:rsidR="00914531" w:rsidRPr="00914531" w:rsidRDefault="00914531" w:rsidP="00914531">
            <w:pPr>
              <w:jc w:val="both"/>
              <w:rPr>
                <w:rFonts w:ascii="Calibri" w:eastAsia="Times New Roman" w:hAnsi="Calibri" w:cs="Calibri"/>
                <w:bCs/>
                <w:sz w:val="24"/>
                <w:szCs w:val="24"/>
              </w:rPr>
            </w:pPr>
            <w:r>
              <w:rPr>
                <w:rFonts w:ascii="Calibri" w:hAnsi="Calibri"/>
                <w:sz w:val="24"/>
              </w:rPr>
              <w:t>Med beaktande av dataskyddsmyndighetens yttrande nr 177/2021 av den 4 oktober 2021;</w:t>
            </w:r>
          </w:p>
          <w:p w14:paraId="648F026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FR"/>
              </w:rPr>
            </w:pPr>
          </w:p>
        </w:tc>
      </w:tr>
      <w:tr w:rsidR="00914531" w:rsidRPr="001333C1" w14:paraId="41C5A0A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FE485D3"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sz w:val="24"/>
              </w:rPr>
              <w:t>Med beaktande av meddelande 2021/0845/B till Europeiska kommissionen av den 9 december 2021, i enlighet med artikel 5.1 i Europaparlamentets och rådets direktiv (EU) 2015/1535 av den 9 september 2015 om ett informationsförfarande beträffande tekniska föreskrifter och beträffande föreskrifter för informationssamhällets tjänster;</w:t>
            </w:r>
          </w:p>
          <w:p w14:paraId="0CEED748"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44B34C7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5B0E2A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Med beaktande av statsrådets yttrande </w:t>
            </w:r>
            <w:proofErr w:type="gramStart"/>
            <w:r>
              <w:rPr>
                <w:rFonts w:ascii="Calibri" w:hAnsi="Calibri"/>
                <w:sz w:val="24"/>
              </w:rPr>
              <w:t>71.218</w:t>
            </w:r>
            <w:proofErr w:type="gramEnd"/>
            <w:r>
              <w:rPr>
                <w:rFonts w:ascii="Calibri" w:hAnsi="Calibri"/>
                <w:sz w:val="24"/>
              </w:rPr>
              <w:t xml:space="preserve">/4 av den 19 april 2022, i enlighet med artikel 84.1.1.2 i lagarna om statsrådet, konsoliderat den 12 januari 1973; </w:t>
            </w:r>
          </w:p>
          <w:p w14:paraId="7DF5405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003E11D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D891D84"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5F1947A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83F4A7B"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På förslag av ekonomiministern, finansministern, folkhälsoministern, justitieministern, </w:t>
            </w:r>
            <w:r>
              <w:rPr>
                <w:rFonts w:ascii="Calibri" w:hAnsi="Calibri"/>
                <w:sz w:val="24"/>
              </w:rPr>
              <w:lastRenderedPageBreak/>
              <w:t>inrikesministern och ministern för det nationella lotteriet samt enligt de ministrar som har överlagt dem i rådet,</w:t>
            </w:r>
          </w:p>
        </w:tc>
      </w:tr>
      <w:tr w:rsidR="00914531" w:rsidRPr="001333C1" w14:paraId="671B0A1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7DF646E" w14:textId="77777777" w:rsidR="00914531" w:rsidRPr="00914531" w:rsidRDefault="00914531" w:rsidP="00914531">
            <w:pPr>
              <w:widowControl w:val="0"/>
              <w:autoSpaceDE w:val="0"/>
              <w:autoSpaceDN w:val="0"/>
              <w:adjustRightInd w:val="0"/>
              <w:jc w:val="both"/>
              <w:rPr>
                <w:rFonts w:ascii="Calibri" w:eastAsia="Times New Roman" w:hAnsi="Calibri" w:cs="Calibri"/>
                <w:b/>
                <w:bCs/>
                <w:sz w:val="24"/>
                <w:szCs w:val="24"/>
              </w:rPr>
            </w:pPr>
            <w:r>
              <w:rPr>
                <w:rFonts w:ascii="Calibri" w:hAnsi="Calibri"/>
                <w:b/>
                <w:sz w:val="24"/>
              </w:rPr>
              <w:lastRenderedPageBreak/>
              <w:t>HÄRMED FÖRORDNAS:</w:t>
            </w:r>
          </w:p>
          <w:p w14:paraId="001CACBA"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FR"/>
              </w:rPr>
            </w:pPr>
          </w:p>
        </w:tc>
      </w:tr>
      <w:tr w:rsidR="00914531" w:rsidRPr="001333C1" w14:paraId="1CD520A0" w14:textId="77777777" w:rsidTr="00337224">
        <w:tc>
          <w:tcPr>
            <w:tcW w:w="4678" w:type="dxa"/>
            <w:tcBorders>
              <w:top w:val="nil"/>
              <w:left w:val="nil"/>
              <w:bottom w:val="nil"/>
              <w:right w:val="nil"/>
            </w:tcBorders>
          </w:tcPr>
          <w:p w14:paraId="135F5992"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Kapitel 1 – Förfaranden för samråd med spelkommissionen i det centrala registret över krediter till enskilda vid Belgiens centralbank</w:t>
            </w:r>
          </w:p>
          <w:p w14:paraId="4BFBFAE6"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lang w:val="fr-BE"/>
              </w:rPr>
            </w:pPr>
          </w:p>
        </w:tc>
      </w:tr>
      <w:tr w:rsidR="00914531" w:rsidRPr="001333C1" w14:paraId="457C9A3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7515026" w14:textId="77777777" w:rsidR="00914531" w:rsidRPr="00914531" w:rsidRDefault="00914531" w:rsidP="00914531">
            <w:pPr>
              <w:keepNext/>
              <w:jc w:val="both"/>
              <w:outlineLvl w:val="4"/>
              <w:rPr>
                <w:rFonts w:ascii="Calibri" w:eastAsia="Times New Roman" w:hAnsi="Calibri" w:cs="Calibri"/>
                <w:b/>
                <w:bCs/>
                <w:snapToGrid w:val="0"/>
                <w:sz w:val="24"/>
                <w:szCs w:val="24"/>
              </w:rPr>
            </w:pPr>
            <w:r>
              <w:rPr>
                <w:rFonts w:ascii="Calibri" w:hAnsi="Calibri"/>
                <w:b/>
                <w:snapToGrid w:val="0"/>
                <w:sz w:val="24"/>
              </w:rPr>
              <w:t>Artikel</w:t>
            </w:r>
            <w:r>
              <w:rPr>
                <w:rFonts w:ascii="Calibri" w:hAnsi="Calibri"/>
                <w:b/>
                <w:snapToGrid w:val="0"/>
                <w:sz w:val="24"/>
                <w:vertAlign w:val="superscript"/>
              </w:rPr>
              <w:t xml:space="preserve"> </w:t>
            </w:r>
            <w:r>
              <w:rPr>
                <w:rFonts w:ascii="Calibri" w:hAnsi="Calibri"/>
                <w:b/>
                <w:snapToGrid w:val="0"/>
                <w:sz w:val="24"/>
              </w:rPr>
              <w:t>1</w:t>
            </w:r>
            <w:r>
              <w:rPr>
                <w:rFonts w:ascii="Calibri" w:hAnsi="Calibri"/>
                <w:snapToGrid w:val="0"/>
                <w:sz w:val="24"/>
              </w:rPr>
              <w:t xml:space="preserve"> Spelkommissionens samråd med den belgiska centralbankens centrala register över krediter till enskilda motiveras av de syften som anges i artikel 6(1) i den kungliga förordningen av den 25 oktober 2018 om förfarandena för hasardspel och vadhållning med hjälp av informationssamhällets tjänster.</w:t>
            </w:r>
          </w:p>
        </w:tc>
      </w:tr>
      <w:tr w:rsidR="00914531" w:rsidRPr="001333C1" w14:paraId="0D74B68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8353D12"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0394418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18A39F8"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Artikel 2</w:t>
            </w:r>
            <w:r>
              <w:rPr>
                <w:rFonts w:ascii="Calibri" w:hAnsi="Calibri"/>
                <w:sz w:val="24"/>
              </w:rPr>
              <w:t xml:space="preserve"> Belgiens centralbank ska fastställa de tekniska förfarandena för spelkommissionens sökningar i Belgiens centralbanks centrala register över krediter till enskilda.</w:t>
            </w:r>
          </w:p>
          <w:p w14:paraId="3EDEC765"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0D33D10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9A3086C"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Artikel 3.</w:t>
            </w:r>
            <w:r>
              <w:rPr>
                <w:rFonts w:ascii="Calibri" w:hAnsi="Calibri"/>
                <w:sz w:val="24"/>
                <w:vertAlign w:val="superscript"/>
              </w:rPr>
              <w:t>1</w:t>
            </w:r>
            <w:r>
              <w:rPr>
                <w:rFonts w:ascii="Calibri" w:hAnsi="Calibri"/>
                <w:sz w:val="24"/>
              </w:rPr>
              <w:t xml:space="preserve"> Identifieringsuppgifter om spelare som begär en höjning av spelgränsen i enlighet med artikel 6.1.1 b i det kungliga dekretet av den 25 oktober 2018 om förfaranden för hasardspel och vadhållning med hjälp av informationssamhällets tjänster ska delas med Belgiens centralbank för att kontrollera om spelaren har en utestående betalning i den mening som avses i artikel VII.148 i lagen om ekonomisk rätt i filen i det centrala registret över krediter till enskilda.</w:t>
            </w:r>
          </w:p>
          <w:p w14:paraId="2E870767"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1298782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7E71F3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De identifieringsuppgifter som avses i första stycket ska omfatta följande:</w:t>
            </w:r>
          </w:p>
          <w:p w14:paraId="18A52566"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44261C2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E46F9B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1. spelarens nationella registreringsnummer, om det är känt för licenstagaren; </w:t>
            </w:r>
          </w:p>
          <w:p w14:paraId="03E6B122"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1658C28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511C90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2. om spelarens nationella registreringsnummer inte är känt för licenstagaren, spelarens efternamn, förnamn och födelsedatum.</w:t>
            </w:r>
          </w:p>
        </w:tc>
      </w:tr>
      <w:tr w:rsidR="00914531" w:rsidRPr="001333C1" w14:paraId="1F90E40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62B20A9"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456CBBB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4882128"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rPr>
            </w:pPr>
            <w:r>
              <w:rPr>
                <w:rFonts w:ascii="Calibri" w:hAnsi="Calibri"/>
                <w:sz w:val="24"/>
              </w:rPr>
              <w:t>Inga uppgifter om registrerade lån ska lämnas.</w:t>
            </w:r>
          </w:p>
        </w:tc>
      </w:tr>
      <w:tr w:rsidR="00914531" w:rsidRPr="001333C1" w14:paraId="2159793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76B5B69"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§2. Spelarens</w:t>
            </w:r>
            <w:r>
              <w:rPr>
                <w:rFonts w:ascii="Times New Roman" w:hAnsi="Times New Roman"/>
                <w:sz w:val="24"/>
              </w:rPr>
              <w:t xml:space="preserve"> </w:t>
            </w:r>
            <w:r>
              <w:rPr>
                <w:rFonts w:ascii="Calibri" w:hAnsi="Calibri"/>
                <w:sz w:val="24"/>
              </w:rPr>
              <w:t>nationella registreringsnummer ska endast användas för att avgöra om spelaren har en utestående betalning i filen i det centrala registret över krediter till enskilda.</w:t>
            </w:r>
          </w:p>
          <w:p w14:paraId="6C9EC0DB"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730613C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08AE20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Till följd av de syften som avses i artikel 6(1) i kunglig förordning av den 25 oktober 2018 om förfaranden för hasardspel och vadhållning med hjälp av informationssamhällets tjänster, har spelkommissionen rätt att använda det nationella registreringsnumret som sökkriterier i Belgiens nationella centralbank för krediter till enskilda.</w:t>
            </w:r>
          </w:p>
          <w:p w14:paraId="6B0D29B6"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2CC4C17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B322EAF"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sz w:val="24"/>
              </w:rPr>
              <w:t>När en begäran skickas till spelkommissionen om att höja spelgränsen, ska licenstagare av klass A+, B+ eller F1+ samla spelarens nationella registreringsnummer och meddela detta till spelkommissionen.</w:t>
            </w:r>
          </w:p>
          <w:p w14:paraId="5F35C49E"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29518C9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33E7A1A"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Artikel 4</w:t>
            </w:r>
            <w:r>
              <w:rPr>
                <w:rFonts w:ascii="Calibri" w:hAnsi="Calibri"/>
                <w:sz w:val="24"/>
              </w:rPr>
              <w:t xml:space="preserve"> Spelkommissionen ska bevara det nationella registreringsnummer eller de identifieringsuppgifter för spelare som avses i artikel 3 under den period som krävs för dess månatliga kontrolluppgift om tillståndet att höja spelgränsen ska kvarstå.</w:t>
            </w:r>
          </w:p>
          <w:p w14:paraId="5EDEEDB1"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029BC9B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88C8A20"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rPr>
            </w:pPr>
            <w:r>
              <w:rPr>
                <w:rFonts w:ascii="Calibri" w:hAnsi="Calibri"/>
                <w:sz w:val="24"/>
              </w:rPr>
              <w:t xml:space="preserve">Spelkommissionen ska radera de identifieringsuppgifter som avses i artikel 3 om spelgränsen för </w:t>
            </w:r>
            <w:proofErr w:type="spellStart"/>
            <w:r>
              <w:rPr>
                <w:rFonts w:ascii="Calibri" w:hAnsi="Calibri"/>
                <w:sz w:val="24"/>
              </w:rPr>
              <w:t>onlinespelarkontot</w:t>
            </w:r>
            <w:proofErr w:type="spellEnd"/>
            <w:r>
              <w:rPr>
                <w:rFonts w:ascii="Calibri" w:hAnsi="Calibri"/>
                <w:sz w:val="24"/>
              </w:rPr>
              <w:t xml:space="preserve"> sänks till 200 euro eller mindre, eller om </w:t>
            </w:r>
            <w:proofErr w:type="spellStart"/>
            <w:r>
              <w:rPr>
                <w:rFonts w:ascii="Calibri" w:hAnsi="Calibri"/>
                <w:sz w:val="24"/>
              </w:rPr>
              <w:t>onlinespelarkontot</w:t>
            </w:r>
            <w:proofErr w:type="spellEnd"/>
            <w:r>
              <w:rPr>
                <w:rFonts w:ascii="Calibri" w:hAnsi="Calibri"/>
                <w:sz w:val="24"/>
              </w:rPr>
              <w:t xml:space="preserve"> raderas.</w:t>
            </w:r>
          </w:p>
        </w:tc>
      </w:tr>
      <w:tr w:rsidR="00914531" w:rsidRPr="001333C1" w14:paraId="7513960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D962E06"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lastRenderedPageBreak/>
              <w:t>Artikel 5.1</w:t>
            </w:r>
            <w:r>
              <w:rPr>
                <w:rFonts w:ascii="Calibri" w:hAnsi="Calibri"/>
                <w:sz w:val="24"/>
              </w:rPr>
              <w:t xml:space="preserve"> Spelkommissionen ska skapa loggfiler över samråd med Belgiens centralbanks centrala register över krediter till enskilda.</w:t>
            </w:r>
          </w:p>
          <w:p w14:paraId="75706D07"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43292F8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B6EBD4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Dessa loggfiler ska användas för att fastställa:</w:t>
            </w:r>
          </w:p>
          <w:p w14:paraId="3260B5BF"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39A5E1B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E10873D"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1. datum och klockslag för samrådet;</w:t>
            </w:r>
          </w:p>
          <w:p w14:paraId="7B20F00B"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5FF9EBB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BD1E05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2. identifiering av den enskilda användaren eller, om detta inte är möjligt, den process eller det system som fick åtkomst till uppgifterna;</w:t>
            </w:r>
          </w:p>
          <w:p w14:paraId="2D98F4F3"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914531" w14:paraId="4A6F3DE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1D4925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3. typ av begäran; </w:t>
            </w:r>
          </w:p>
          <w:p w14:paraId="22FFCD2F"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nl-BE"/>
              </w:rPr>
            </w:pPr>
          </w:p>
        </w:tc>
      </w:tr>
      <w:tr w:rsidR="00914531" w:rsidRPr="001333C1" w14:paraId="2B4D1A9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8A742E7"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4. syftet med samrådet.</w:t>
            </w:r>
          </w:p>
          <w:p w14:paraId="33BE6C4A"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63F6D22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801E62D"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§2. Belgiens centralbank ska skapa loggfiler för att fastställa:</w:t>
            </w:r>
          </w:p>
          <w:p w14:paraId="0BE82597"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693210E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EE8A97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1. identifiering av den användare som har fått åtkomst till eller mottagit kommunikation av uppgifterna; </w:t>
            </w:r>
          </w:p>
          <w:p w14:paraId="0EB8F8EB"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6746B7F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0C07831"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2. typ av begäran; </w:t>
            </w:r>
          </w:p>
          <w:p w14:paraId="32CFC1B3"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5DFFBC7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F0C1A3B"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3. datum och klockslag för samrådet eller meddelandet.</w:t>
            </w:r>
          </w:p>
          <w:p w14:paraId="2E571650"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25B7BA0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6EE5DC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§3. Lämpliga åtgärder ska antas av spelkommissionen och Belgiens centralbank för att garantera loggfilernas säkerhet och, i synnerhet, förhindra obehörig behandling och säkerställa integriteten hos de uppgifter som behandlas.</w:t>
            </w:r>
          </w:p>
          <w:p w14:paraId="718F68E3"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06EDA43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467CE2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Loggfilerna ska bevaras i fem år från och med dagen för samrådet.</w:t>
            </w:r>
          </w:p>
          <w:p w14:paraId="6D5C3F19"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11CBFE3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5C258E7"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Spelkommissionens loggfiler ska bevaras och göras tillgängliga för dataskyddsmyndigheten på första begäran.</w:t>
            </w:r>
          </w:p>
          <w:p w14:paraId="6BD97E37"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1F98623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9E35B2A"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Artikel 6</w:t>
            </w:r>
            <w:r>
              <w:rPr>
                <w:rFonts w:ascii="Calibri" w:hAnsi="Calibri"/>
                <w:sz w:val="24"/>
              </w:rPr>
              <w:t xml:space="preserve"> De personer som utsetts av spelkommissionen, vars roll kräver tillgång till den belgiska centralbankens centrala register över krediter till enskilda, får endast ha tillgång till information om att en spelare är betalningsförsummelse i den mening som avses i artikel VII.148 i ekonomilagen och först efter autentisering med hjälp av ett elektroniskt identitetskort, antingen i samband med tillämpningen av spelkommissionen eller med avseende på tillämpningen av Belgiens centralbank.</w:t>
            </w:r>
          </w:p>
          <w:p w14:paraId="022D5166"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21ED4FA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3FBA4C1"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Spelkommissionen ska på första begäran förse Belgiens centralbank eller dataskyddsmyndigheten med identiteten på den anställde som har tagit del av eller fått kännedom om de personuppgifter som avses i det första stycket.</w:t>
            </w:r>
          </w:p>
          <w:p w14:paraId="57EC5E5F"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200C8DA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816B901"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b/>
                <w:sz w:val="24"/>
              </w:rPr>
              <w:t>Artikel 7</w:t>
            </w:r>
            <w:r>
              <w:rPr>
                <w:rFonts w:ascii="Calibri" w:hAnsi="Calibri"/>
                <w:sz w:val="24"/>
              </w:rPr>
              <w:t xml:space="preserve"> Spelkommissionen ska under den tid som krävs för att utföra de uppgifter som avses i artikel 6.1 i kungligt dekret av den 25 oktober 2018 om förfaranden för hasardspel och vadhållning med hjälp av informationssamhällets tjänster bevara de personuppgifter som tagits del av i Belgiens centralbanks centrala register över krediter till enskilda.</w:t>
            </w:r>
          </w:p>
          <w:p w14:paraId="0AC41955"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5AB2B4E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CA3D761"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lastRenderedPageBreak/>
              <w:t>Artikel 8</w:t>
            </w:r>
            <w:r>
              <w:rPr>
                <w:rFonts w:ascii="Calibri" w:hAnsi="Calibri"/>
                <w:sz w:val="24"/>
              </w:rPr>
              <w:t xml:space="preserve"> Kostnaderna för att ta del av den belgiska centralbankens centrala register över krediter till enskilda ska i sin helhet bäras med hjälp av medel från spelkommissionen, såsom avses i artikel 19.2 i lagen av den 7 maj 1999 om hasardspel, vadhållning, spelinrättningar och skydd för spelare.</w:t>
            </w:r>
          </w:p>
          <w:p w14:paraId="548A5A30"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23AC4F4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4D22CF4"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br w:type="page"/>
            </w:r>
            <w:r>
              <w:br w:type="page"/>
            </w:r>
            <w:r>
              <w:rPr>
                <w:rFonts w:ascii="Calibri" w:hAnsi="Calibri"/>
                <w:b/>
                <w:sz w:val="24"/>
              </w:rPr>
              <w:t>Kapitel II – Ändringar av kunglig förordning av den 25 oktober 2018 om förfaranden för hasardspel och vadhållning med hjälp av informationssamhällets tjänster</w:t>
            </w:r>
          </w:p>
          <w:p w14:paraId="5E1340DD"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51E022E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246A2D56"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Artikel 9</w:t>
            </w:r>
            <w:r>
              <w:rPr>
                <w:rFonts w:ascii="Calibri" w:hAnsi="Calibri"/>
                <w:sz w:val="24"/>
              </w:rPr>
              <w:t xml:space="preserve"> I artikel 6.1.1 a</w:t>
            </w:r>
            <w:r>
              <w:rPr>
                <w:rFonts w:ascii="Calibri" w:hAnsi="Calibri"/>
                <w:sz w:val="24"/>
                <w:vertAlign w:val="superscript"/>
              </w:rPr>
              <w:t xml:space="preserve"> </w:t>
            </w:r>
            <w:r>
              <w:rPr>
                <w:rFonts w:ascii="Calibri" w:hAnsi="Calibri"/>
                <w:sz w:val="24"/>
              </w:rPr>
              <w:t>i det kungliga dekretet av den 25 oktober 2018 om förfaranden för hasardspel och vadhållning med hjälp av informationssamhällets tjänster ska numret ”500” ersättas med ”200” och orden ”för alla hasardspel och all vadhållning som de deltar i” ska upphöra att gälla.</w:t>
            </w:r>
          </w:p>
          <w:p w14:paraId="185A0E37"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4DEA731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EA6F5D8" w14:textId="77777777" w:rsidR="00914531" w:rsidRPr="00914531" w:rsidRDefault="00914531" w:rsidP="00914531">
            <w:pPr>
              <w:widowControl w:val="0"/>
              <w:autoSpaceDE w:val="0"/>
              <w:autoSpaceDN w:val="0"/>
              <w:adjustRightInd w:val="0"/>
              <w:jc w:val="both"/>
              <w:rPr>
                <w:rFonts w:ascii="Calibri" w:eastAsia="Times New Roman" w:hAnsi="Calibri" w:cs="Times New Roman"/>
                <w:b/>
                <w:sz w:val="24"/>
                <w:szCs w:val="24"/>
              </w:rPr>
            </w:pPr>
            <w:r>
              <w:rPr>
                <w:rFonts w:ascii="Calibri" w:hAnsi="Calibri"/>
                <w:b/>
                <w:sz w:val="24"/>
              </w:rPr>
              <w:t>Kapitel III – Ikraftträdande och övergångsbestämmelse</w:t>
            </w:r>
          </w:p>
          <w:p w14:paraId="06322CB9"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44368B3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64E6145" w14:textId="77777777" w:rsidR="00914531" w:rsidRPr="00914531" w:rsidRDefault="00914531" w:rsidP="00914531">
            <w:pPr>
              <w:keepNext/>
              <w:jc w:val="both"/>
              <w:outlineLvl w:val="4"/>
              <w:rPr>
                <w:rFonts w:ascii="Calibri" w:eastAsia="Times New Roman" w:hAnsi="Calibri" w:cs="Calibri"/>
                <w:b/>
                <w:bCs/>
                <w:snapToGrid w:val="0"/>
                <w:sz w:val="24"/>
                <w:szCs w:val="24"/>
                <w:u w:val="single"/>
              </w:rPr>
            </w:pPr>
            <w:r>
              <w:rPr>
                <w:rFonts w:ascii="Calibri" w:hAnsi="Calibri"/>
                <w:b/>
                <w:snapToGrid w:val="0"/>
                <w:sz w:val="24"/>
              </w:rPr>
              <w:t>Artikel 10</w:t>
            </w:r>
            <w:r>
              <w:rPr>
                <w:rFonts w:ascii="Calibri" w:hAnsi="Calibri"/>
                <w:snapToGrid w:val="0"/>
                <w:sz w:val="24"/>
              </w:rPr>
              <w:t xml:space="preserve"> Detta dekret träder i kraft tre månader efter det att det har offentliggjorts i Belgiens officiella tidning.</w:t>
            </w:r>
          </w:p>
          <w:p w14:paraId="77F67013"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563B30D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B871EE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b/>
                <w:sz w:val="24"/>
              </w:rPr>
              <w:t>Artikel 11</w:t>
            </w:r>
            <w:r>
              <w:rPr>
                <w:rFonts w:ascii="Calibri" w:hAnsi="Calibri"/>
                <w:sz w:val="24"/>
              </w:rPr>
              <w:t xml:space="preserve"> Vid ikraftträdandet av detta dekret ska spelgränsen för alla spelarkonton fastställas till spelgränsen på 200 euro i enlighet med artikel 9 i detta dekret.</w:t>
            </w:r>
          </w:p>
          <w:p w14:paraId="09BA96E3"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914531" w14:paraId="6A3FB38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7CDB905"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rPr>
            </w:pPr>
            <w:r>
              <w:rPr>
                <w:rFonts w:ascii="Calibri" w:hAnsi="Calibri"/>
                <w:b/>
                <w:sz w:val="24"/>
              </w:rPr>
              <w:t>KAPITEL IV – Slutbestämmelser</w:t>
            </w:r>
          </w:p>
        </w:tc>
      </w:tr>
      <w:tr w:rsidR="00914531" w:rsidRPr="001333C1" w14:paraId="65461A5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8D74385"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rPr>
            </w:pPr>
            <w:r>
              <w:rPr>
                <w:rFonts w:ascii="Calibri" w:hAnsi="Calibri"/>
                <w:b/>
                <w:sz w:val="24"/>
              </w:rPr>
              <w:t>Artikel 12</w:t>
            </w:r>
            <w:r>
              <w:rPr>
                <w:rFonts w:ascii="Calibri" w:hAnsi="Calibri"/>
                <w:sz w:val="24"/>
              </w:rPr>
              <w:t xml:space="preserve"> Ekonomiministern, finansministern, folkhälsoministern, justitieministern, inrikesministern och ministern för det nationella lotteriet ansvarar för genomförandet av detta dekret.</w:t>
            </w:r>
          </w:p>
        </w:tc>
      </w:tr>
      <w:tr w:rsidR="00914531" w:rsidRPr="001333C1" w14:paraId="1421124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4D6E1B7B"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59C7730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53C70A67" w14:textId="77777777" w:rsidR="00914531" w:rsidRPr="00914531" w:rsidRDefault="00914531" w:rsidP="00914531">
            <w:pPr>
              <w:widowControl w:val="0"/>
              <w:autoSpaceDE w:val="0"/>
              <w:autoSpaceDN w:val="0"/>
              <w:adjustRightInd w:val="0"/>
              <w:rPr>
                <w:rFonts w:ascii="Calibri" w:eastAsia="Times New Roman" w:hAnsi="Calibri" w:cs="Calibri"/>
                <w:bCs/>
                <w:sz w:val="24"/>
                <w:szCs w:val="24"/>
              </w:rPr>
            </w:pPr>
            <w:r>
              <w:rPr>
                <w:rFonts w:ascii="Calibri" w:hAnsi="Calibri"/>
                <w:sz w:val="24"/>
              </w:rPr>
              <w:t>Utfärdat i Bryssel den 19 juni 2022</w:t>
            </w:r>
          </w:p>
          <w:p w14:paraId="15E6FEB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69A02CC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53948944"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PHILIPPE</w:t>
            </w:r>
          </w:p>
          <w:p w14:paraId="0462D89D"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Å konungens vägnar:</w:t>
            </w:r>
          </w:p>
          <w:p w14:paraId="5F1CA985" w14:textId="77777777" w:rsidR="00914531" w:rsidRPr="00914531" w:rsidRDefault="00914531" w:rsidP="00914531">
            <w:pPr>
              <w:widowControl w:val="0"/>
              <w:autoSpaceDE w:val="0"/>
              <w:autoSpaceDN w:val="0"/>
              <w:adjustRightInd w:val="0"/>
              <w:jc w:val="both"/>
              <w:rPr>
                <w:rFonts w:ascii="Calibri" w:eastAsia="Times New Roman" w:hAnsi="Calibri" w:cs="Calibri"/>
                <w:b/>
                <w:bCs/>
                <w:sz w:val="24"/>
                <w:szCs w:val="24"/>
                <w:lang w:val="fr-BE"/>
              </w:rPr>
            </w:pPr>
          </w:p>
        </w:tc>
      </w:tr>
      <w:tr w:rsidR="00914531" w:rsidRPr="001333C1" w14:paraId="110FCC5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40E2C9DA"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Ekonomiministern,</w:t>
            </w:r>
          </w:p>
          <w:p w14:paraId="576677D3" w14:textId="77777777" w:rsidR="00914531" w:rsidRPr="00914531" w:rsidRDefault="00914531" w:rsidP="00914531">
            <w:pPr>
              <w:widowControl w:val="0"/>
              <w:autoSpaceDE w:val="0"/>
              <w:autoSpaceDN w:val="0"/>
              <w:adjustRightInd w:val="0"/>
              <w:jc w:val="center"/>
              <w:rPr>
                <w:rFonts w:ascii="Calibri" w:eastAsia="Times New Roman" w:hAnsi="Calibri" w:cs="Calibri"/>
                <w:b/>
                <w:bCs/>
                <w:sz w:val="24"/>
                <w:szCs w:val="24"/>
              </w:rPr>
            </w:pPr>
            <w:r>
              <w:rPr>
                <w:rFonts w:ascii="Calibri" w:hAnsi="Calibri"/>
                <w:sz w:val="24"/>
              </w:rPr>
              <w:t>P-Y DERMAGNE</w:t>
            </w:r>
          </w:p>
        </w:tc>
      </w:tr>
      <w:tr w:rsidR="00914531" w:rsidRPr="001333C1" w14:paraId="0F88306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6200F83"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Finansministern,</w:t>
            </w:r>
          </w:p>
          <w:p w14:paraId="36FFD481" w14:textId="77777777" w:rsidR="00914531" w:rsidRPr="00914531" w:rsidRDefault="00914531" w:rsidP="00914531">
            <w:pPr>
              <w:widowControl w:val="0"/>
              <w:autoSpaceDE w:val="0"/>
              <w:autoSpaceDN w:val="0"/>
              <w:adjustRightInd w:val="0"/>
              <w:jc w:val="center"/>
              <w:rPr>
                <w:rFonts w:ascii="Calibri" w:eastAsia="Times New Roman" w:hAnsi="Calibri" w:cs="Calibri"/>
                <w:b/>
                <w:bCs/>
                <w:sz w:val="24"/>
                <w:szCs w:val="24"/>
              </w:rPr>
            </w:pPr>
            <w:r>
              <w:rPr>
                <w:rFonts w:ascii="Calibri" w:hAnsi="Calibri"/>
                <w:sz w:val="24"/>
              </w:rPr>
              <w:t>V. VAN PETEGHEM</w:t>
            </w:r>
          </w:p>
        </w:tc>
      </w:tr>
      <w:tr w:rsidR="00914531" w:rsidRPr="00914531" w14:paraId="5F9122F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6B4D912"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Folkhälsoministern,</w:t>
            </w:r>
          </w:p>
          <w:p w14:paraId="12F86D98" w14:textId="77777777" w:rsidR="00914531" w:rsidRPr="00914531" w:rsidRDefault="00914531" w:rsidP="00914531">
            <w:pPr>
              <w:widowControl w:val="0"/>
              <w:autoSpaceDE w:val="0"/>
              <w:autoSpaceDN w:val="0"/>
              <w:adjustRightInd w:val="0"/>
              <w:jc w:val="center"/>
              <w:rPr>
                <w:rFonts w:ascii="Calibri" w:eastAsia="Times New Roman" w:hAnsi="Calibri" w:cs="Calibri"/>
                <w:b/>
                <w:bCs/>
                <w:sz w:val="24"/>
                <w:szCs w:val="24"/>
              </w:rPr>
            </w:pPr>
            <w:r>
              <w:rPr>
                <w:rFonts w:ascii="Calibri" w:hAnsi="Calibri"/>
                <w:sz w:val="24"/>
              </w:rPr>
              <w:t>F. VANDENBROUCKE</w:t>
            </w:r>
          </w:p>
        </w:tc>
      </w:tr>
      <w:tr w:rsidR="00914531" w:rsidRPr="00914531" w14:paraId="3FEB977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5DF7CAF4"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Justitieministern,</w:t>
            </w:r>
          </w:p>
          <w:p w14:paraId="0631CF55" w14:textId="77777777" w:rsidR="00914531" w:rsidRPr="00914531" w:rsidRDefault="00914531" w:rsidP="00914531">
            <w:pPr>
              <w:widowControl w:val="0"/>
              <w:autoSpaceDE w:val="0"/>
              <w:autoSpaceDN w:val="0"/>
              <w:adjustRightInd w:val="0"/>
              <w:jc w:val="center"/>
              <w:rPr>
                <w:rFonts w:ascii="Calibri" w:eastAsia="Times New Roman" w:hAnsi="Calibri" w:cs="Calibri"/>
                <w:b/>
                <w:bCs/>
                <w:sz w:val="24"/>
                <w:szCs w:val="24"/>
              </w:rPr>
            </w:pPr>
            <w:r>
              <w:rPr>
                <w:rFonts w:ascii="Calibri" w:hAnsi="Calibri"/>
                <w:sz w:val="24"/>
              </w:rPr>
              <w:t>V. VAN QUICKENBORNE</w:t>
            </w:r>
          </w:p>
        </w:tc>
      </w:tr>
      <w:tr w:rsidR="00914531" w:rsidRPr="001333C1" w14:paraId="2168855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4C1DA04B"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Inrikesministern,</w:t>
            </w:r>
          </w:p>
          <w:p w14:paraId="279B39B6"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A. VERLINDEN</w:t>
            </w:r>
          </w:p>
          <w:p w14:paraId="0901B424" w14:textId="77777777" w:rsidR="00914531" w:rsidRPr="00914531" w:rsidRDefault="00914531" w:rsidP="00914531">
            <w:pPr>
              <w:widowControl w:val="0"/>
              <w:autoSpaceDE w:val="0"/>
              <w:autoSpaceDN w:val="0"/>
              <w:adjustRightInd w:val="0"/>
              <w:jc w:val="center"/>
              <w:rPr>
                <w:rFonts w:ascii="Calibri" w:eastAsia="Times New Roman" w:hAnsi="Calibri" w:cs="Calibri"/>
                <w:b/>
                <w:bCs/>
                <w:sz w:val="24"/>
                <w:szCs w:val="24"/>
                <w:lang w:val="fr-BE"/>
              </w:rPr>
            </w:pPr>
          </w:p>
        </w:tc>
      </w:tr>
      <w:tr w:rsidR="00914531" w:rsidRPr="00914531" w14:paraId="7171421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41CF7620"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Ministern för det nationella lotteriet,</w:t>
            </w:r>
          </w:p>
          <w:p w14:paraId="4EF39393" w14:textId="77777777" w:rsidR="00914531" w:rsidRPr="00914531" w:rsidRDefault="00914531" w:rsidP="00914531">
            <w:pPr>
              <w:widowControl w:val="0"/>
              <w:autoSpaceDE w:val="0"/>
              <w:autoSpaceDN w:val="0"/>
              <w:adjustRightInd w:val="0"/>
              <w:jc w:val="center"/>
              <w:rPr>
                <w:rFonts w:ascii="Calibri" w:eastAsia="Times New Roman" w:hAnsi="Calibri" w:cs="Calibri"/>
                <w:b/>
                <w:bCs/>
                <w:sz w:val="24"/>
                <w:szCs w:val="24"/>
              </w:rPr>
            </w:pPr>
            <w:r>
              <w:rPr>
                <w:rFonts w:ascii="Calibri" w:hAnsi="Calibri"/>
                <w:sz w:val="24"/>
              </w:rPr>
              <w:t>S. MAHDI</w:t>
            </w:r>
          </w:p>
        </w:tc>
      </w:tr>
      <w:tr w:rsidR="00914531" w:rsidRPr="00914531" w14:paraId="53D0208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1018ECD" w14:textId="77777777" w:rsidR="00914531" w:rsidRPr="00914531" w:rsidRDefault="00914531" w:rsidP="00914531">
            <w:pPr>
              <w:widowControl w:val="0"/>
              <w:autoSpaceDE w:val="0"/>
              <w:autoSpaceDN w:val="0"/>
              <w:adjustRightInd w:val="0"/>
              <w:jc w:val="both"/>
              <w:rPr>
                <w:rFonts w:ascii="Calibri" w:eastAsia="Times New Roman" w:hAnsi="Calibri" w:cs="Calibri"/>
                <w:b/>
                <w:bCs/>
                <w:sz w:val="24"/>
                <w:szCs w:val="24"/>
                <w:lang w:val="fr-BE"/>
              </w:rPr>
            </w:pPr>
          </w:p>
        </w:tc>
      </w:tr>
    </w:tbl>
    <w:p w14:paraId="727C642E" w14:textId="77777777" w:rsidR="0035716E" w:rsidRPr="00914531" w:rsidRDefault="0035716E" w:rsidP="00914531">
      <w:pPr>
        <w:rPr>
          <w:lang w:val="fr-BE"/>
        </w:rPr>
      </w:pPr>
    </w:p>
    <w:sectPr w:rsidR="0035716E" w:rsidRPr="009145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531"/>
    <w:rsid w:val="001333C1"/>
    <w:rsid w:val="0035716E"/>
    <w:rsid w:val="00376DEF"/>
    <w:rsid w:val="00914531"/>
    <w:rsid w:val="0098737B"/>
    <w:rsid w:val="00CF39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BF027"/>
  <w15:chartTrackingRefBased/>
  <w15:docId w15:val="{EFFD9389-B05A-4F11-B738-E1760C23F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45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98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6011</Words>
  <Characters>34690</Characters>
  <Application>Microsoft Office Word</Application>
  <DocSecurity>0</DocSecurity>
  <Lines>707</Lines>
  <Paragraphs>269</Paragraphs>
  <ScaleCrop>false</ScaleCrop>
  <Company>FOD Justitie / SPF Justice</Company>
  <LinksUpToDate>false</LinksUpToDate>
  <CharactersWithSpaces>40432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FAILLA Jessica</dc:creator>
  <cp:keywords>class='Internal'</cp:keywords>
  <dc:description/>
  <cp:lastModifiedBy>Ines Varvodic</cp:lastModifiedBy>
  <cp:revision>2</cp:revision>
  <dcterms:created xsi:type="dcterms:W3CDTF">2022-11-03T13:35:00Z</dcterms:created>
  <dcterms:modified xsi:type="dcterms:W3CDTF">2022-11-03T13:35:00Z</dcterms:modified>
</cp:coreProperties>
</file>