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Σχέδιο νόμου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«Τροποποιήσεις του νόμου για την προστασία των ζώων»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Κανονισμός αριθ.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Ο νόμος για την προστασία των ζώων [</w:t>
      </w:r>
      <w:r>
        <w:rPr>
          <w:sz w:val="24"/>
          <w:i/>
        </w:rPr>
        <w:t xml:space="preserve">Latvijas Republikas Saeimas un Ministru Kabineta Ziрotājs</w:t>
      </w:r>
      <w:r>
        <w:rPr>
          <w:sz w:val="24"/>
        </w:rPr>
        <w:t xml:space="preserve"> (Εισηγητής του Κοινοβουλίου και του Υπουργικού Συμβουλίου της Δημοκρατίας της Λετονίας) 2000 αριθ. 2·</w:t>
      </w:r>
      <w:r>
        <w:rPr>
          <w:sz w:val="24"/>
        </w:rPr>
        <w:t xml:space="preserve"> </w:t>
      </w:r>
      <w:r>
        <w:rPr>
          <w:sz w:val="24"/>
        </w:rPr>
        <w:t xml:space="preserve">2002</w:t>
      </w:r>
      <w:r>
        <w:rPr>
          <w:sz w:val="24"/>
        </w:rPr>
        <w:t xml:space="preserve"> </w:t>
      </w:r>
      <w:r>
        <w:rPr>
          <w:sz w:val="24"/>
        </w:rPr>
        <w:t xml:space="preserve">αριθ. 2·</w:t>
      </w:r>
      <w:r>
        <w:rPr>
          <w:sz w:val="24"/>
        </w:rPr>
        <w:t xml:space="preserve"> </w:t>
      </w:r>
      <w:r>
        <w:rPr>
          <w:sz w:val="24"/>
        </w:rPr>
        <w:t xml:space="preserve">2003</w:t>
      </w:r>
      <w:r>
        <w:rPr>
          <w:sz w:val="24"/>
        </w:rPr>
        <w:t xml:space="preserve"> </w:t>
      </w:r>
      <w:r>
        <w:rPr>
          <w:sz w:val="24"/>
        </w:rPr>
        <w:t xml:space="preserve">αριθ. 6, 16· 2005 αριθ. 10· 2007 αριθ. 3·</w:t>
      </w:r>
      <w:r>
        <w:rPr>
          <w:sz w:val="24"/>
        </w:rPr>
        <w:t xml:space="preserve"> </w:t>
      </w:r>
      <w:r>
        <w:rPr>
          <w:sz w:val="24"/>
        </w:rPr>
        <w:t xml:space="preserve">2008</w:t>
      </w:r>
      <w:r>
        <w:rPr>
          <w:sz w:val="24"/>
        </w:rPr>
        <w:t xml:space="preserve"> </w:t>
      </w:r>
      <w:r>
        <w:rPr>
          <w:sz w:val="24"/>
        </w:rPr>
        <w:t xml:space="preserve">αριθ. 3·</w:t>
      </w:r>
      <w:r>
        <w:rPr>
          <w:sz w:val="24"/>
        </w:rPr>
        <w:t xml:space="preserve"> </w:t>
      </w:r>
      <w:r>
        <w:rPr>
          <w:sz w:val="24"/>
        </w:rPr>
        <w:t xml:space="preserve">2009</w:t>
      </w:r>
      <w:r>
        <w:rPr>
          <w:sz w:val="24"/>
        </w:rPr>
        <w:t xml:space="preserve"> </w:t>
      </w:r>
      <w:r>
        <w:rPr>
          <w:sz w:val="24"/>
        </w:rPr>
        <w:t xml:space="preserve">αριθ. 21·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(Επίσημη Εφημερίδα) 2010 αριθ. 62, 205·</w:t>
      </w:r>
      <w:r>
        <w:rPr>
          <w:sz w:val="24"/>
        </w:rPr>
        <w:t xml:space="preserve"> </w:t>
      </w:r>
      <w:r>
        <w:rPr>
          <w:sz w:val="24"/>
        </w:rPr>
        <w:t xml:space="preserve">2012</w:t>
      </w:r>
      <w:r>
        <w:rPr>
          <w:sz w:val="24"/>
        </w:rPr>
        <w:t xml:space="preserve"> </w:t>
      </w:r>
      <w:r>
        <w:rPr>
          <w:sz w:val="24"/>
        </w:rPr>
        <w:t xml:space="preserve">αριθ. 50·</w:t>
      </w:r>
      <w:r>
        <w:rPr>
          <w:sz w:val="24"/>
        </w:rPr>
        <w:t xml:space="preserve"> </w:t>
      </w:r>
      <w:r>
        <w:rPr>
          <w:sz w:val="24"/>
        </w:rPr>
        <w:t xml:space="preserve">2014</w:t>
      </w:r>
      <w:r>
        <w:rPr>
          <w:sz w:val="24"/>
        </w:rPr>
        <w:t xml:space="preserve"> </w:t>
      </w:r>
      <w:r>
        <w:rPr>
          <w:sz w:val="24"/>
        </w:rPr>
        <w:t xml:space="preserve">αριθ. 123·</w:t>
      </w:r>
      <w:r>
        <w:rPr>
          <w:sz w:val="24"/>
        </w:rPr>
        <w:t xml:space="preserve"> </w:t>
      </w:r>
      <w:r>
        <w:rPr>
          <w:sz w:val="24"/>
        </w:rPr>
        <w:t xml:space="preserve">2017</w:t>
      </w:r>
      <w:r>
        <w:rPr>
          <w:sz w:val="24"/>
        </w:rPr>
        <w:t xml:space="preserve"> </w:t>
      </w:r>
      <w:r>
        <w:rPr>
          <w:sz w:val="24"/>
        </w:rPr>
        <w:t xml:space="preserve">αριθ. 128·</w:t>
      </w:r>
      <w:r>
        <w:rPr>
          <w:sz w:val="24"/>
        </w:rPr>
        <w:t xml:space="preserve"> </w:t>
      </w:r>
      <w:r>
        <w:rPr>
          <w:sz w:val="24"/>
        </w:rPr>
        <w:t xml:space="preserve">2019</w:t>
      </w:r>
      <w:r>
        <w:rPr>
          <w:sz w:val="24"/>
        </w:rPr>
        <w:t xml:space="preserve"> </w:t>
      </w:r>
      <w:r>
        <w:rPr>
          <w:sz w:val="24"/>
        </w:rPr>
        <w:t xml:space="preserve">αριθ. 248A] τροποποιείται ως εξής: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Στο άρθρο 10 παράγραφος 10, το κείμενο «εκμεταλλεύσεις γουνοφόρων ζώων» διαγράφεται.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Το κεφάλαιο II συμπληρώνεται με το άρθρο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ως εξής: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«</w:t>
      </w:r>
      <w:r>
        <w:rPr>
          <w:sz w:val="24"/>
          <w:b/>
          <w:rFonts w:ascii="Times New Roman" w:hAnsi="Times New Roman"/>
        </w:rPr>
        <w:t xml:space="preserve">Άρθρο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Η αναπαραγωγή και η εκτροφή ζώων εκτροφής απαγορεύεται εάν ο μοναδικός ή κύριος σκοπός της αναπαραγωγής ή της εκτροφής είναι η παραγωγή γούνας».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Οι μεταβατικές διατάξεις συμπληρώνονται με την παράγραφο 22 ως εξής: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«22.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Το άρθρο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του παρόντος τίθεται σε ισχύ την 1η Ιανουαρίου 2028.»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