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801B" w14:textId="3D807DDF" w:rsidR="009F6A32" w:rsidRPr="00C65888" w:rsidRDefault="009F6A32" w:rsidP="009F6A32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0711 D-- PL- ------ 20201130 --- --- PROJET</w:t>
      </w:r>
    </w:p>
    <w:p w14:paraId="18B5F7E7" w14:textId="77777777" w:rsidR="004B1EC2" w:rsidRPr="004B1EC2" w:rsidRDefault="004B1EC2" w:rsidP="009F6A32">
      <w:pPr>
        <w:pStyle w:val="Dokumentstatus"/>
        <w:rPr>
          <w:color w:val="000000" w:themeColor="text1"/>
        </w:rPr>
      </w:pPr>
      <w:r>
        <w:rPr>
          <w:color w:val="000000" w:themeColor="text1"/>
        </w:rPr>
        <w:t>Opracowany przez referenta projekt Federalnego Ministerstwa Żywności i Rolnictwa</w:t>
      </w:r>
    </w:p>
    <w:p w14:paraId="17F423A0" w14:textId="02C1D840" w:rsidR="004B1EC2" w:rsidRPr="004B1EC2" w:rsidRDefault="004B1EC2" w:rsidP="009F6A32">
      <w:pPr>
        <w:pStyle w:val="Bezeichnungnderungsdokument"/>
        <w:spacing w:before="360"/>
        <w:rPr>
          <w:color w:val="000000" w:themeColor="text1"/>
        </w:rPr>
      </w:pPr>
      <w:r>
        <w:rPr>
          <w:color w:val="000000" w:themeColor="text1"/>
        </w:rPr>
        <w:t>Rozporządzenie w sprawie reorganizacji przepisów prawa żywnościowego dotyczących dodatków do żywności</w:t>
      </w:r>
      <w:r w:rsidRPr="004B1EC2">
        <w:rPr>
          <w:rStyle w:val="FootnoteReference"/>
          <w:color w:val="000000" w:themeColor="text1"/>
        </w:rPr>
        <w:footnoteReference w:id="1"/>
      </w:r>
      <w:r w:rsidRPr="004B1EC2">
        <w:rPr>
          <w:rStyle w:val="FootnoteReference"/>
          <w:color w:val="000000" w:themeColor="text1"/>
        </w:rPr>
        <w:t>)</w:t>
      </w:r>
      <w:r>
        <w:rPr>
          <w:rStyle w:val="FootnoteReference"/>
          <w:color w:val="000000" w:themeColor="text1"/>
        </w:rPr>
        <w:t>)</w:t>
      </w:r>
    </w:p>
    <w:p w14:paraId="0C076847" w14:textId="77777777" w:rsidR="004B1EC2" w:rsidRPr="004B1EC2" w:rsidRDefault="004B1EC2" w:rsidP="009F6A32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Z dnia ...</w:t>
      </w:r>
    </w:p>
    <w:p w14:paraId="13381349" w14:textId="77777777" w:rsidR="004B1EC2" w:rsidRPr="00161369" w:rsidRDefault="004B1EC2" w:rsidP="009F6A3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Federalne Ministerstwo Żywności i Rolnictwa, na podstawie </w:t>
      </w:r>
    </w:p>
    <w:p w14:paraId="6948806E" w14:textId="77777777" w:rsidR="004B1EC2" w:rsidRPr="004B1EC2" w:rsidRDefault="004B1EC2" w:rsidP="009F6A32">
      <w:pPr>
        <w:pStyle w:val="EingangsformelStandardnderungsdokument"/>
        <w:rPr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 xml:space="preserve">§ 4 ust. 2 pkt 2 i ust. 3 pkt 2, § 7 ust. 1 pkt 1 i ust. 2 pkt 1, § 13 ust. 1 pkt 2, 5 i 6, ust. 3 zdanie pierwsze, pkt 1 i ust. 4 pkt 1 lit. a), § 34 zdanie pierwsze, pkt 3 i 5 oraz § 35 pkt 1 lit. b) </w:t>
      </w:r>
      <w:proofErr w:type="spellStart"/>
      <w:r>
        <w:rPr>
          <w:rStyle w:val="Marker"/>
          <w:color w:val="000000" w:themeColor="text1"/>
        </w:rPr>
        <w:t>ppkt</w:t>
      </w:r>
      <w:proofErr w:type="spellEnd"/>
      <w:r>
        <w:rPr>
          <w:rStyle w:val="Marker"/>
          <w:color w:val="000000" w:themeColor="text1"/>
        </w:rPr>
        <w:t xml:space="preserve"> (aa) kodeksu środków spożywczych i pasz w brzmieniu ogłoszonym dnia 3 czerwca 2013 r. (Federalny Dz.U. I s. 1426), z czego § 4 ust. 3, § 7 ust. 1 i 2, § 13 ust. 1 i 4, § 34 zdanie pierwsze oraz § 35 zmieniono artykułem 67 rozporządzenia z dnia 31 sierpnia 2015 r. (Federalny Dz.U. I s. 1474), w porozumieniu z Federalnym Ministerstwem Gospodarki i Energetyki, </w:t>
      </w:r>
    </w:p>
    <w:p w14:paraId="1D73DC8C" w14:textId="77777777" w:rsidR="004B1EC2" w:rsidRPr="004B1EC2" w:rsidRDefault="004B1EC2" w:rsidP="009F6A3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62 ust. 1 pkt 1 i 2 kodeksu środków spożywczych i pasz w brzmieniu ogłoszonym dnia 3 czerwca 2013 r. (Federalny Dz.U. I s. 1426), ostatnio zmienionego artykułem 97 ustawy z dnia 19.6.2020 r. (Federalny Dz.U. I s. 1328), oraz</w:t>
      </w:r>
    </w:p>
    <w:p w14:paraId="00E09F82" w14:textId="77777777" w:rsidR="004B1EC2" w:rsidRPr="004B1EC2" w:rsidRDefault="004B1EC2" w:rsidP="009F6A3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>§ 3 ust. 1 zdanie pierwsze ustawy o mleku i margarynie z dnia 25 lipca 1990 r. (Federalny Dz.U. I s. 1471), ostatnio zmienionego artykułem 2 pkt 2 ustawy z dnia 18 stycznia 2019 r. (Federalny Dz.U. I s. 33), w porozumieniu z Federalnym Ministerstwem Gospodarki i Energetyki wydaje następujące rozporządzenie:</w:t>
      </w:r>
    </w:p>
    <w:p w14:paraId="742479B8" w14:textId="62F2E8FE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Artykuł 1</w:t>
      </w:r>
    </w:p>
    <w:p w14:paraId="6543C2DA" w14:textId="77777777" w:rsidR="004B1EC2" w:rsidRPr="004B1EC2" w:rsidRDefault="004B1EC2" w:rsidP="009F6A32">
      <w:pPr>
        <w:pStyle w:val="BezeichnungStammdokument"/>
        <w:keepNext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Rozporządzenie w sprawie wykonania przepisów unijnych dotyczących dodatków do żywności</w:t>
      </w:r>
    </w:p>
    <w:p w14:paraId="739718BB" w14:textId="77777777" w:rsidR="004B1EC2" w:rsidRPr="00161369" w:rsidRDefault="004B1EC2" w:rsidP="009F6A32">
      <w:pPr>
        <w:pStyle w:val="Kurzbezeichnung-AbkrzungStammdokument"/>
        <w:keepNext/>
        <w:keepLines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(rozporządzenie wykonawcze dotyczące dodatków do żywności – LMZDV)</w:t>
      </w:r>
    </w:p>
    <w:p w14:paraId="069CC196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6BB5083" w14:textId="77777777" w:rsidR="004B1EC2" w:rsidRPr="004B1EC2" w:rsidRDefault="004B1EC2" w:rsidP="009F6A32">
      <w:pPr>
        <w:pStyle w:val="Paragraphberschrift"/>
        <w:keepLines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Zakres stosowania</w:t>
      </w:r>
    </w:p>
    <w:p w14:paraId="1B0C9433" w14:textId="77777777" w:rsidR="004B1EC2" w:rsidRPr="004B1EC2" w:rsidRDefault="004B1EC2" w:rsidP="009F6A32">
      <w:pPr>
        <w:pStyle w:val="JuristischerAbsatznichtnummeriert"/>
        <w:keepNext/>
        <w:keepLines/>
        <w:rPr>
          <w:color w:val="000000" w:themeColor="text1"/>
        </w:rPr>
      </w:pPr>
      <w:r>
        <w:rPr>
          <w:color w:val="000000" w:themeColor="text1"/>
        </w:rPr>
        <w:t>(1) Niniejsze rozporządzenie stosuje się w uzupełnieniu</w:t>
      </w:r>
    </w:p>
    <w:p w14:paraId="4C9E1D8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color w:val="000000" w:themeColor="text1"/>
        </w:rPr>
      </w:pPr>
      <w:r>
        <w:rPr>
          <w:color w:val="000000" w:themeColor="text1"/>
        </w:rPr>
        <w:t>do regulacji rozporządzenia Parlamentu Europejskiego i Rady (WE) nr 1333/2008 z dnia 16 grudnia 2008 r. w sprawie dodatków do żywności (Dz.U. L 354 z 31.12.2008, s. 16; L 105 z 27.4.2010, s. 114; L 322 z 21.11.2012, s. 8; L 123 z 19.5.2015, s. 122), ostatnio zmienionego rozporządzeniem (UE) 2020/771 (Dz.U. L 184 z 12.6.2020, s. 25), i opartych na nim aktów prawnych Unii Europejskiej w odniesieniu do</w:t>
      </w:r>
    </w:p>
    <w:p w14:paraId="68DEA172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color w:val="000000" w:themeColor="text1"/>
        </w:rPr>
        <w:t>stosowania dodatków do żywności określonych w art. 3 ust. 2 lit. a) w związku z art. 2 ust. 2 rozporządzenia (WE) nr 1333/2008 w aktualnie obowiązującym brzmieniu i</w:t>
      </w:r>
    </w:p>
    <w:p w14:paraId="3FE48C79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color w:val="000000" w:themeColor="text1"/>
        </w:rPr>
        <w:lastRenderedPageBreak/>
        <w:t>wprowadzania do obrotu i etykietowania dodatków do żywności i środków spożywczych zawierających dodatki do żywności, oraz</w:t>
      </w:r>
    </w:p>
    <w:p w14:paraId="3DEDD3A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color w:val="000000" w:themeColor="text1"/>
        </w:rPr>
      </w:pPr>
      <w:r>
        <w:rPr>
          <w:color w:val="000000" w:themeColor="text1"/>
        </w:rPr>
        <w:t>do regulacji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 22.11.2011, s. 18; L 331 z 18.11.2014, s. 41; L 50 z 21.2.2015, s. 48; L 266 z 30.9.2016, s. 7), ostatnio zmienionego rozporządzeniem (UE) 2015/2283 (Dz.U. L 327 z 11.12.2015, s. 1), w odniesieniu do etykietowania żywności opakowanej w rozumieniu art. 2 ust. 2 lit. e) rozporządzenia (UE) nr 1169/2011 w aktualnie obowiązującym brzmieniu oraz żywności nieopakowanej przeznaczonej do sprzedaży</w:t>
      </w:r>
    </w:p>
    <w:p w14:paraId="67DE65E4" w14:textId="77777777" w:rsidR="004B1EC2" w:rsidRPr="004B1EC2" w:rsidRDefault="004B1EC2" w:rsidP="009F6A32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konsumentom finalnym w rozumieniu art. 3 pkt 18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(Dz.U. L 31 z 1.2.2002, s. 1), ostatnio zmienionego rozporządzeniem (UE) 2019/1381 (Dz.U. L 231 z 6.9.2019, s. 1), w aktualnie obowiązującym brzmieniu, lub </w:t>
      </w:r>
    </w:p>
    <w:p w14:paraId="59F7D80F" w14:textId="77777777" w:rsidR="004B1EC2" w:rsidRPr="004B1EC2" w:rsidRDefault="004B1EC2" w:rsidP="009F6A32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>zakładom żywienia zbiorowego w rozumieniu art. 2 ust. 2 lit. d) rozporządzenia (UE) nr 1169/2011.</w:t>
      </w:r>
    </w:p>
    <w:p w14:paraId="1428976F" w14:textId="77777777" w:rsidR="004B1EC2" w:rsidRPr="00161369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Niniejsze rozporządzenie reguluje przemieszczanie, przechowywanie i magazynowanie azotynów oraz wymogi dotyczące produkcji azotynowej soli peklującej.</w:t>
      </w:r>
    </w:p>
    <w:p w14:paraId="74464AF2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7B62D02" w14:textId="4B7D1344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Definicje</w:t>
      </w:r>
    </w:p>
    <w:p w14:paraId="32E992C0" w14:textId="77777777" w:rsidR="004B1EC2" w:rsidRPr="00161369" w:rsidRDefault="004B1EC2" w:rsidP="009F6A32">
      <w:pPr>
        <w:pStyle w:val="JuristischerAbsatznummeriert"/>
        <w:keepNext/>
        <w:keepLines/>
        <w:numPr>
          <w:ilvl w:val="0"/>
          <w:numId w:val="0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Żywność nieopakowana w rozumieniu niniejszego rozporządzenia to żywność, która jest </w:t>
      </w:r>
    </w:p>
    <w:p w14:paraId="45AF8E3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oferowana do sprzedaży bez opakowania,</w:t>
      </w:r>
    </w:p>
    <w:p w14:paraId="7AF0A6B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pakowana w punkcie sprzedaży na życzenie konsumenta finalnego lub zakładu żywienia zbiorowego albo</w:t>
      </w:r>
    </w:p>
    <w:p w14:paraId="7D39355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pakowana z myślą o bezpośredniej sprzedaży.</w:t>
      </w:r>
    </w:p>
    <w:p w14:paraId="16C0298B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6506725D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Piwo</w:t>
      </w:r>
    </w:p>
    <w:p w14:paraId="435E54D1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Do produkcji piwa wprowadzanego do obrotu z etykietą zawierającą słowa „warzone zgodnie z niemieckim prawem czystości” lub informacje o takim samym znaczeniu jako dodatki do żywności można stosować wyłącznie:</w:t>
      </w:r>
    </w:p>
    <w:p w14:paraId="14E8B98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dwutlenek węgla wychwytywany podczas produkcji piwa lub</w:t>
      </w:r>
    </w:p>
    <w:p w14:paraId="3F21731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dwutlenek węgla i azot, jeżeli </w:t>
      </w:r>
    </w:p>
    <w:p w14:paraId="0148078E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nie przechodzą do piwa, z wyjątkiem technicznie nieuniknionych ilości, a</w:t>
      </w:r>
    </w:p>
    <w:p w14:paraId="435684CA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rStyle w:val="Marker"/>
          <w:color w:val="000000" w:themeColor="text1"/>
        </w:rPr>
        <w:t>stosowanie nie zwiększa zawartości dwutlenku węgla w piwie.</w:t>
      </w:r>
    </w:p>
    <w:p w14:paraId="693107AF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1900A2C3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Azotyny i azotynowa sól peklująca</w:t>
      </w:r>
    </w:p>
    <w:p w14:paraId="4870D2AE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Azotyny nie mogą być wprowadzane do zakładów produkujących żywność ani przechowywane lub magazynowane w takich zakładach. Zakaz ten nie ma zastosowania do wprowadzania azotynu sodu i azotynu potasu do zakładów produkujących mieszanki azotynu sodu lub azotynu potasu z solą kuchenną, jodowaną solą kuchenną lub substytutem soli kuchennej (azotynowa sól peklująca).</w:t>
      </w:r>
    </w:p>
    <w:p w14:paraId="2B4F2DC3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Każdy, kto chce produkować azotynową sól peklującą, potrzebuje zezwolenia od właściwego organu. Zezwolenie może zostać udzielone tylko wtedy, gdy wnioskodawca</w:t>
      </w:r>
    </w:p>
    <w:p w14:paraId="179B4F6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jest godny zaufania i</w:t>
      </w:r>
    </w:p>
    <w:p w14:paraId="3C4314A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posiada wyposażenie i środki pomocnicze niezbędne do prawidłowej produkcji azotynowej soli peklującej.</w:t>
      </w:r>
    </w:p>
    <w:p w14:paraId="747B9DB5" w14:textId="77777777" w:rsidR="004B1EC2" w:rsidRPr="004B1EC2" w:rsidRDefault="004B1EC2" w:rsidP="009F6A3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Azotynowa sól peklująca może być produkowana wyłącznie w pomieszczeniach, które są przeznaczone tylko do tego celu.</w:t>
      </w:r>
    </w:p>
    <w:p w14:paraId="455E298E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86D0FB7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Etykietowanie</w:t>
      </w:r>
    </w:p>
    <w:p w14:paraId="1B00C53C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Żywność nieopakowana w rozumieniu § 2 pkt 3, która nie jest oferowana do sprzedaży samoobsługowej, oraz żywność nieopakowana w rozumieniu § 2 pkt 1 i 2 może tylko wtedy być wprowadzana do obrotu przez podmiot odpowiedzialny zgodnie z art. 8 ust. 1 lub ust. 4 zdanie drugie rozporządzenia (UE) nr 1169/2011 w celu sprzedaży konsumentom finalnym lub zakładom żywienia zbiorowego albo sprzedawana przez podmiot odpowiedzialny zgodnie z art. 8 ust. 3 rozporządzenia (UE) nr 1169/2011, gdy dodatki do żywności stosowane w jej produkcji są w sposób określony w ust. 2 oznaczone następującymi informacjami:</w:t>
      </w:r>
    </w:p>
    <w:p w14:paraId="079B5BE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barwniki – informacją „zawiera barwnik",</w:t>
      </w:r>
    </w:p>
    <w:p w14:paraId="6E215CD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 stosowane w celu konserwacji – informacją „zawiera konserwant" lub „konserwowane",</w:t>
      </w:r>
    </w:p>
    <w:p w14:paraId="10F4BA7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 stosowane jako przeciwutleniacze – informacją „zawiera przeciwutleniacz",</w:t>
      </w:r>
    </w:p>
    <w:p w14:paraId="17A15C64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azotany lub azotynową sól peklującą informacje przewidziane w pkt 2 i 3 mogą zostać zastąpione następującymi informacjami:</w:t>
      </w:r>
    </w:p>
    <w:p w14:paraId="24622BEA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odniesieniu do żywności zawierającej azotynową sól peklującą – informacją „zawiera azotynową sól peklującą", </w:t>
      </w:r>
    </w:p>
    <w:p w14:paraId="653B83B3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odniesieniu do żywności zawierającej azotan sodu lub azotan potasu, również zmieszany – informacją „zawiera azotan”, a</w:t>
      </w:r>
    </w:p>
    <w:p w14:paraId="3738661C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odniesieniu do żywności zawierającej azotynową sól peklującą oraz azotan sodu lub potasu, w każdym przypadku również zmieszane – informacją „zawiera azotynową sól peklującą i azotan",</w:t>
      </w:r>
    </w:p>
    <w:p w14:paraId="09B21239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 stosowane jako substancje wzmacniające smak- – informacją „zawiera substancję wzmacniającą smak",</w:t>
      </w:r>
    </w:p>
    <w:p w14:paraId="0F71C43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 oliwek zawierających </w:t>
      </w:r>
      <w:proofErr w:type="spellStart"/>
      <w:r>
        <w:rPr>
          <w:rStyle w:val="Marker"/>
          <w:color w:val="000000" w:themeColor="text1"/>
        </w:rPr>
        <w:t>glukonian</w:t>
      </w:r>
      <w:proofErr w:type="spellEnd"/>
      <w:r>
        <w:rPr>
          <w:rStyle w:val="Marker"/>
          <w:color w:val="000000" w:themeColor="text1"/>
        </w:rPr>
        <w:t xml:space="preserve"> żelaza II (E 579) lub mleczan żelaza II (E 585) – informacją „czernione",</w:t>
      </w:r>
    </w:p>
    <w:p w14:paraId="1A812B9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świeżych owoców i warzyw zawierających dodatki do żywności o numerach E 445, E 471, E 473, E 474, od E 901 do E 905 i E 914, stosowane do obróbki powierzchniowej – informacją „woskowane",</w:t>
      </w:r>
    </w:p>
    <w:p w14:paraId="6872809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w przypadku produktów mięsnych zawierających dodatki do żywności o numerach od E 338 do E 341, E 343 i od E 450 do E 452 – informacją zawiera fosforan”,</w:t>
      </w:r>
    </w:p>
    <w:p w14:paraId="0BBB41C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substancje słodzące, z wyjątkiem słodzików stołowych – informacją „zawiera substancję(-e) słodzącą(-e)”,</w:t>
      </w:r>
    </w:p>
    <w:p w14:paraId="29D70F8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słodzików stołowych – informacją „na bazie ...” z wyszczególnieniem nazw substancji słodzących w ich składzie,</w:t>
      </w:r>
    </w:p>
    <w:p w14:paraId="3A7AF27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 żywności zawierającej </w:t>
      </w:r>
      <w:proofErr w:type="spellStart"/>
      <w:r>
        <w:rPr>
          <w:rStyle w:val="Marker"/>
          <w:color w:val="000000" w:themeColor="text1"/>
        </w:rPr>
        <w:t>aspartam</w:t>
      </w:r>
      <w:proofErr w:type="spellEnd"/>
      <w:r>
        <w:rPr>
          <w:rStyle w:val="Marker"/>
          <w:color w:val="000000" w:themeColor="text1"/>
        </w:rPr>
        <w:t xml:space="preserve"> (E 951) lub sól </w:t>
      </w:r>
      <w:proofErr w:type="spellStart"/>
      <w:r>
        <w:rPr>
          <w:rStyle w:val="Marker"/>
          <w:color w:val="000000" w:themeColor="text1"/>
        </w:rPr>
        <w:t>aspartamu</w:t>
      </w:r>
      <w:proofErr w:type="spellEnd"/>
      <w:r>
        <w:rPr>
          <w:rStyle w:val="Marker"/>
          <w:color w:val="000000" w:themeColor="text1"/>
        </w:rPr>
        <w:t xml:space="preserve"> i </w:t>
      </w:r>
      <w:proofErr w:type="spellStart"/>
      <w:r>
        <w:rPr>
          <w:rStyle w:val="Marker"/>
          <w:color w:val="000000" w:themeColor="text1"/>
        </w:rPr>
        <w:t>acesulfamu</w:t>
      </w:r>
      <w:proofErr w:type="spellEnd"/>
      <w:r>
        <w:rPr>
          <w:rStyle w:val="Marker"/>
          <w:color w:val="000000" w:themeColor="text1"/>
        </w:rPr>
        <w:t xml:space="preserve"> (E 962) – informacją „zawiera źródło fenyloalaniny”,</w:t>
      </w:r>
    </w:p>
    <w:p w14:paraId="19B4FCA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 ponad 10 % dodatkiem alkoholi wielowodorotlenowych o numerach E 420, E 421, E 953 i od E 965 do E 968 – informacją „nadmierne spożycie może mieć efekt przeczyszczający”.</w:t>
      </w:r>
    </w:p>
    <w:p w14:paraId="4F4D4D56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Informacje, o których mowa w ust. 1, muszą zostać udostępnione:</w:t>
      </w:r>
    </w:p>
    <w:p w14:paraId="639CBEB2" w14:textId="55827F43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zgodnie z art. 12 ust. 2 rozporządzenia (UE) nr 1169/2011 lub § 4 ust. 3 i 4 rozporządzenia w sprawie wykonania przepisów unijnych dotyczących przekazywania konsumentom informacji na temat żywności z dnia 5 lipca 2017 r. (Federalny Dz.U. I s. 2272), ostatnio zmienionego artykułem 1 rozporządzenia z dnia 27 października 2020 r. (Federalny Dz.U. I s. 2268), </w:t>
      </w:r>
    </w:p>
    <w:p w14:paraId="0F4CA66E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 ile informacje te są obowiązkowe na mocy § 4 ust. 2 rozporządzenia w sprawie wykonania przepisów unijnych dotyczących przekazywania konsumentom informacji na temat żywności, w ten sam sposób za pośrednictwem tego samego </w:t>
      </w:r>
      <w:proofErr w:type="gramStart"/>
      <w:r>
        <w:rPr>
          <w:rStyle w:val="Marker"/>
          <w:color w:val="000000" w:themeColor="text1"/>
        </w:rPr>
        <w:t>nośnika,</w:t>
      </w:r>
      <w:proofErr w:type="gramEnd"/>
      <w:r>
        <w:rPr>
          <w:rStyle w:val="Marker"/>
          <w:color w:val="000000" w:themeColor="text1"/>
        </w:rPr>
        <w:t xml:space="preserve"> oraz </w:t>
      </w:r>
    </w:p>
    <w:p w14:paraId="0A9995CB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nieopakowanej oferowanej do sprzedaży za pośrednictwem środków porozumiewania się na odległość, zgodnie z art. 14 ust. 1 rozporządzenia (UE) nr 1169/2011.</w:t>
      </w:r>
    </w:p>
    <w:p w14:paraId="41143954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Informacje, o których mowa w ust. 1 pkt 1-8, mogą zostać pominięte:</w:t>
      </w:r>
    </w:p>
    <w:p w14:paraId="3FE8284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 żywności posiadającej wykaz składników, który jest zgodny z wymogami dotyczącymi oznaczeń, o których mowa w art. 9 ust. 1 lit. b) w związku z art. 18 rozporządzenia (UE) nr 1169/2011, </w:t>
      </w:r>
    </w:p>
    <w:p w14:paraId="485E00B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przypadku żywności, w której wszystkie dodatki do żywności stosowane w jej produkcji są odpowiednio do części C załącznika VII do rozporządzenia (UE) nr 1169/2011 wymienione z nazwą ich kategorii wraz z podaniem ich szczegółowej nazwy lub numeru E, w ogłoszeniu umieszczonym w punkcie sprzedaży, w pisemnej informacji lub w elektronicznych ofertach informacyjnych udostępnianych przez podmiot prowadzący przedsiębiorstwo spożywcze i natychmiast łatwo dostępnych dla konsumenta finalnego; wskazanie na pisemną informację lub elektroniczne oferty informacyjne musi być umieszczone na środku spożywczym lub w ogłoszeniu, albo </w:t>
      </w:r>
    </w:p>
    <w:p w14:paraId="594D320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 żywności zawierającej dodatki do żywności, które zgodnie z art. 20 rozporządzenia (UE) nr 1169/2011 nie muszą znajdować się w wykazie składników.</w:t>
      </w:r>
    </w:p>
    <w:p w14:paraId="0186464A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Opakowane słodziki stołowe mogą być sprzedawane konsumentom finalnym tylko wtedy, gdy</w:t>
      </w:r>
    </w:p>
    <w:p w14:paraId="17433A6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przypadku, o którym mowa w art. 23 ust. 2 rozporządzenia (WE) nr 1333/2008, ich nazwie, również w związku z art. 23 ust. 5, towarzyszą określone tam informacje, oraz</w:t>
      </w:r>
    </w:p>
    <w:p w14:paraId="09238F9B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przypadku, o którym mowa w art. 23 ust. 3 rozporządzenia (WE) nr 1333/2008, ich etykietowaniu, również w związku z art. 23 ust. 5, towarzyszą określone tam informacje.</w:t>
      </w:r>
    </w:p>
    <w:p w14:paraId="3448EFA9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Do etykietowania opakowanych napojów o zawartości alkoholu większej niż 1,2 % obj. odnosi się odpowiednio ust. 1 pkt 1-3 z zastrzeżeniem wymogu podania informacji, o których mowa w art. 12 ust. 2 rozporządzenia (UE) nr 1169/2011.</w:t>
      </w:r>
    </w:p>
    <w:p w14:paraId="6D1EE705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Do świeżych owoców i warzyw,</w:t>
      </w:r>
    </w:p>
    <w:p w14:paraId="55918AF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które nie są opakowane w rozumieniu § 2 pkt 3 i są oferowane do sprzedaży samoobsługowej lub które są oferowane w opakowaniu oraz</w:t>
      </w:r>
    </w:p>
    <w:p w14:paraId="4B8DD7D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dla których wykaz składników nie jest wymagany zgodnie z art. 19 ust. 1 lit. a) rozporządzenia (UE) nr 1169/2011 i nie jest podawany dobrowolnie, </w:t>
      </w:r>
    </w:p>
    <w:p w14:paraId="1B9D207B" w14:textId="77777777" w:rsidR="004B1EC2" w:rsidRPr="004B1EC2" w:rsidRDefault="004B1EC2" w:rsidP="009F6A3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odnosi się odpowiednio ust. 1 pkt 7 z zastrzeżeniem wymogu podania informacji, o których mowa w art. 12 ust. 2 rozporządzenia (UE) nr 1169/2011.</w:t>
      </w:r>
    </w:p>
    <w:p w14:paraId="75F3C0F5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233E72A3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Czyny zabronione</w:t>
      </w:r>
    </w:p>
    <w:p w14:paraId="2DC0A5F7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Zgodnie z § 59 ust. 1 pkt 21 lit. a) kodeksu środków spożywczych i pasz podlega karze ten, kto </w:t>
      </w:r>
    </w:p>
    <w:p w14:paraId="52ABCAE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4 ust. 1 zdanie pierwsze przemieszcza, przechowuje lub magazynuje azotyny,</w:t>
      </w:r>
    </w:p>
    <w:p w14:paraId="2393AF0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wytwarza azotynową sól peklującą bez zezwolenia określonego w § 4 ust. 2 zdanie pierwsze lub</w:t>
      </w:r>
    </w:p>
    <w:p w14:paraId="73AF42D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4 ust. 2 zdanie trzecie wytwarza azotynową sól peklującą.</w:t>
      </w:r>
    </w:p>
    <w:p w14:paraId="25A4FA85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Zgodnie z § 58 ust. 3 pkt 2, ust. 4-6 kodeksu środków spożywczych i pasz podlega karze, kto umyślnie lub w wyniku zaniedbania wbrew art. 5 w związku z art. 4 ust. 5 w związku z art. 14 w związku z częścią A sekcja 2 pkt 1 załącznika II do rozporządzenia Parlamentu Europejskiego i Rady (WE) nr 1333/2008 z dnia 16 grudnia 2008 r. w sprawie dodatków do żywności (Dz.U. L 354 z 31.12.2008, s. 16; L 105 z 27.4.2010, s. 114; L 322 z 21.11.2012, s. 8; L 138 z 24.5.2013, s. 20; L 123 z 19.5.2015, s. 122; L 214 z 13.8.2015, s. 30; L 165 z 23.6.2016, s. 24; L 282 z 19.10.2016, s. 84; L 82 z 26.3.2018, s. 18; L 60 z 28.2.2019, s. 35), ostatnio zmienionego rozporządzeniem (UE) 2020/771 (Dz.U. L 184 z 12.6.2020, s. 25), wprowadza do obrotu</w:t>
      </w:r>
    </w:p>
    <w:p w14:paraId="452B78E3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dodatek do żywności, który nie jest zgodny z zapisanymi specyfikacjami podanymi w załączniku do rozporządzenia Komisji (UE) nr 231/2012 z dnia 9 marca 2012 r. ustanawiającego specyfikacje dla dodatków do żywności wymienionych w załącznikach II i III do rozporządzenia (WE) nr 1333/2008 Parlamentu Europejskiego i Rady (Dz.U. L 83 z 22.3.2012, s. 1; L 189 z 14.7.2016, s. 59; L 292 z 27.10.2016, s. 50), ostatnio zmienionego rozporządzeniem (UE) 2020/771 (Dz.U. L 184 z 12.6.2020, s. 25), </w:t>
      </w:r>
    </w:p>
    <w:p w14:paraId="2FC97BA0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środek spożywczy, w którym obecny jest dodatek do żywności niezgodny z zapisanymi specyfikacjami podanymi w załączniku do rozporządzenia (UE) nr 231/2012, lub</w:t>
      </w:r>
    </w:p>
    <w:p w14:paraId="5F9876D3" w14:textId="77777777" w:rsidR="004B1EC2" w:rsidRPr="004B1EC2" w:rsidRDefault="004B1EC2" w:rsidP="009F6A32">
      <w:pPr>
        <w:pStyle w:val="NummerierungStufe2"/>
        <w:keepNext/>
        <w:keepLines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w związku z uwagą zamieszczoną w załączniku do rozporządzenia (UE) nr 231/2012 </w:t>
      </w:r>
    </w:p>
    <w:p w14:paraId="7713645A" w14:textId="77777777" w:rsidR="004B1EC2" w:rsidRPr="004B1EC2" w:rsidRDefault="004B1EC2" w:rsidP="009F6A32">
      <w:pPr>
        <w:pStyle w:val="NummerierungStufe3"/>
        <w:numPr>
          <w:ilvl w:val="5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dodatek do żywności, który został poddany sterylizacji przy użyciu tlenku etylenu, lub</w:t>
      </w:r>
    </w:p>
    <w:p w14:paraId="3DFDB985" w14:textId="77777777" w:rsidR="004B1EC2" w:rsidRPr="004B1EC2" w:rsidRDefault="004B1EC2" w:rsidP="009F6A32">
      <w:pPr>
        <w:pStyle w:val="NummerierungStufe3"/>
        <w:numPr>
          <w:ilvl w:val="5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środek spożywczy zawierający dodatek do żywności sterylizowany przy użyciu tlenku etylenu.</w:t>
      </w:r>
    </w:p>
    <w:p w14:paraId="59233171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  <w:bookmarkStart w:id="0" w:name="_GoBack"/>
      <w:bookmarkEnd w:id="0"/>
    </w:p>
    <w:p w14:paraId="362CAAB9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Wykroczenia</w:t>
      </w:r>
    </w:p>
    <w:p w14:paraId="6A9E398C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Kto w wyniku zaniedbania popełnia czyn określony w § 6 ust. 1, ten popełnia wykroczenie w rozumieniu § 60 ust. 1 pkt 2 kodeksu środków spożywczych i pasz. </w:t>
      </w:r>
    </w:p>
    <w:p w14:paraId="53128E7E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Popełnia wykroczenie w rozumieniu § 60 ust. 2 pkt 26 lit. a) kodeksu środków spożywczych i pasz, kto umyślnie lub w wyniku zaniedbania</w:t>
      </w:r>
    </w:p>
    <w:p w14:paraId="09F1616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5 ust. 1 pkt 1-3, w każdym przypadku również w związku z ust. 5, wbrew § 5 ust. 1 pkt 4-6 lub 7, również w związku z ust. 6, lub § 5 ust. 1 pkt 8-12 wprowadza do obrotu lub sprzedaje środek spożywczy albo</w:t>
      </w:r>
    </w:p>
    <w:p w14:paraId="0C334A6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wbrew § 5 ust. 4 sprzedaje słodzik stołowy.</w:t>
      </w:r>
    </w:p>
    <w:p w14:paraId="26BAD113" w14:textId="525BB6CF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Popełnia wykroczenie w rozumieniu § 60 ust. 4 pkt 2 lit. a) kodeksu środków spożywczych i pasz, kto narusza przepisy rozporządzenia (WE) nr 1333/2008, wprowadzając do obrotu dodatek do żywności umyślnie lub w wyniku zaniedbania wbrew art. 21 ust. 1 zdanie pierwsze w związku z art. 22 ust. 1, 2 lub 3 lub wbrew art. 23 ust. 1.</w:t>
      </w:r>
    </w:p>
    <w:p w14:paraId="5B3E5922" w14:textId="01E1C201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Artykuł 2</w:t>
      </w:r>
    </w:p>
    <w:p w14:paraId="4BB2F49C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dietetycznych środków spożywczych</w:t>
      </w:r>
    </w:p>
    <w:p w14:paraId="2B5EF12B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rozporządzeniu w sprawie dietetycznych środków spożywczych w brzmieniu ogłoszonym dnia 28 kwietnia 2005 r. (Federalny Dz.U. I s. 1161), ostatnio zmienionym artykułem 22 rozporządzenia z dnia 5 lipca 2017 r. (Federalny Dz.U. I s. 2272), wprowadza się następujące zmiany:</w:t>
      </w:r>
    </w:p>
    <w:p w14:paraId="7456D90F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 5 ust. 1 otrzymuje brzmienie:</w:t>
      </w:r>
    </w:p>
    <w:p w14:paraId="42D1F781" w14:textId="77777777" w:rsidR="004B1EC2" w:rsidRPr="004B1EC2" w:rsidRDefault="004B1EC2" w:rsidP="009F6A32">
      <w:pPr>
        <w:pStyle w:val="RevisionJuristischerAbsatz"/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4B1EC2">
        <w:rPr>
          <w:color w:val="000000" w:themeColor="text1"/>
        </w:rPr>
        <w:fldChar w:fldCharType="begin"/>
      </w:r>
      <w:r w:rsidRPr="004B1EC2">
        <w:rPr>
          <w:color w:val="000000" w:themeColor="text1"/>
        </w:rPr>
        <w:instrText xml:space="preserve"> ADVANCE  \l 24,45  </w:instrText>
      </w:r>
      <w:r w:rsidRPr="004B1EC2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  <w:r>
        <w:rPr>
          <w:color w:val="000000" w:themeColor="text1"/>
        </w:rPr>
        <w:tab/>
        <w:t>Przy pozyskiwaniu, wytwarzaniu i przygotowywaniu dietetycznych środków spożywczych substancje mogą być dodawane wyłącznie zgodnie z niniejszym rozporządzeniem, z zastrzeżeniem mających bezpośrednio zastosowanie aktów prawnych Wspólnoty Europejskiej lub Unii Europejskiej.”.</w:t>
      </w:r>
    </w:p>
    <w:p w14:paraId="0C10EEC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Uchyla się § 6.</w:t>
      </w:r>
    </w:p>
    <w:p w14:paraId="00A5E74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§ 25 ust. 4 zdanie drugie słowa „§ 9 rozporządzenia w sprawie dopuszczenia do stosowania dodatków do żywności” zastępuje się słowami „§ 5 rozporządzenia wykonawczego dotyczącego dodatków do żywności".</w:t>
      </w:r>
    </w:p>
    <w:p w14:paraId="77A60FC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§ 26 pkt 3 skreśla się wyrażenie „§ 6 zdanie trzecie,”.</w:t>
      </w:r>
    </w:p>
    <w:p w14:paraId="4CBFE78A" w14:textId="10104546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Artykuł 3</w:t>
      </w:r>
    </w:p>
    <w:p w14:paraId="7B63C747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przetworów mlecznych</w:t>
      </w:r>
    </w:p>
    <w:p w14:paraId="3DE0F25E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rozporządzeniu w sprawie przetworów mlecznych z dnia 15 lipca 1970 r. (Federalny Dz.U. I s. 1150), ostatnio zmienionym artykułem 21 rozporządzenia z dnia 5 lipca 2017 r. (Federalny Dz.U. I s. 2272), wprowadza się następujące zmiany:</w:t>
      </w:r>
    </w:p>
    <w:p w14:paraId="79BED87C" w14:textId="77777777" w:rsidR="004B1EC2" w:rsidRPr="00816D84" w:rsidRDefault="004B1EC2" w:rsidP="00816D84">
      <w:pPr>
        <w:pStyle w:val="NummerierungStufe1"/>
        <w:numPr>
          <w:ilvl w:val="3"/>
          <w:numId w:val="12"/>
        </w:numPr>
        <w:rPr>
          <w:rStyle w:val="Marker"/>
          <w:color w:val="000000" w:themeColor="text1"/>
        </w:rPr>
      </w:pPr>
      <w:r w:rsidRPr="00816D84">
        <w:rPr>
          <w:rStyle w:val="Marker"/>
          <w:color w:val="000000" w:themeColor="text1"/>
        </w:rPr>
        <w:t>Uchyla się § 3 ust. 1 zdanie drugie.</w:t>
      </w:r>
    </w:p>
    <w:p w14:paraId="2984132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 5 otrzymuje brzmienie:</w:t>
      </w:r>
    </w:p>
    <w:p w14:paraId="4AE037DB" w14:textId="77777777" w:rsidR="004B1EC2" w:rsidRPr="004B1EC2" w:rsidRDefault="004B1EC2" w:rsidP="009F6A32">
      <w:pPr>
        <w:pStyle w:val="RevisionParagraphBezeichner"/>
        <w:keepLines/>
        <w:numPr>
          <w:ilvl w:val="1"/>
          <w:numId w:val="6"/>
        </w:numPr>
        <w:ind w:left="425"/>
        <w:rPr>
          <w:color w:val="000000" w:themeColor="text1"/>
        </w:rPr>
      </w:pPr>
      <w:r w:rsidRPr="004B1EC2">
        <w:rPr>
          <w:color w:val="000000" w:themeColor="text1"/>
        </w:rPr>
        <w:fldChar w:fldCharType="begin"/>
      </w:r>
      <w:r w:rsidRPr="004B1EC2">
        <w:rPr>
          <w:color w:val="000000" w:themeColor="text1"/>
        </w:rPr>
        <w:instrText xml:space="preserve"> ADVANCE  \l 20,55  </w:instrText>
      </w:r>
      <w:r w:rsidRPr="004B1EC2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</w:p>
    <w:p w14:paraId="16CBA13B" w14:textId="77777777" w:rsidR="004B1EC2" w:rsidRPr="004B1EC2" w:rsidRDefault="004B1EC2" w:rsidP="009F6A32">
      <w:pPr>
        <w:pStyle w:val="RevisionParagraphberschrift"/>
        <w:keepLines/>
        <w:ind w:left="425"/>
        <w:rPr>
          <w:color w:val="000000" w:themeColor="text1"/>
        </w:rPr>
      </w:pPr>
      <w:r>
        <w:rPr>
          <w:rStyle w:val="Marker"/>
          <w:color w:val="000000" w:themeColor="text1"/>
        </w:rPr>
        <w:t>Stosowanie witamin</w:t>
      </w:r>
    </w:p>
    <w:p w14:paraId="1CF511A7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W produkcji przetworów mlecznych witaminy wymienione w dodatku 2 mogą być stosowane do celów w nim określonych. Zawartość witamin nie może przekraczać maksymalnych ilości podanych w dodatku 2.</w:t>
      </w:r>
    </w:p>
    <w:p w14:paraId="00B2F682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lastRenderedPageBreak/>
        <w:t>Mleczarskie produkty tłuszczowe do smarowania, o których mowa w pkt 2 i 3 dodatku 2, to tłuszcze mleczne do smarowania w rozumieniu sekcji A pkt 2-4 dodatku II do załącznika VII do rozporządzenia Parlamentu Europejskiego i Rady (UE) nr 1308/2013 z dnia 17 grudnia 2013 r. ustanawiającego wspólną organizację rynków produktów rolnych oraz uchylającego rozporządzenia Rady (EWG) nr 922/72, (EWG) nr 234/79, (WE) nr 1037/2001 i (WE) nr 1234/2007 (Dz.U. L 347 z 20.12.2013, s. 671; L 189 z 27.6.2014, s. 261; L 130 z 19.5.2016, s. 18; L 34 z 9.2.2017, s. 41; L 106, 6.4.2020, s. 12), ostatnio zmienionego rozporządzeniem Parlamentu Europejskiego i Rady (UE) 2017/2393 z dnia 13 grudnia 2017 r. (Dz.U. L 350 z 29.12.2017, s. 15).</w:t>
      </w:r>
    </w:p>
    <w:p w14:paraId="6CA78D99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Witaminy wymienione w dodatku 2 mogą być również stosowane w produkcji dodanych środków spożywczych.</w:t>
      </w:r>
    </w:p>
    <w:p w14:paraId="72F02582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W drodze odstępstwa od § 16 ust. 1 zdanie pierwsze ustawy o środkach spożywczych i artykułach użytkowych nie ma obowiązku podawania zawartości witamin stosowanych zgodnie z ust. 1 i 3. § 3 ust. 2 pkt 3 pozostaje nienaruszony.”.</w:t>
      </w:r>
    </w:p>
    <w:p w14:paraId="01DBEC6F" w14:textId="77777777" w:rsidR="004B1EC2" w:rsidRPr="00816D84" w:rsidRDefault="004B1EC2" w:rsidP="00816D84">
      <w:pPr>
        <w:pStyle w:val="NummerierungStufe1"/>
        <w:numPr>
          <w:ilvl w:val="3"/>
          <w:numId w:val="13"/>
        </w:numPr>
        <w:rPr>
          <w:rStyle w:val="Marker"/>
          <w:color w:val="000000" w:themeColor="text1"/>
        </w:rPr>
      </w:pPr>
      <w:r w:rsidRPr="00816D84">
        <w:rPr>
          <w:rStyle w:val="Marker"/>
          <w:color w:val="000000" w:themeColor="text1"/>
        </w:rPr>
        <w:t>W § 7 ust. 2 słowo „dodatki” zastępuje się słowem „witaminy”.</w:t>
      </w:r>
    </w:p>
    <w:p w14:paraId="6D0A09B5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dodatku 2 wprowadza się następujące zmiany:</w:t>
      </w:r>
    </w:p>
    <w:p w14:paraId="3523451D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Nagłówek otrzymuje brzmienie:</w:t>
      </w:r>
    </w:p>
    <w:p w14:paraId="3C823EE0" w14:textId="09405537" w:rsidR="004B1EC2" w:rsidRPr="00161369" w:rsidRDefault="004B1EC2" w:rsidP="00816D84">
      <w:pPr>
        <w:pStyle w:val="RevisionAnlageBezeichner"/>
        <w:keepNext/>
        <w:keepLines/>
        <w:ind w:left="850"/>
        <w:rPr>
          <w:rStyle w:val="Marker"/>
          <w:color w:val="000000" w:themeColor="text1"/>
          <w:sz w:val="24"/>
          <w:szCs w:val="24"/>
        </w:rPr>
      </w:pPr>
      <w:r>
        <w:rPr>
          <w:rStyle w:val="Marker"/>
          <w:color w:val="000000" w:themeColor="text1"/>
          <w:sz w:val="24"/>
          <w:szCs w:val="24"/>
        </w:rPr>
        <w:t>„Dodatek 2 (do § 5 ust. 1)</w:t>
      </w:r>
      <w:r w:rsidR="00816D84">
        <w:rPr>
          <w:rStyle w:val="Marker"/>
          <w:color w:val="000000" w:themeColor="text1"/>
          <w:sz w:val="24"/>
          <w:szCs w:val="24"/>
        </w:rPr>
        <w:t xml:space="preserve"> </w:t>
      </w:r>
      <w:r>
        <w:rPr>
          <w:rStyle w:val="Marker"/>
          <w:color w:val="000000" w:themeColor="text1"/>
          <w:sz w:val="24"/>
          <w:szCs w:val="24"/>
        </w:rPr>
        <w:t>Witaminy”.</w:t>
      </w:r>
    </w:p>
    <w:p w14:paraId="6BB2DC88" w14:textId="77777777" w:rsidR="004B1EC2" w:rsidRPr="00161369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pkt 1 słowo „dodatki” zastępuje się słowem „witaminy”.</w:t>
      </w:r>
    </w:p>
    <w:p w14:paraId="71C50EA8" w14:textId="1C1FA961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Artykuł 4</w:t>
      </w:r>
    </w:p>
    <w:p w14:paraId="28886263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serów</w:t>
      </w:r>
    </w:p>
    <w:p w14:paraId="13333175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rozporządzeniu w sprawie serów w brzmieniu ogłoszonym dnia 14 kwietnia 1986 r. (Federalny Dz.U. I s. 412), ostatnio zmienionym artykułem 18 rozporządzenia z dnia 5 lipca 2017 r. (Federalny Dz.U. I s. 2272), wprowadza się następujące zmiany:</w:t>
      </w:r>
    </w:p>
    <w:p w14:paraId="2DFCFF8A" w14:textId="77777777" w:rsidR="004B1EC2" w:rsidRPr="00816D84" w:rsidRDefault="004B1EC2" w:rsidP="00816D84">
      <w:pPr>
        <w:pStyle w:val="NummerierungStufe1"/>
        <w:numPr>
          <w:ilvl w:val="3"/>
          <w:numId w:val="14"/>
        </w:numPr>
        <w:rPr>
          <w:rStyle w:val="Marker"/>
          <w:color w:val="000000" w:themeColor="text1"/>
        </w:rPr>
      </w:pPr>
      <w:r w:rsidRPr="00816D84">
        <w:rPr>
          <w:rStyle w:val="Marker"/>
          <w:color w:val="000000" w:themeColor="text1"/>
        </w:rPr>
        <w:t>Uchyla się § 14 ust. 1 zdanie drugie.</w:t>
      </w:r>
    </w:p>
    <w:p w14:paraId="5DE4272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Uchyla się § 23 zdanie czwarte.</w:t>
      </w:r>
    </w:p>
    <w:p w14:paraId="14BECAB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dodatku 1 sekcja A, kolumna 3 dotycząca odmian standardowych Camembert i Brie otrzymuje w każdym przypadku następujące brzmienie: </w:t>
      </w:r>
    </w:p>
    <w:p w14:paraId="767406F3" w14:textId="77777777" w:rsidR="004B1EC2" w:rsidRPr="00161369" w:rsidRDefault="004B1EC2" w:rsidP="009F6A32">
      <w:pPr>
        <w:pStyle w:val="RevisionJuristischerAbsatzFolgeabsatz"/>
        <w:ind w:left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„dojrzewanie wyłącznie z użyciem kultur </w:t>
      </w:r>
      <w:proofErr w:type="spellStart"/>
      <w:r>
        <w:rPr>
          <w:rStyle w:val="Marker"/>
          <w:color w:val="000000" w:themeColor="text1"/>
        </w:rPr>
        <w:t>Penicillium</w:t>
      </w:r>
      <w:proofErr w:type="spellEnd"/>
      <w:r>
        <w:rPr>
          <w:rStyle w:val="Marker"/>
          <w:color w:val="000000" w:themeColor="text1"/>
        </w:rPr>
        <w:t xml:space="preserve"> </w:t>
      </w:r>
      <w:proofErr w:type="spellStart"/>
      <w:r>
        <w:rPr>
          <w:rStyle w:val="Marker"/>
          <w:color w:val="000000" w:themeColor="text1"/>
        </w:rPr>
        <w:t>camembertii</w:t>
      </w:r>
      <w:proofErr w:type="spellEnd"/>
      <w:r>
        <w:rPr>
          <w:rStyle w:val="Marker"/>
          <w:color w:val="000000" w:themeColor="text1"/>
        </w:rPr>
        <w:t xml:space="preserve"> (pleśń Camembert) i </w:t>
      </w:r>
      <w:proofErr w:type="spellStart"/>
      <w:r>
        <w:rPr>
          <w:rStyle w:val="Marker"/>
          <w:color w:val="000000" w:themeColor="text1"/>
        </w:rPr>
        <w:t>Geotrichum</w:t>
      </w:r>
      <w:proofErr w:type="spellEnd"/>
      <w:r>
        <w:rPr>
          <w:rStyle w:val="Marker"/>
          <w:color w:val="000000" w:themeColor="text1"/>
        </w:rPr>
        <w:t xml:space="preserve"> </w:t>
      </w:r>
      <w:proofErr w:type="spellStart"/>
      <w:r>
        <w:rPr>
          <w:rStyle w:val="Marker"/>
          <w:color w:val="000000" w:themeColor="text1"/>
        </w:rPr>
        <w:t>candidum</w:t>
      </w:r>
      <w:proofErr w:type="spellEnd"/>
      <w:r>
        <w:rPr>
          <w:rStyle w:val="Marker"/>
          <w:color w:val="000000" w:themeColor="text1"/>
        </w:rPr>
        <w:t xml:space="preserve"> (pleśń mleczna)”.</w:t>
      </w:r>
    </w:p>
    <w:p w14:paraId="01AD89E5" w14:textId="0A7BDC52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Artykuł 5</w:t>
      </w:r>
    </w:p>
    <w:p w14:paraId="767AAB3C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masła</w:t>
      </w:r>
    </w:p>
    <w:p w14:paraId="5B08252A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Uchyla się § 2 ust. 4 i § 5 ust. 5 rozporządzenia w sprawie masła z dnia 3 lutego 1997 r. (Federalny Dz.U. I s. 144), ostatnio zmienionego artykułem 19 rozporządzenia z dnia 5 lipca 2017 r. (Federalny Dz.U. I s. 2272). </w:t>
      </w:r>
    </w:p>
    <w:p w14:paraId="57E2B04B" w14:textId="7846327C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lastRenderedPageBreak/>
        <w:t>Artykuł 6</w:t>
      </w:r>
    </w:p>
    <w:p w14:paraId="639767F4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wykonawczego do przejściowej ustawy piwnej</w:t>
      </w:r>
    </w:p>
    <w:p w14:paraId="427BF2B4" w14:textId="77777777" w:rsidR="004B1EC2" w:rsidRPr="00161369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W § 17 ust. 1 zdanie drugie rozporządzenia wykonawczego do przejściowej ustawy piwnej w brzmieniu ogłoszonym dnia 29 lipca 1993 r. (Federalny Dz.U. I s. 1422), ostatnio zmienionego artykułem 2 rozporządzenia z dnia 8 grudnia 2000 r. (Federalny Dz.U. I s. 1686), słowa „rozporządzenia w sprawie dopuszczenia do stosowania dodatków do żywności” zastępuje się słowami „rozporządzenia wykonawczego dotyczącego dodatków do żywności”.</w:t>
      </w:r>
    </w:p>
    <w:p w14:paraId="3BE8885B" w14:textId="4B5C7D0D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Artykuł 7</w:t>
      </w:r>
    </w:p>
    <w:p w14:paraId="22B54ACF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Zmiana rozporządzenia w sprawie niektórych napojów alkoholowych</w:t>
      </w:r>
    </w:p>
    <w:p w14:paraId="2003AE15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W § 10 ust. 6 rozporządzenia w sprawie napojów alkoholowych w brzmieniu ogłoszonym dnia 30 czerwca 2003 r. (Federalny Dz.U. I s. 1255), ostatnio zmienionego artykułem 15 rozporządzenia z dnia 5 lipca 2017 r. (Federalny Dz.U. I s. 2272), słowa „rozporządzenia w sprawie dopuszczenia do stosowania dodatków do żywności” zastępuje się słowami „rozporządzenia wykonawczego dotyczącego dodatków do żywności”. </w:t>
      </w:r>
    </w:p>
    <w:p w14:paraId="483A2F06" w14:textId="521AD657" w:rsidR="004B1EC2" w:rsidRPr="004B1EC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Artykuł 8</w:t>
      </w:r>
    </w:p>
    <w:p w14:paraId="7B2AD962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Wejście w życie, utrata mocy obowiązującej</w:t>
      </w:r>
    </w:p>
    <w:p w14:paraId="35E28D7F" w14:textId="77777777" w:rsidR="004B1EC2" w:rsidRPr="004B1EC2" w:rsidRDefault="004B1EC2" w:rsidP="009F6A32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>Niniejsze rozporządzenie wchodzi w życie w dniu następującym po jego ogłoszeniu. Jednocześnie moc obowiązującą tracą: rozporządzenie w sprawie dopuszczenia do stosowania dodatków do żywności w brzmieniu ogłoszonym dnia 29 stycznia 1998 r. (Federalny Dz.U. I s. 130), ostatnio zmienione artykułem 23 rozporządzenia z dnia 5 lipca 2017 r. (Federalny Dz.U. I s. 2272), i rozporządzenie w sprawie wprowadzania do obrotu dodatków do żywności z dnia 29 stycznia 1998 r. (Federalny Dz.U. I, s. 230, 269), ostatnio zmienione artykułem 2 rozporządzenia z dnia 28 marca 2011 r. (Federalny Dz.U. I s. 530).</w:t>
      </w:r>
    </w:p>
    <w:p w14:paraId="4F5B1595" w14:textId="77777777" w:rsidR="004B1EC2" w:rsidRPr="004B1EC2" w:rsidRDefault="004B1EC2" w:rsidP="009F6A32">
      <w:pPr>
        <w:pStyle w:val="Schlussformel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Bundesrat wyraził zgodę na te przepisy.</w:t>
      </w:r>
    </w:p>
    <w:p w14:paraId="7457C3CD" w14:textId="77777777" w:rsidR="004B1EC2" w:rsidRPr="004B1EC2" w:rsidRDefault="004B1EC2" w:rsidP="009F6A32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Bonn, dnia…………</w:t>
      </w:r>
    </w:p>
    <w:p w14:paraId="65FF8508" w14:textId="77777777" w:rsidR="004B1EC2" w:rsidRPr="004B1EC2" w:rsidRDefault="004B1EC2" w:rsidP="009F6A32">
      <w:pPr>
        <w:pStyle w:val="Organisation"/>
        <w:keepNext/>
        <w:keepLines/>
        <w:rPr>
          <w:color w:val="000000" w:themeColor="text1"/>
        </w:rPr>
      </w:pPr>
      <w:r>
        <w:rPr>
          <w:color w:val="000000" w:themeColor="text1"/>
        </w:rPr>
        <w:t>Federalne Ministerstwo Żywności i Rolnictwa</w:t>
      </w:r>
    </w:p>
    <w:p w14:paraId="169F83F6" w14:textId="77777777" w:rsidR="004B1EC2" w:rsidRPr="004B1EC2" w:rsidRDefault="004B1EC2" w:rsidP="009F6A32">
      <w:pPr>
        <w:pStyle w:val="Person"/>
        <w:rPr>
          <w:color w:val="000000" w:themeColor="text1"/>
        </w:rPr>
      </w:pPr>
      <w:r>
        <w:rPr>
          <w:color w:val="000000" w:themeColor="text1"/>
        </w:rPr>
        <w:t xml:space="preserve">Julia </w:t>
      </w:r>
      <w:proofErr w:type="spellStart"/>
      <w:r>
        <w:rPr>
          <w:color w:val="000000" w:themeColor="text1"/>
        </w:rPr>
        <w:t>Klöckner</w:t>
      </w:r>
      <w:proofErr w:type="spellEnd"/>
    </w:p>
    <w:sectPr w:rsidR="004B1EC2" w:rsidRPr="004B1EC2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87C0D" w14:textId="77777777" w:rsidR="00B74C1C" w:rsidRDefault="00B74C1C" w:rsidP="004B1EC2">
      <w:pPr>
        <w:spacing w:after="0" w:line="240" w:lineRule="auto"/>
      </w:pPr>
      <w:r>
        <w:separator/>
      </w:r>
    </w:p>
  </w:endnote>
  <w:endnote w:type="continuationSeparator" w:id="0">
    <w:p w14:paraId="5C219FBD" w14:textId="77777777" w:rsidR="00B74C1C" w:rsidRDefault="00B74C1C" w:rsidP="004B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DAA2D" w14:textId="77777777" w:rsidR="00B74C1C" w:rsidRDefault="00B74C1C" w:rsidP="004B1EC2">
      <w:pPr>
        <w:spacing w:after="0" w:line="240" w:lineRule="auto"/>
      </w:pPr>
      <w:r>
        <w:separator/>
      </w:r>
    </w:p>
  </w:footnote>
  <w:footnote w:type="continuationSeparator" w:id="0">
    <w:p w14:paraId="5172F550" w14:textId="77777777" w:rsidR="00B74C1C" w:rsidRDefault="00B74C1C" w:rsidP="004B1EC2">
      <w:pPr>
        <w:spacing w:after="0" w:line="240" w:lineRule="auto"/>
      </w:pPr>
      <w:r>
        <w:continuationSeparator/>
      </w:r>
    </w:p>
  </w:footnote>
  <w:footnote w:id="1">
    <w:p w14:paraId="724C6D1D" w14:textId="77777777" w:rsidR="004B1EC2" w:rsidRPr="00D671AA" w:rsidRDefault="004B1EC2" w:rsidP="004B1EC2">
      <w:pPr>
        <w:pStyle w:val="FootnoteText"/>
      </w:pPr>
      <w:r>
        <w:rPr>
          <w:rStyle w:val="FootnoteReference"/>
        </w:rPr>
        <w:footnoteRef/>
      </w:r>
      <w:r>
        <w:t>)</w:t>
      </w:r>
      <w:r>
        <w:tab/>
        <w:t>Uwzględniono zobowiązania wynikające z dyrektywy (UE) 2015/1535 Parlamentu Europejskiego i Rady z dnia 9 września 2015 r. ustanawiającej procedurę udzielania informacji w dziedzinie przepisów technicznych oraz zasad dotyczących usług społeczeństwa informacyjnego (ujednolicenie) (Dz.U. L 241 z 17.9.2015,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427F" w14:textId="77777777" w:rsidR="004B1EC2" w:rsidRDefault="00B74C1C">
    <w:pPr>
      <w:pStyle w:val="Header"/>
    </w:pPr>
    <w:r>
      <w:pict w14:anchorId="0BEF75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4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2745" w14:textId="77777777" w:rsidR="004B1EC2" w:rsidRDefault="00B74C1C">
    <w:pPr>
      <w:pStyle w:val="Header"/>
    </w:pPr>
    <w:r>
      <w:pict w14:anchorId="7C750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5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F64D" w14:textId="77777777" w:rsidR="004B1EC2" w:rsidRDefault="00B74C1C">
    <w:pPr>
      <w:pStyle w:val="Header"/>
    </w:pPr>
    <w:r>
      <w:pict w14:anchorId="30F99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3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504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C2"/>
    <w:rsid w:val="00161369"/>
    <w:rsid w:val="00233D4F"/>
    <w:rsid w:val="003E792C"/>
    <w:rsid w:val="00477483"/>
    <w:rsid w:val="004B1EC2"/>
    <w:rsid w:val="00517864"/>
    <w:rsid w:val="00680806"/>
    <w:rsid w:val="006C68D8"/>
    <w:rsid w:val="006D4BDD"/>
    <w:rsid w:val="006F6E6A"/>
    <w:rsid w:val="007C68A5"/>
    <w:rsid w:val="00816D84"/>
    <w:rsid w:val="008A0FC8"/>
    <w:rsid w:val="009F6A32"/>
    <w:rsid w:val="00B74C1C"/>
    <w:rsid w:val="00F123C0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5E21F1"/>
  <w15:chartTrackingRefBased/>
  <w15:docId w15:val="{993837E0-855A-4B96-BB7A-84863BF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1EC2"/>
    <w:pPr>
      <w:spacing w:after="0" w:line="240" w:lineRule="auto"/>
      <w:ind w:left="720" w:hanging="720"/>
      <w:jc w:val="both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EC2"/>
    <w:rPr>
      <w:rFonts w:ascii="Arial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EC2"/>
    <w:rPr>
      <w:shd w:val="clear" w:color="auto" w:fill="auto"/>
      <w:vertAlign w:val="superscript"/>
    </w:rPr>
  </w:style>
  <w:style w:type="character" w:customStyle="1" w:styleId="Marker">
    <w:name w:val="Marker"/>
    <w:basedOn w:val="DefaultParagraphFont"/>
    <w:rsid w:val="004B1EC2"/>
    <w:rPr>
      <w:color w:val="0000FF"/>
      <w:shd w:val="clear" w:color="auto" w:fill="auto"/>
    </w:rPr>
  </w:style>
  <w:style w:type="paragraph" w:customStyle="1" w:styleId="NummerierungStufe1">
    <w:name w:val="Nummerierung (Stufe 1)"/>
    <w:basedOn w:val="Normal"/>
    <w:rsid w:val="004B1EC2"/>
    <w:pPr>
      <w:numPr>
        <w:ilvl w:val="3"/>
        <w:numId w:val="2"/>
      </w:numPr>
      <w:spacing w:before="120" w:after="120" w:line="240" w:lineRule="auto"/>
      <w:jc w:val="both"/>
      <w:outlineLvl w:val="5"/>
    </w:pPr>
    <w:rPr>
      <w:rFonts w:ascii="Arial" w:hAnsi="Arial" w:cs="Arial"/>
    </w:rPr>
  </w:style>
  <w:style w:type="paragraph" w:customStyle="1" w:styleId="NummerierungStufe2">
    <w:name w:val="Nummerierung (Stufe 2)"/>
    <w:basedOn w:val="Normal"/>
    <w:rsid w:val="004B1EC2"/>
    <w:pPr>
      <w:numPr>
        <w:ilvl w:val="4"/>
        <w:numId w:val="2"/>
      </w:numPr>
      <w:tabs>
        <w:tab w:val="clear" w:pos="1135"/>
        <w:tab w:val="num" w:pos="850"/>
      </w:tabs>
      <w:spacing w:before="120" w:after="120" w:line="240" w:lineRule="auto"/>
      <w:ind w:left="850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Normal"/>
    <w:rsid w:val="004B1EC2"/>
    <w:pPr>
      <w:numPr>
        <w:ilvl w:val="5"/>
        <w:numId w:val="2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Normal"/>
    <w:rsid w:val="004B1EC2"/>
    <w:pPr>
      <w:numPr>
        <w:ilvl w:val="6"/>
        <w:numId w:val="2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BezeichnungStammdokument">
    <w:name w:val="Bezeichnung (Stammdokument)"/>
    <w:basedOn w:val="Normal"/>
    <w:next w:val="Kurzbezeichnung-AbkrzungStammdokument"/>
    <w:rsid w:val="004B1EC2"/>
    <w:pPr>
      <w:spacing w:before="120" w:after="12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4B1EC2"/>
    <w:pPr>
      <w:spacing w:before="120" w:after="120" w:line="240" w:lineRule="auto"/>
      <w:jc w:val="center"/>
    </w:pPr>
    <w:rPr>
      <w:rFonts w:ascii="Arial" w:hAnsi="Arial" w:cs="Arial"/>
      <w:b/>
      <w:sz w:val="28"/>
    </w:rPr>
  </w:style>
  <w:style w:type="paragraph" w:customStyle="1" w:styleId="ParagraphBezeichner">
    <w:name w:val="Paragraph Bezeichner"/>
    <w:basedOn w:val="Normal"/>
    <w:next w:val="Paragraphberschrift"/>
    <w:rsid w:val="004B1EC2"/>
    <w:pPr>
      <w:keepNext/>
      <w:numPr>
        <w:ilvl w:val="1"/>
        <w:numId w:val="2"/>
      </w:numPr>
      <w:spacing w:before="480" w:after="120" w:line="240" w:lineRule="auto"/>
      <w:jc w:val="center"/>
      <w:outlineLvl w:val="3"/>
    </w:pPr>
    <w:rPr>
      <w:rFonts w:ascii="Arial" w:hAnsi="Arial" w:cs="Arial"/>
    </w:rPr>
  </w:style>
  <w:style w:type="paragraph" w:customStyle="1" w:styleId="Paragraphberschrift">
    <w:name w:val="Paragraph Überschrift"/>
    <w:basedOn w:val="Normal"/>
    <w:next w:val="JuristischerAbsatznummeriert"/>
    <w:rsid w:val="004B1EC2"/>
    <w:pPr>
      <w:keepNext/>
      <w:spacing w:before="120" w:after="120" w:line="240" w:lineRule="auto"/>
      <w:jc w:val="center"/>
      <w:outlineLvl w:val="3"/>
    </w:pPr>
    <w:rPr>
      <w:rFonts w:ascii="Arial" w:hAnsi="Arial" w:cs="Arial"/>
      <w:b/>
    </w:rPr>
  </w:style>
  <w:style w:type="paragraph" w:customStyle="1" w:styleId="JuristischerAbsatznummeriert">
    <w:name w:val="Juristischer Absatz (nummeriert)"/>
    <w:basedOn w:val="Normal"/>
    <w:rsid w:val="004B1EC2"/>
    <w:pPr>
      <w:numPr>
        <w:ilvl w:val="2"/>
        <w:numId w:val="2"/>
      </w:numPr>
      <w:spacing w:before="120" w:after="120" w:line="240" w:lineRule="auto"/>
      <w:jc w:val="both"/>
      <w:outlineLvl w:val="4"/>
    </w:pPr>
    <w:rPr>
      <w:rFonts w:ascii="Arial" w:hAnsi="Arial" w:cs="Arial"/>
    </w:rPr>
  </w:style>
  <w:style w:type="paragraph" w:customStyle="1" w:styleId="JuristischerAbsatznichtnummeriert">
    <w:name w:val="Juristischer Absatz (nicht nummeriert)"/>
    <w:basedOn w:val="Normal"/>
    <w:next w:val="NummerierungStufe1"/>
    <w:rsid w:val="004B1EC2"/>
    <w:pPr>
      <w:spacing w:before="120" w:after="120" w:line="240" w:lineRule="auto"/>
      <w:ind w:firstLine="425"/>
      <w:jc w:val="both"/>
      <w:outlineLvl w:val="4"/>
    </w:pPr>
    <w:rPr>
      <w:rFonts w:ascii="Arial" w:hAnsi="Arial" w:cs="Arial"/>
    </w:rPr>
  </w:style>
  <w:style w:type="paragraph" w:customStyle="1" w:styleId="JuristischerAbsatzFolgeabsatz">
    <w:name w:val="Juristischer Absatz Folgeabsatz"/>
    <w:basedOn w:val="Normal"/>
    <w:rsid w:val="004B1EC2"/>
    <w:pPr>
      <w:tabs>
        <w:tab w:val="left" w:pos="0"/>
      </w:tabs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Schlussformel">
    <w:name w:val="Schlussformel"/>
    <w:basedOn w:val="Normal"/>
    <w:next w:val="OrtDatum"/>
    <w:rsid w:val="004B1EC2"/>
    <w:pPr>
      <w:spacing w:before="240" w:after="120" w:line="240" w:lineRule="auto"/>
    </w:pPr>
    <w:rPr>
      <w:rFonts w:ascii="Arial" w:hAnsi="Arial" w:cs="Arial"/>
    </w:rPr>
  </w:style>
  <w:style w:type="paragraph" w:customStyle="1" w:styleId="Dokumentstatus">
    <w:name w:val="Dokumentstatus"/>
    <w:basedOn w:val="Normal"/>
    <w:rsid w:val="004B1EC2"/>
    <w:pPr>
      <w:spacing w:before="120" w:after="120" w:line="240" w:lineRule="auto"/>
      <w:jc w:val="both"/>
    </w:pPr>
    <w:rPr>
      <w:rFonts w:ascii="Arial" w:hAnsi="Arial" w:cs="Arial"/>
      <w:b/>
      <w:sz w:val="30"/>
    </w:rPr>
  </w:style>
  <w:style w:type="paragraph" w:customStyle="1" w:styleId="Organisation">
    <w:name w:val="Organisation"/>
    <w:basedOn w:val="Normal"/>
    <w:next w:val="Person"/>
    <w:rsid w:val="004B1EC2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OrtDatum">
    <w:name w:val="Ort/Datum"/>
    <w:basedOn w:val="Normal"/>
    <w:next w:val="Organisation"/>
    <w:rsid w:val="004B1EC2"/>
    <w:pPr>
      <w:spacing w:before="120" w:after="120" w:line="240" w:lineRule="auto"/>
      <w:jc w:val="right"/>
    </w:pPr>
    <w:rPr>
      <w:rFonts w:ascii="Arial" w:hAnsi="Arial" w:cs="Arial"/>
    </w:rPr>
  </w:style>
  <w:style w:type="paragraph" w:customStyle="1" w:styleId="Person">
    <w:name w:val="Person"/>
    <w:basedOn w:val="Normal"/>
    <w:next w:val="Organisation"/>
    <w:rsid w:val="004B1EC2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RevisionJuristischerAbsatz">
    <w:name w:val="Revision Juristischer Absatz"/>
    <w:basedOn w:val="Normal"/>
    <w:rsid w:val="004B1EC2"/>
    <w:pPr>
      <w:numPr>
        <w:ilvl w:val="2"/>
        <w:numId w:val="3"/>
      </w:numPr>
      <w:spacing w:before="120" w:after="120" w:line="240" w:lineRule="auto"/>
      <w:jc w:val="both"/>
      <w:outlineLvl w:val="8"/>
    </w:pPr>
    <w:rPr>
      <w:rFonts w:ascii="Arial" w:hAnsi="Arial" w:cs="Arial"/>
      <w:color w:val="800000"/>
    </w:rPr>
  </w:style>
  <w:style w:type="paragraph" w:customStyle="1" w:styleId="RevisionJuristischerAbsatzFolgeabsatz">
    <w:name w:val="Revision Juristischer Absatz Folgeabsatz"/>
    <w:basedOn w:val="Normal"/>
    <w:rsid w:val="004B1EC2"/>
    <w:p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Normal"/>
    <w:rsid w:val="004B1EC2"/>
    <w:pPr>
      <w:numPr>
        <w:ilvl w:val="3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Normal"/>
    <w:rsid w:val="004B1EC2"/>
    <w:pPr>
      <w:numPr>
        <w:ilvl w:val="4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Normal"/>
    <w:rsid w:val="004B1EC2"/>
    <w:pPr>
      <w:numPr>
        <w:ilvl w:val="5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Normal"/>
    <w:rsid w:val="004B1EC2"/>
    <w:pPr>
      <w:numPr>
        <w:ilvl w:val="6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character" w:customStyle="1" w:styleId="RevisionText">
    <w:name w:val="Revision Text"/>
    <w:basedOn w:val="DefaultParagraphFont"/>
    <w:rsid w:val="004B1EC2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4B1EC2"/>
    <w:pPr>
      <w:keepNext/>
      <w:numPr>
        <w:ilvl w:val="1"/>
        <w:numId w:val="3"/>
      </w:numPr>
      <w:spacing w:before="480" w:after="120" w:line="240" w:lineRule="auto"/>
      <w:ind w:left="0"/>
      <w:jc w:val="center"/>
      <w:outlineLvl w:val="7"/>
    </w:pPr>
    <w:rPr>
      <w:rFonts w:ascii="Arial" w:hAnsi="Arial" w:cs="Arial"/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4B1EC2"/>
    <w:pPr>
      <w:keepNext/>
      <w:spacing w:before="120" w:after="120" w:line="240" w:lineRule="auto"/>
      <w:jc w:val="center"/>
      <w:outlineLvl w:val="7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Normal"/>
    <w:next w:val="Normal"/>
    <w:rsid w:val="004B1EC2"/>
    <w:pPr>
      <w:keepNext/>
      <w:numPr>
        <w:numId w:val="3"/>
      </w:numPr>
      <w:spacing w:before="480" w:after="240" w:line="240" w:lineRule="auto"/>
      <w:jc w:val="center"/>
      <w:outlineLvl w:val="7"/>
    </w:pPr>
    <w:rPr>
      <w:rFonts w:ascii="Arial" w:hAnsi="Arial" w:cs="Arial"/>
      <w:color w:val="800000"/>
      <w:sz w:val="28"/>
    </w:rPr>
  </w:style>
  <w:style w:type="paragraph" w:customStyle="1" w:styleId="RevisionAnlageBezeichner">
    <w:name w:val="Revision Anlage Bezeichner"/>
    <w:basedOn w:val="Normal"/>
    <w:next w:val="Normal"/>
    <w:rsid w:val="004B1EC2"/>
    <w:pPr>
      <w:spacing w:before="240" w:after="120" w:line="240" w:lineRule="auto"/>
      <w:jc w:val="right"/>
      <w:outlineLvl w:val="6"/>
    </w:pPr>
    <w:rPr>
      <w:rFonts w:ascii="Arial" w:hAnsi="Arial" w:cs="Arial"/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4B1EC2"/>
    <w:pPr>
      <w:spacing w:before="120" w:after="120" w:line="240" w:lineRule="auto"/>
      <w:jc w:val="center"/>
      <w:outlineLvl w:val="6"/>
    </w:pPr>
    <w:rPr>
      <w:rFonts w:ascii="Arial" w:hAnsi="Arial" w:cs="Arial"/>
      <w:color w:val="800000"/>
      <w:sz w:val="26"/>
    </w:rPr>
  </w:style>
  <w:style w:type="paragraph" w:customStyle="1" w:styleId="Bezeichnungnderungsdokument">
    <w:name w:val="Bezeichnung (Änderungsdokument)"/>
    <w:basedOn w:val="Normal"/>
    <w:next w:val="Normal"/>
    <w:rsid w:val="004B1EC2"/>
    <w:pPr>
      <w:spacing w:before="120" w:after="120" w:line="240" w:lineRule="auto"/>
      <w:jc w:val="center"/>
      <w:outlineLvl w:val="0"/>
    </w:pPr>
    <w:rPr>
      <w:rFonts w:ascii="Arial" w:hAnsi="Arial" w:cs="Arial"/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4B1EC2"/>
    <w:pPr>
      <w:spacing w:before="240" w:after="120" w:line="240" w:lineRule="auto"/>
      <w:jc w:val="center"/>
    </w:pPr>
    <w:rPr>
      <w:rFonts w:ascii="Arial" w:hAnsi="Arial" w:cs="Arial"/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4B1EC2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Normal"/>
    <w:next w:val="Artikelberschrift"/>
    <w:rsid w:val="004B1EC2"/>
    <w:pPr>
      <w:keepNext/>
      <w:numPr>
        <w:numId w:val="2"/>
      </w:numPr>
      <w:spacing w:before="480" w:after="24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4B1EC2"/>
    <w:pPr>
      <w:keepNext/>
      <w:spacing w:before="120" w:after="24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B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C2"/>
  </w:style>
  <w:style w:type="paragraph" w:styleId="Footer">
    <w:name w:val="footer"/>
    <w:basedOn w:val="Normal"/>
    <w:link w:val="FooterChar"/>
    <w:uiPriority w:val="99"/>
    <w:unhideWhenUsed/>
    <w:rsid w:val="004B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C2"/>
  </w:style>
  <w:style w:type="character" w:styleId="CommentReference">
    <w:name w:val="annotation reference"/>
    <w:basedOn w:val="DefaultParagraphFont"/>
    <w:uiPriority w:val="99"/>
    <w:semiHidden/>
    <w:unhideWhenUsed/>
    <w:rsid w:val="006C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/>
  <dc:description/>
  <cp:lastModifiedBy>Liu, Lei</cp:lastModifiedBy>
  <cp:revision>5</cp:revision>
  <dcterms:created xsi:type="dcterms:W3CDTF">2020-11-17T09:54:00Z</dcterms:created>
  <dcterms:modified xsi:type="dcterms:W3CDTF">2020-12-01T13:17:00Z</dcterms:modified>
</cp:coreProperties>
</file>