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E25C5" w14:textId="2411FCC9" w:rsidR="00C65888" w:rsidRPr="00C65888" w:rsidRDefault="00C65888" w:rsidP="00C65888">
      <w:pPr>
        <w:rPr>
          <w:sz w:val="20"/>
          <w:rFonts w:ascii="Courier New" w:hAnsi="Courier New"/>
        </w:rPr>
      </w:pPr>
      <w:bookmarkStart w:id="0" w:name="_Hlk56534517"/>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0711 D-- FR- ------ 20201124 --- --- IMPACT</w:t>
      </w:r>
    </w:p>
    <w:bookmarkEnd w:id="0"/>
    <w:p w14:paraId="51E40846" w14:textId="051BB52E" w:rsidR="00620BBC" w:rsidRPr="00B6487E" w:rsidRDefault="00620BBC" w:rsidP="00C65888">
      <w:pPr>
        <w:pStyle w:val="VorblattDokumentstatus"/>
        <w:spacing w:line="360" w:lineRule="auto"/>
      </w:pPr>
      <w:r>
        <w:t xml:space="preserve">Avant-projet de loi</w:t>
        <w:br/>
      </w:r>
      <w:r>
        <w:rPr>
          <w:sz w:val="26"/>
          <w:szCs w:val="26"/>
        </w:rPr>
        <w:t xml:space="preserve">du ministère fédéral de l'alimentation et de l'agriculture</w:t>
      </w:r>
    </w:p>
    <w:p w14:paraId="341E3F1F" w14:textId="7519CC8A" w:rsidR="00620BBC" w:rsidRPr="00B6487E" w:rsidRDefault="00620BBC" w:rsidP="00C65888">
      <w:pPr>
        <w:pStyle w:val="VorblattBezeichnung"/>
      </w:pPr>
      <w:r>
        <w:t xml:space="preserve">Décret sur la réorganisation des règles établies dans le domaine des additifs alimentaires</w:t>
      </w:r>
    </w:p>
    <w:p w14:paraId="032B379C" w14:textId="77777777" w:rsidR="00BF08F3" w:rsidRDefault="00BF08F3" w:rsidP="00C65888">
      <w:pPr>
        <w:sectPr w:rsidR="00BF08F3" w:rsidSect="00C37337">
          <w:headerReference w:type="default" r:id="rId8"/>
          <w:headerReference w:type="first" r:id="rId9"/>
          <w:pgSz w:w="11907" w:h="16839"/>
          <w:pgMar w:top="1134" w:right="1417" w:bottom="1134" w:left="1701" w:header="709" w:footer="709" w:gutter="0"/>
          <w:cols w:space="708"/>
          <w:titlePg/>
          <w:docGrid w:linePitch="360"/>
        </w:sectPr>
      </w:pPr>
    </w:p>
    <w:p w14:paraId="2C00FDCE" w14:textId="77777777" w:rsidR="00620BBC" w:rsidRDefault="00620BBC" w:rsidP="00C65888">
      <w:pPr>
        <w:pStyle w:val="BegrndungTitel"/>
        <w:keepLines/>
      </w:pPr>
      <w:r>
        <w:t xml:space="preserve">Exposé des motifs</w:t>
      </w:r>
    </w:p>
    <w:p w14:paraId="3D15846B" w14:textId="77777777" w:rsidR="00620BBC" w:rsidRPr="00D33B34" w:rsidRDefault="00620BBC" w:rsidP="00C65888">
      <w:pPr>
        <w:pStyle w:val="BegrndungAllgemeinerTeil"/>
        <w:keepLines/>
        <w:rPr>
          <w:color w:val="000000" w:themeColor="text1"/>
        </w:rPr>
      </w:pPr>
      <w:r>
        <w:rPr>
          <w:color w:val="000000" w:themeColor="text1"/>
        </w:rPr>
        <w:t xml:space="preserve">A. Partie générale</w:t>
      </w:r>
    </w:p>
    <w:p w14:paraId="7D85D505" w14:textId="77777777" w:rsidR="00620BBC" w:rsidRPr="00D33B34" w:rsidRDefault="00620BBC" w:rsidP="00C65888">
      <w:pPr>
        <w:pStyle w:val="berschriftrmischBegrndung"/>
        <w:keepLines/>
        <w:numPr>
          <w:ilvl w:val="0"/>
          <w:numId w:val="4"/>
        </w:numPr>
        <w:rPr>
          <w:color w:val="000000" w:themeColor="text1"/>
        </w:rPr>
      </w:pPr>
      <w:r>
        <w:rPr>
          <w:color w:val="000000" w:themeColor="text1"/>
        </w:rPr>
        <w:t xml:space="preserve">Objectif et nécessité de la réglementation</w:t>
      </w:r>
    </w:p>
    <w:p w14:paraId="124A28BD" w14:textId="77777777" w:rsidR="00620BBC" w:rsidRPr="00D33B34" w:rsidRDefault="00620BBC" w:rsidP="00C65888">
      <w:pPr>
        <w:pStyle w:val="Text"/>
        <w:rPr>
          <w:color w:val="000000" w:themeColor="text1"/>
        </w:rPr>
      </w:pPr>
      <w:r>
        <w:rPr>
          <w:rStyle w:val="Marker"/>
          <w:color w:val="000000" w:themeColor="text1"/>
        </w:rPr>
        <w:t xml:space="preserve">La législation nationale sur les additifs alimentaires, en particulier le décret sur l'autorisation des additifs alimentaires et le décret relatif à la commercialisation des additifs alimentaires, est en grande partie couverte par le droit de l'Union directement applicable.</w:t>
      </w:r>
      <w:r>
        <w:rPr>
          <w:rStyle w:val="Marker"/>
          <w:color w:val="000000" w:themeColor="text1"/>
        </w:rPr>
        <w:t xml:space="preserve"> </w:t>
      </w:r>
      <w:r>
        <w:rPr>
          <w:rStyle w:val="Marker"/>
          <w:color w:val="000000" w:themeColor="text1"/>
        </w:rPr>
        <w:t xml:space="preserve">Il convient donc de l’adapter.</w:t>
      </w:r>
    </w:p>
    <w:p w14:paraId="4209A151" w14:textId="77777777" w:rsidR="00620BBC" w:rsidRPr="00D33B34" w:rsidRDefault="00620BBC" w:rsidP="00C65888">
      <w:pPr>
        <w:pStyle w:val="berschriftrmischBegrndung"/>
        <w:keepLines/>
        <w:rPr>
          <w:color w:val="000000" w:themeColor="text1"/>
        </w:rPr>
      </w:pPr>
      <w:r>
        <w:rPr>
          <w:color w:val="000000" w:themeColor="text1"/>
        </w:rPr>
        <w:t xml:space="preserve">Contenu essentiel du projet</w:t>
      </w:r>
    </w:p>
    <w:p w14:paraId="067E8548" w14:textId="2A320BE9" w:rsidR="00B146E1" w:rsidRPr="00D33B34" w:rsidRDefault="00620BBC" w:rsidP="00C65888">
      <w:pPr>
        <w:pStyle w:val="Text"/>
        <w:rPr>
          <w:rStyle w:val="Marker"/>
          <w:color w:val="000000" w:themeColor="text1"/>
        </w:rPr>
      </w:pPr>
      <w:r>
        <w:rPr>
          <w:rStyle w:val="Marker"/>
          <w:color w:val="000000" w:themeColor="text1"/>
        </w:rPr>
        <w:t xml:space="preserve">Les dispositions du décret sur l'autorisation des additifs alimentaires et du décret sur la commercialisation des additifs alimentaires, qui doivent être maintenues, sont résumées dans le décret mettant en œuvre la législation de l'Union sur les additifs alimentaires.</w:t>
      </w:r>
      <w:r>
        <w:rPr>
          <w:rStyle w:val="Marker"/>
          <w:color w:val="000000" w:themeColor="text1"/>
        </w:rPr>
        <w:t xml:space="preserve"> </w:t>
      </w:r>
      <w:r>
        <w:rPr>
          <w:rStyle w:val="Marker"/>
          <w:color w:val="000000" w:themeColor="text1"/>
        </w:rPr>
        <w:t xml:space="preserve">Le champ d'application de la réglementation ne justifie pas le maintien de deux décrets distincts.</w:t>
      </w:r>
      <w:r>
        <w:rPr>
          <w:rStyle w:val="Marker"/>
          <w:color w:val="000000" w:themeColor="text1"/>
        </w:rPr>
        <w:t xml:space="preserve"> </w:t>
      </w:r>
      <w:r>
        <w:rPr>
          <w:rStyle w:val="Marker"/>
          <w:color w:val="000000" w:themeColor="text1"/>
        </w:rPr>
        <w:t xml:space="preserve">La réglementation actuelle sur les bases de gommes à mâcher ne sera pas conservée en raison de l'insuffisance des données à disposition et de l'absence d'une évaluation des risques appropriée.</w:t>
      </w:r>
      <w:r>
        <w:rPr>
          <w:rStyle w:val="Marker"/>
          <w:color w:val="000000" w:themeColor="text1"/>
        </w:rPr>
        <w:t xml:space="preserve"> </w:t>
      </w:r>
      <w:r>
        <w:rPr>
          <w:rStyle w:val="Marker"/>
          <w:color w:val="000000" w:themeColor="text1"/>
        </w:rPr>
        <w:t xml:space="preserve">Les dispositions générales concernant les denrées alimentaires pour la production de gommes à mâcher doivent être respectées.</w:t>
      </w:r>
      <w:r>
        <w:rPr>
          <w:rStyle w:val="Marker"/>
          <w:color w:val="000000" w:themeColor="text1"/>
        </w:rPr>
        <w:t xml:space="preserve"> </w:t>
      </w:r>
    </w:p>
    <w:p w14:paraId="3ECBE15D" w14:textId="77777777" w:rsidR="00620BBC" w:rsidRPr="00D33B34" w:rsidRDefault="00620D6D" w:rsidP="00C65888">
      <w:pPr>
        <w:pStyle w:val="Text"/>
        <w:rPr>
          <w:color w:val="000000" w:themeColor="text1"/>
        </w:rPr>
      </w:pPr>
      <w:r>
        <w:rPr>
          <w:rStyle w:val="Marker"/>
          <w:color w:val="000000" w:themeColor="text1"/>
        </w:rPr>
        <w:t xml:space="preserve">D'autres actes juridiques nationaux apporteront les modifications corrélatives correspondantes.</w:t>
      </w:r>
    </w:p>
    <w:p w14:paraId="2E918E31" w14:textId="77777777" w:rsidR="00620BBC" w:rsidRPr="00D33B34" w:rsidRDefault="00620BBC" w:rsidP="00C65888">
      <w:pPr>
        <w:pStyle w:val="berschriftrmischBegrndung"/>
        <w:keepLines/>
        <w:rPr>
          <w:color w:val="000000" w:themeColor="text1"/>
        </w:rPr>
      </w:pPr>
      <w:r>
        <w:rPr>
          <w:color w:val="000000" w:themeColor="text1"/>
        </w:rPr>
        <w:t xml:space="preserve">Alternatives</w:t>
      </w:r>
    </w:p>
    <w:p w14:paraId="2108CCBD" w14:textId="77777777" w:rsidR="00620BBC" w:rsidRPr="00D33B34" w:rsidRDefault="00620BBC" w:rsidP="00C65888">
      <w:pPr>
        <w:pStyle w:val="Text"/>
        <w:rPr>
          <w:color w:val="000000" w:themeColor="text1"/>
        </w:rPr>
      </w:pPr>
      <w:r>
        <w:rPr>
          <w:rStyle w:val="Marker"/>
          <w:color w:val="000000" w:themeColor="text1"/>
        </w:rPr>
        <w:t xml:space="preserve">Comme le droit national doit être adapté au droit de l'Union modifié, il n'y a pas d'autre solution.</w:t>
      </w:r>
    </w:p>
    <w:p w14:paraId="69A32774" w14:textId="77777777" w:rsidR="00620BBC" w:rsidRPr="00D33B34" w:rsidRDefault="00620BBC" w:rsidP="00C65888">
      <w:pPr>
        <w:pStyle w:val="berschriftrmischBegrndung"/>
        <w:keepLines/>
        <w:rPr>
          <w:color w:val="000000" w:themeColor="text1"/>
        </w:rPr>
      </w:pPr>
      <w:r>
        <w:rPr>
          <w:color w:val="000000" w:themeColor="text1"/>
        </w:rPr>
        <w:t xml:space="preserve">Compétence législative</w:t>
      </w:r>
    </w:p>
    <w:p w14:paraId="332D8135" w14:textId="77777777" w:rsidR="00620BBC" w:rsidRPr="00D33B34" w:rsidRDefault="00620BBC" w:rsidP="00C65888">
      <w:pPr>
        <w:pStyle w:val="Text"/>
        <w:rPr>
          <w:color w:val="000000" w:themeColor="text1"/>
        </w:rPr>
      </w:pPr>
      <w:r>
        <w:rPr>
          <w:rStyle w:val="Marker"/>
          <w:color w:val="000000" w:themeColor="text1"/>
        </w:rPr>
        <w:t xml:space="preserve">La compétence réglementaire du ministère fédéral de l’alimentation et de l’agriculture découle des autorisations réglementaires du code des denrées alimentaires et des aliments pour animaux mentionnées dans la formule d’ouverture, qui sont fondées sur l’article 74, paragraphe 1, point 20 de la Loi fondamentale.</w:t>
      </w:r>
    </w:p>
    <w:p w14:paraId="73C28F97" w14:textId="77777777" w:rsidR="00620BBC" w:rsidRPr="00D33B34" w:rsidRDefault="00620BBC" w:rsidP="00C65888">
      <w:pPr>
        <w:pStyle w:val="berschriftrmischBegrndung"/>
        <w:keepLines/>
        <w:rPr>
          <w:color w:val="000000" w:themeColor="text1"/>
        </w:rPr>
      </w:pPr>
      <w:r>
        <w:rPr>
          <w:color w:val="000000" w:themeColor="text1"/>
        </w:rPr>
        <w:t xml:space="preserve">Compatibilité avec la législation de l’Union européenne et les traités internationaux</w:t>
      </w:r>
    </w:p>
    <w:p w14:paraId="0A0B7CAF" w14:textId="77777777" w:rsidR="00620BBC" w:rsidRPr="00D33B34" w:rsidRDefault="00620BBC" w:rsidP="00C65888">
      <w:pPr>
        <w:pStyle w:val="Text"/>
        <w:rPr>
          <w:color w:val="000000" w:themeColor="text1"/>
        </w:rPr>
      </w:pPr>
      <w:r>
        <w:rPr>
          <w:rStyle w:val="Marker"/>
          <w:color w:val="000000" w:themeColor="text1"/>
        </w:rPr>
        <w:t xml:space="preserve">La compatibilité avec le droit de l’Union européenne est acquise.</w:t>
      </w:r>
      <w:r>
        <w:rPr>
          <w:rStyle w:val="Marker"/>
          <w:color w:val="000000" w:themeColor="text1"/>
        </w:rPr>
        <w:t xml:space="preserve"> </w:t>
      </w:r>
      <w:r>
        <w:rPr>
          <w:rStyle w:val="Marker"/>
          <w:color w:val="000000" w:themeColor="text1"/>
        </w:rPr>
        <w:t xml:space="preserve">Les éléments de sanction garantissent l'application efficace du droit de l'Union européenne.</w:t>
      </w:r>
    </w:p>
    <w:p w14:paraId="75BAFD8B" w14:textId="77777777" w:rsidR="00620BBC" w:rsidRPr="00D33B34" w:rsidRDefault="00620BBC" w:rsidP="00C65888">
      <w:pPr>
        <w:pStyle w:val="berschriftrmischBegrndung"/>
        <w:keepLines/>
        <w:rPr>
          <w:color w:val="000000" w:themeColor="text1"/>
        </w:rPr>
      </w:pPr>
      <w:r>
        <w:rPr>
          <w:color w:val="000000" w:themeColor="text1"/>
        </w:rPr>
        <w:t xml:space="preserve">Impact de la loi</w:t>
      </w:r>
    </w:p>
    <w:p w14:paraId="219DB1A3" w14:textId="77777777" w:rsidR="00620BBC" w:rsidRPr="00D33B34" w:rsidRDefault="00620BBC" w:rsidP="00C65888">
      <w:pPr>
        <w:pStyle w:val="berschriftarabischBegrndung"/>
        <w:keepLines/>
        <w:rPr>
          <w:color w:val="000000" w:themeColor="text1"/>
        </w:rPr>
      </w:pPr>
      <w:r>
        <w:rPr>
          <w:color w:val="000000" w:themeColor="text1"/>
        </w:rPr>
        <w:t xml:space="preserve">Aspects relatifs à la durabilité</w:t>
      </w:r>
    </w:p>
    <w:p w14:paraId="39B482AC" w14:textId="77777777" w:rsidR="00620BBC" w:rsidRPr="00D33B34" w:rsidRDefault="00620BBC" w:rsidP="00C65888">
      <w:pPr>
        <w:pStyle w:val="Text"/>
        <w:rPr>
          <w:color w:val="000000" w:themeColor="text1"/>
        </w:rPr>
      </w:pPr>
      <w:r>
        <w:rPr>
          <w:rStyle w:val="Marker"/>
          <w:color w:val="000000" w:themeColor="text1"/>
        </w:rPr>
        <w:t xml:space="preserve">Les règles énoncées dans le décret servent à aligner le droit national sur le droit de l'Union.</w:t>
      </w:r>
      <w:r>
        <w:rPr>
          <w:rStyle w:val="Marker"/>
          <w:color w:val="000000" w:themeColor="text1"/>
        </w:rPr>
        <w:t xml:space="preserve"> </w:t>
      </w:r>
      <w:r>
        <w:rPr>
          <w:rStyle w:val="Marker"/>
          <w:color w:val="000000" w:themeColor="text1"/>
        </w:rPr>
        <w:t xml:space="preserve">Le décret contribue donc à maintenir un haut niveau de sécurité vérifié par l’autorité européenne de sécurité des denrées alimentaires et soutient ainsi les objectifs de développement durable du gouvernement fédéral au sens de la stratégie de développement durable allemande de 2018.</w:t>
      </w:r>
      <w:r>
        <w:rPr>
          <w:rStyle w:val="Marker"/>
          <w:color w:val="000000" w:themeColor="text1"/>
        </w:rPr>
        <w:t xml:space="preserve"> </w:t>
      </w:r>
      <w:r>
        <w:rPr>
          <w:rStyle w:val="Marker"/>
          <w:color w:val="000000" w:themeColor="text1"/>
        </w:rPr>
        <w:t xml:space="preserve">La réglementation soutient la mise en œuvre des objectifs mondiaux de développement durable n° 2 (éliminer la faim, assurer la sécurité alimentaire, améliorer la nutrition et promouvoir l’agriculture durable) et n°3 (permettre à tous de vivre en bonne santé et promouvoir le bien-être de tous à tout âge).</w:t>
      </w:r>
      <w:r>
        <w:rPr>
          <w:rStyle w:val="Marker"/>
          <w:color w:val="000000" w:themeColor="text1"/>
        </w:rPr>
        <w:t xml:space="preserve"> </w:t>
      </w:r>
      <w:r>
        <w:rPr>
          <w:rStyle w:val="Marker"/>
          <w:color w:val="000000" w:themeColor="text1"/>
        </w:rPr>
        <w:t xml:space="preserve">De plus, les règles de gestion 4 c) (une agriculture et une pêche durables doivent être productives, compétitives et socialement et écologiquement rationnelles, et en particulier protéger et préserver la biodiversité, les sols et les eaux, ainsi que les exigences en matière de bien-être des animaux et de précaution, en particulier de protection de la santé des consommateurs) de la stratégie de développement durable allemande sont prises en compte.</w:t>
      </w:r>
    </w:p>
    <w:p w14:paraId="5D05CCC3" w14:textId="77777777" w:rsidR="00620BBC" w:rsidRPr="00D33B34" w:rsidRDefault="00620BBC" w:rsidP="00C65888">
      <w:pPr>
        <w:pStyle w:val="berschriftarabischBegrndung"/>
        <w:keepLines/>
        <w:rPr>
          <w:color w:val="000000" w:themeColor="text1"/>
        </w:rPr>
      </w:pPr>
      <w:r>
        <w:rPr>
          <w:color w:val="000000" w:themeColor="text1"/>
        </w:rPr>
        <w:t xml:space="preserve">Dépenses budgétaires sans charges d’exécution</w:t>
      </w:r>
    </w:p>
    <w:p w14:paraId="428D2B3B" w14:textId="77777777" w:rsidR="00620BBC" w:rsidRPr="00D33B34" w:rsidRDefault="00620BBC" w:rsidP="00C65888">
      <w:pPr>
        <w:pStyle w:val="Text"/>
        <w:rPr>
          <w:color w:val="000000" w:themeColor="text1"/>
        </w:rPr>
      </w:pPr>
      <w:r>
        <w:rPr>
          <w:rStyle w:val="Marker"/>
          <w:color w:val="000000" w:themeColor="text1"/>
        </w:rPr>
        <w:t xml:space="preserve">Aucune dépense budgétaire sans charge d’exécution ne s'impose au gouvernement fédéral, aux Länder ou aux communes.</w:t>
      </w:r>
    </w:p>
    <w:p w14:paraId="3CC060D5" w14:textId="77777777" w:rsidR="00620BBC" w:rsidRPr="00D33B34" w:rsidRDefault="00620BBC" w:rsidP="00C65888">
      <w:pPr>
        <w:pStyle w:val="berschriftarabischBegrndung"/>
        <w:keepLines/>
        <w:rPr>
          <w:color w:val="000000" w:themeColor="text1"/>
        </w:rPr>
      </w:pPr>
      <w:r>
        <w:rPr>
          <w:color w:val="000000" w:themeColor="text1"/>
        </w:rPr>
        <w:t xml:space="preserve">Charges d’exécution</w:t>
      </w:r>
    </w:p>
    <w:p w14:paraId="3B4FA285" w14:textId="77777777" w:rsidR="00522340" w:rsidRPr="00D33B34" w:rsidRDefault="00522340" w:rsidP="00C65888">
      <w:pPr>
        <w:pStyle w:val="Text"/>
        <w:rPr>
          <w:rStyle w:val="Marker"/>
          <w:color w:val="000000" w:themeColor="text1"/>
        </w:rPr>
      </w:pPr>
      <w:r>
        <w:rPr>
          <w:rStyle w:val="Marker"/>
          <w:color w:val="000000" w:themeColor="text1"/>
        </w:rPr>
        <w:t xml:space="preserve">Aucune charge d'exécution n'incombera aux citoyens.</w:t>
      </w:r>
      <w:r>
        <w:rPr>
          <w:rStyle w:val="Marker"/>
          <w:color w:val="000000" w:themeColor="text1"/>
        </w:rPr>
        <w:t xml:space="preserve"> </w:t>
      </w:r>
    </w:p>
    <w:p w14:paraId="791AABAB" w14:textId="7A368DBE" w:rsidR="00522340" w:rsidRPr="00D33B34" w:rsidRDefault="00522340" w:rsidP="00C65888">
      <w:pPr>
        <w:pStyle w:val="Text"/>
        <w:rPr>
          <w:rStyle w:val="Marker"/>
          <w:color w:val="000000" w:themeColor="text1"/>
        </w:rPr>
      </w:pPr>
      <w:r>
        <w:rPr>
          <w:rStyle w:val="Marker"/>
          <w:color w:val="000000" w:themeColor="text1"/>
        </w:rPr>
        <w:t xml:space="preserve">L'adaptation de l'étiquetage des additifs alimentaires dans les denrées alimentaires non préemballées à la réglementation sur l'étiquetage des allergènes allègera la charge de mise en conformité pour les secteurs économiques concernés.</w:t>
      </w:r>
      <w:r>
        <w:rPr>
          <w:rStyle w:val="Marker"/>
          <w:color w:val="000000" w:themeColor="text1"/>
        </w:rPr>
        <w:t xml:space="preserve"> </w:t>
      </w:r>
      <w:r>
        <w:rPr>
          <w:rStyle w:val="Marker"/>
          <w:color w:val="000000" w:themeColor="text1"/>
        </w:rPr>
        <w:t xml:space="preserve">À l'avenir, les informations sur les additifs alimentaires contenus dans les denrées alimentaires pourront être fournies à l’oral sur demande, dans les conditions spécifiées à l'article 4, paragraphes 3 et 4, du règlement d’exécution relatif aux informations sur les denrées alimentaires.</w:t>
      </w:r>
      <w:r>
        <w:rPr>
          <w:rStyle w:val="Marker"/>
          <w:color w:val="000000" w:themeColor="text1"/>
        </w:rPr>
        <w:t xml:space="preserve"> </w:t>
      </w:r>
      <w:r>
        <w:rPr>
          <w:rStyle w:val="Marker"/>
          <w:color w:val="000000" w:themeColor="text1"/>
        </w:rPr>
        <w:t xml:space="preserve">Cette réglementation simplifiée profitera aux entreprises du secteur de la restauration ainsi qu'aux entreprises du secteur de la vente au détail de produits agroalimentaires.</w:t>
      </w:r>
      <w:r>
        <w:rPr>
          <w:rStyle w:val="Marker"/>
          <w:color w:val="000000" w:themeColor="text1"/>
        </w:rPr>
        <w:t xml:space="preserve"> </w:t>
      </w:r>
    </w:p>
    <w:p w14:paraId="0F38B9C8" w14:textId="0BF69042" w:rsidR="00522340" w:rsidRPr="00D33B34" w:rsidRDefault="00522340" w:rsidP="00C65888">
      <w:pPr>
        <w:pStyle w:val="Text"/>
        <w:rPr>
          <w:rStyle w:val="Marker"/>
          <w:color w:val="000000" w:themeColor="text1"/>
        </w:rPr>
      </w:pPr>
      <w:r>
        <w:rPr>
          <w:rStyle w:val="Marker"/>
          <w:color w:val="000000" w:themeColor="text1"/>
        </w:rPr>
        <w:t xml:space="preserve">Les exemptions à l'obligation d'étiquetage écrit vis-à-vis des consommateurs peuvent permettre aux entreprises de réaliser des économies,</w:t>
      </w:r>
      <w:r>
        <w:rPr>
          <w:rStyle w:val="Marker"/>
          <w:color w:val="000000" w:themeColor="text1"/>
        </w:rPr>
        <w:t xml:space="preserve"> </w:t>
      </w:r>
      <w:r>
        <w:rPr>
          <w:rStyle w:val="Marker"/>
          <w:color w:val="000000" w:themeColor="text1"/>
        </w:rPr>
        <w:t xml:space="preserve">par exemple, en évitant d'imprimer des panneaux d'information concernant les produits.</w:t>
      </w:r>
      <w:r>
        <w:rPr>
          <w:rStyle w:val="Marker"/>
          <w:color w:val="000000" w:themeColor="text1"/>
        </w:rPr>
        <w:t xml:space="preserve"> </w:t>
      </w:r>
      <w:r>
        <w:rPr>
          <w:rStyle w:val="Marker"/>
          <w:color w:val="000000" w:themeColor="text1"/>
        </w:rPr>
        <w:t xml:space="preserve">Cependant, selon l'article 4, paragraphe 4, points 2 et 3 du règlement d’exécution relatif aux informations sur les denrées alimentaires, en cas d'information orale, un enregistrement écrit des composants obligatoires de la denrée alimentaire doit être conservé.</w:t>
      </w:r>
      <w:r>
        <w:rPr>
          <w:rStyle w:val="Marker"/>
          <w:color w:val="000000" w:themeColor="text1"/>
        </w:rPr>
        <w:t xml:space="preserve"> </w:t>
      </w:r>
      <w:r>
        <w:rPr>
          <w:rStyle w:val="Marker"/>
          <w:color w:val="000000" w:themeColor="text1"/>
        </w:rPr>
        <w:t xml:space="preserve">Cet enregistrement écrit doit être facilement accessible à l'autorité compétente et, sur demande, au consommateur final.</w:t>
      </w:r>
      <w:r>
        <w:rPr>
          <w:rStyle w:val="Marker"/>
          <w:color w:val="000000" w:themeColor="text1"/>
        </w:rPr>
        <w:t xml:space="preserve"> </w:t>
      </w:r>
      <w:r>
        <w:rPr>
          <w:rStyle w:val="Marker"/>
          <w:color w:val="000000" w:themeColor="text1"/>
        </w:rPr>
        <w:t xml:space="preserve">L'enregistrement écrit peut être effectué par voie électronique, par exemple, en utilisant des supports appropriés ou d'autres types de stockage, comme un cahier manuscrit.</w:t>
      </w:r>
      <w:r>
        <w:rPr>
          <w:rStyle w:val="Marker"/>
          <w:color w:val="000000" w:themeColor="text1"/>
        </w:rPr>
        <w:t xml:space="preserve"> </w:t>
      </w:r>
      <w:r>
        <w:rPr>
          <w:rStyle w:val="Marker"/>
          <w:color w:val="000000" w:themeColor="text1"/>
        </w:rPr>
        <w:t xml:space="preserve">Pour ces informations, il faut toutefois utiliser le même support que celui qui est utilisé pour les informations sur les substances déclenchant des allergies ou des intolérances.</w:t>
      </w:r>
      <w:r>
        <w:rPr>
          <w:rStyle w:val="Marker"/>
          <w:color w:val="000000" w:themeColor="text1"/>
        </w:rPr>
        <w:t xml:space="preserve"> </w:t>
      </w:r>
      <w:r>
        <w:rPr>
          <w:rStyle w:val="Marker"/>
          <w:color w:val="000000" w:themeColor="text1"/>
        </w:rPr>
        <w:t xml:space="preserve">L'acquisition de nouveaux supports d'enregistrement n'est donc pas nécessaire et n'entraîne pas de frais uniques de changement de format.</w:t>
      </w:r>
      <w:r>
        <w:rPr>
          <w:rStyle w:val="Marker"/>
          <w:color w:val="000000" w:themeColor="text1"/>
        </w:rPr>
        <w:t xml:space="preserve"> </w:t>
      </w:r>
    </w:p>
    <w:p w14:paraId="0E3BEE79" w14:textId="5DE5C0C7" w:rsidR="00522340" w:rsidRPr="00D33B34" w:rsidRDefault="00522340" w:rsidP="00C65888">
      <w:pPr>
        <w:pStyle w:val="Text"/>
        <w:rPr>
          <w:rStyle w:val="Marker"/>
          <w:color w:val="000000" w:themeColor="text1"/>
        </w:rPr>
      </w:pPr>
      <w:r>
        <w:rPr>
          <w:rStyle w:val="Marker"/>
          <w:color w:val="000000" w:themeColor="text1"/>
        </w:rPr>
        <w:t xml:space="preserve">Toutefois, l’allègement financier apporté par les options alternatives d'information pour l'étiquetage des additifs alimentaires, qui couvre principalement les coûts d'impression des reproductions ou des panneaux d'information, doit être compensé par l'effort requis pour produire l'enregistrement écrit (différentes méthodes d'accès à l'information au choix).</w:t>
      </w:r>
      <w:r>
        <w:rPr>
          <w:rStyle w:val="Marker"/>
          <w:color w:val="000000" w:themeColor="text1"/>
        </w:rPr>
        <w:t xml:space="preserve"> </w:t>
      </w:r>
      <w:r>
        <w:rPr>
          <w:rStyle w:val="Marker"/>
          <w:color w:val="000000" w:themeColor="text1"/>
        </w:rPr>
        <w:t xml:space="preserve">C'est pourquoi on peut s'attendre à ce que l’allègement des charges des entreprises ne soit que marginal.</w:t>
      </w:r>
      <w:r>
        <w:rPr>
          <w:rStyle w:val="Marker"/>
          <w:color w:val="000000" w:themeColor="text1"/>
        </w:rPr>
        <w:t xml:space="preserve"> </w:t>
      </w:r>
      <w:r>
        <w:rPr>
          <w:rStyle w:val="Marker"/>
          <w:color w:val="000000" w:themeColor="text1"/>
        </w:rPr>
        <w:t xml:space="preserve">Il s'agit de coûts bureaucratiques résultant des obligations d'information.</w:t>
      </w:r>
      <w:r>
        <w:rPr>
          <w:rStyle w:val="Marker"/>
          <w:color w:val="000000" w:themeColor="text1"/>
        </w:rPr>
        <w:t xml:space="preserve"> </w:t>
      </w:r>
    </w:p>
    <w:p w14:paraId="2C385001" w14:textId="0D08D83F" w:rsidR="00522340" w:rsidRPr="00D33B34" w:rsidRDefault="00522340" w:rsidP="00C65888">
      <w:pPr>
        <w:pStyle w:val="Text"/>
        <w:rPr>
          <w:rStyle w:val="Marker"/>
          <w:color w:val="000000" w:themeColor="text1"/>
        </w:rPr>
      </w:pPr>
      <w:r>
        <w:rPr>
          <w:rStyle w:val="Marker"/>
          <w:color w:val="000000" w:themeColor="text1"/>
        </w:rPr>
        <w:t xml:space="preserve">La réglementation sur l'étiquetage des additifs alimentaires n’occasionne aucune dépense supplémentaire ponctuelle ou annuelle, car les exigences correspondantes existent déjà et aucune modification significative n'a été apportée au contenu.</w:t>
      </w:r>
      <w:r>
        <w:rPr>
          <w:rStyle w:val="Marker"/>
          <w:color w:val="000000" w:themeColor="text1"/>
        </w:rPr>
        <w:t xml:space="preserve"> </w:t>
      </w:r>
    </w:p>
    <w:p w14:paraId="59AF400F" w14:textId="77777777" w:rsidR="00620BBC" w:rsidRPr="00D33B34" w:rsidRDefault="00620BBC" w:rsidP="00C65888">
      <w:pPr>
        <w:pStyle w:val="berschriftarabischBegrndung"/>
        <w:keepLines/>
        <w:rPr>
          <w:color w:val="000000" w:themeColor="text1"/>
        </w:rPr>
      </w:pPr>
      <w:r>
        <w:rPr>
          <w:color w:val="000000" w:themeColor="text1"/>
        </w:rPr>
        <w:t xml:space="preserve">Autres coûts</w:t>
      </w:r>
    </w:p>
    <w:p w14:paraId="33395F83" w14:textId="77777777" w:rsidR="00620BBC" w:rsidRPr="00D33B34" w:rsidRDefault="00620BBC" w:rsidP="00C65888">
      <w:pPr>
        <w:pStyle w:val="Text"/>
        <w:rPr>
          <w:color w:val="000000" w:themeColor="text1"/>
        </w:rPr>
      </w:pPr>
      <w:r>
        <w:rPr>
          <w:rStyle w:val="Marker"/>
          <w:color w:val="000000" w:themeColor="text1"/>
        </w:rPr>
        <w:t xml:space="preserve">Aucune incidence particulière sur les prix unitaires et sur le niveau général des prix, en particulier des prix à la consommation, n'est à prévoir.</w:t>
      </w:r>
    </w:p>
    <w:p w14:paraId="3B11E9D3" w14:textId="77777777" w:rsidR="00620BBC" w:rsidRPr="00D33B34" w:rsidRDefault="00620BBC" w:rsidP="00C65888">
      <w:pPr>
        <w:pStyle w:val="berschriftarabischBegrndung"/>
        <w:keepLines/>
        <w:rPr>
          <w:color w:val="000000" w:themeColor="text1"/>
        </w:rPr>
      </w:pPr>
      <w:r>
        <w:rPr>
          <w:color w:val="000000" w:themeColor="text1"/>
        </w:rPr>
        <w:t xml:space="preserve">Autre impact de la loi</w:t>
      </w:r>
    </w:p>
    <w:p w14:paraId="39441733" w14:textId="77777777" w:rsidR="00620BBC" w:rsidRPr="00D33B34" w:rsidRDefault="00620BBC" w:rsidP="00C65888">
      <w:pPr>
        <w:pStyle w:val="Text"/>
        <w:rPr>
          <w:color w:val="000000" w:themeColor="text1"/>
        </w:rPr>
      </w:pPr>
      <w:r>
        <w:rPr>
          <w:rStyle w:val="Marker"/>
          <w:color w:val="000000" w:themeColor="text1"/>
        </w:rPr>
        <w:t xml:space="preserve">Il n'y a pas lieu de s'attendre à un impact sur la promotion de l'égalité entre les femmes et les hommes, étant donné que le décret ne contient aucune réglementation qui influe sur la situation de vie spécifique des femmes et des hommes.</w:t>
      </w:r>
    </w:p>
    <w:p w14:paraId="043AC750" w14:textId="77777777" w:rsidR="00620BBC" w:rsidRPr="00D33B34" w:rsidRDefault="00620BBC" w:rsidP="00C65888">
      <w:pPr>
        <w:pStyle w:val="BegrndungBesondererTeil"/>
        <w:keepLines/>
        <w:rPr>
          <w:color w:val="000000" w:themeColor="text1"/>
        </w:rPr>
      </w:pPr>
      <w:r>
        <w:rPr>
          <w:color w:val="000000" w:themeColor="text1"/>
        </w:rPr>
        <w:t xml:space="preserve">B. Partie spécifique</w:t>
      </w:r>
    </w:p>
    <w:p w14:paraId="5DFCFBFC"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premier</w:t>
      </w:r>
    </w:p>
    <w:p w14:paraId="4D5BEE07" w14:textId="1E9C94E1" w:rsidR="00620BBC" w:rsidRPr="00D33B34" w:rsidRDefault="00620BBC" w:rsidP="00C65888">
      <w:pPr>
        <w:pStyle w:val="Text"/>
        <w:rPr>
          <w:rStyle w:val="Marker"/>
          <w:color w:val="000000" w:themeColor="text1"/>
        </w:rPr>
      </w:pPr>
      <w:r>
        <w:rPr>
          <w:rStyle w:val="Marker"/>
          <w:color w:val="000000" w:themeColor="text1"/>
        </w:rPr>
        <w:t xml:space="preserve">L'article premier indique le champ d'application du règlement d’exécution sur les additifs alimentaires.</w:t>
      </w:r>
      <w:r>
        <w:rPr>
          <w:rStyle w:val="Marker"/>
          <w:color w:val="000000" w:themeColor="text1"/>
        </w:rPr>
        <w:t xml:space="preserve"> </w:t>
      </w:r>
      <w:r>
        <w:rPr>
          <w:rStyle w:val="Marker"/>
          <w:color w:val="000000" w:themeColor="text1"/>
        </w:rPr>
        <w:t xml:space="preserve">L’article 2 contient une définition des denrées alimentaires non préemballées.</w:t>
      </w:r>
      <w:r>
        <w:rPr>
          <w:rStyle w:val="Marker"/>
          <w:color w:val="000000" w:themeColor="text1"/>
        </w:rPr>
        <w:t xml:space="preserve"> </w:t>
      </w:r>
    </w:p>
    <w:p w14:paraId="5AC76991" w14:textId="74D13105" w:rsidR="00620BBC" w:rsidRPr="00D33B34" w:rsidRDefault="00620BBC" w:rsidP="00C65888">
      <w:pPr>
        <w:pStyle w:val="Text"/>
        <w:rPr>
          <w:rStyle w:val="Marker"/>
          <w:color w:val="000000" w:themeColor="text1"/>
        </w:rPr>
      </w:pPr>
      <w:r>
        <w:rPr>
          <w:rStyle w:val="Marker"/>
          <w:color w:val="000000" w:themeColor="text1"/>
        </w:rPr>
        <w:t xml:space="preserve">Les additifs alimentaires qui peuvent être utilisés dans la production de bière ont été en principe harmonisés au sein de l'Union européenne par les exigences visées à l'annexe II du règlement (CE) n° 1333/2008 sur les additifs alimentaires.</w:t>
      </w:r>
      <w:r>
        <w:rPr>
          <w:rStyle w:val="Marker"/>
          <w:color w:val="000000" w:themeColor="text1"/>
        </w:rPr>
        <w:t xml:space="preserve"> </w:t>
      </w:r>
      <w:r>
        <w:rPr>
          <w:rStyle w:val="Marker"/>
          <w:color w:val="000000" w:themeColor="text1"/>
        </w:rPr>
        <w:t xml:space="preserve">Toutefois, l'article 20 du règlement (CE) n° 1333/2008 prévoit que les États membres énumérés à son annexe IV peuvent continuer à interdire l'utilisation de certaines catégories d'additifs alimentaires dans les denrées alimentaires lors de la fabrication, sur leur territoire, des denrées alimentaires traditionnelles énumérées dans la présente annexe.</w:t>
      </w:r>
      <w:r>
        <w:rPr>
          <w:rStyle w:val="Marker"/>
          <w:color w:val="000000" w:themeColor="text1"/>
        </w:rPr>
        <w:t xml:space="preserve"> </w:t>
      </w:r>
      <w:r>
        <w:rPr>
          <w:rStyle w:val="Marker"/>
          <w:color w:val="000000" w:themeColor="text1"/>
        </w:rPr>
        <w:t xml:space="preserve">L'annexe IV énumère les bières brassées en Allemagne («</w:t>
      </w:r>
      <w:r>
        <w:rPr>
          <w:rStyle w:val="Marker"/>
          <w:color w:val="000000" w:themeColor="text1"/>
          <w:i/>
          <w:iCs/>
        </w:rPr>
        <w:t xml:space="preserve">Bier nach deutschem Reinheitsgebot gebraut</w:t>
      </w:r>
      <w:r>
        <w:rPr>
          <w:rStyle w:val="Marker"/>
          <w:color w:val="000000" w:themeColor="text1"/>
        </w:rPr>
        <w:t xml:space="preserve">») pour lesquelles une interdiction peut être maintenue pour toutes les catégories d'additifs alimentaires, à l'exception des propulseurs.</w:t>
      </w:r>
      <w:r>
        <w:rPr>
          <w:rStyle w:val="Marker"/>
          <w:color w:val="000000" w:themeColor="text1"/>
        </w:rPr>
        <w:t xml:space="preserve"> </w:t>
      </w:r>
      <w:r>
        <w:rPr>
          <w:rStyle w:val="Marker"/>
          <w:color w:val="000000" w:themeColor="text1"/>
        </w:rPr>
        <w:t xml:space="preserve">L’article 3 fait usage à ce jour de l'autorisation prévue à l'article 20 du règlement (CE) n° 1333/2008 en ce qui concerne la bière commercialisée sous la désignation «Bière de tradition allemande («</w:t>
      </w:r>
      <w:r>
        <w:rPr>
          <w:rStyle w:val="Marker"/>
          <w:color w:val="000000" w:themeColor="text1"/>
          <w:i/>
          <w:iCs/>
        </w:rPr>
        <w:t xml:space="preserve">Bier nach deutschem Reinheitsgebot gebraut</w:t>
      </w:r>
      <w:r>
        <w:rPr>
          <w:rStyle w:val="Marker"/>
          <w:color w:val="000000" w:themeColor="text1"/>
        </w:rPr>
        <w:t xml:space="preserve">»)».</w:t>
      </w:r>
      <w:r>
        <w:rPr>
          <w:rStyle w:val="Marker"/>
          <w:color w:val="000000" w:themeColor="text1"/>
        </w:rPr>
        <w:t xml:space="preserve"> </w:t>
      </w:r>
    </w:p>
    <w:p w14:paraId="2F29D683" w14:textId="18527964" w:rsidR="00620BBC" w:rsidRPr="00D33B34" w:rsidRDefault="00620BBC" w:rsidP="00C65888">
      <w:pPr>
        <w:pStyle w:val="Text"/>
        <w:rPr>
          <w:rStyle w:val="Marker"/>
          <w:color w:val="000000" w:themeColor="text1"/>
        </w:rPr>
      </w:pPr>
      <w:r>
        <w:rPr>
          <w:rStyle w:val="Marker"/>
          <w:color w:val="000000" w:themeColor="text1"/>
        </w:rPr>
        <w:t xml:space="preserve">L'article 4 conserve en grande partie les dispositions relatives aux nitrites et au sel de saumure nitrité qui existaient auparavant dans le cadre du décret sur la commercialisation des additifs.</w:t>
      </w:r>
      <w:r>
        <w:rPr>
          <w:rStyle w:val="Marker"/>
          <w:color w:val="000000" w:themeColor="text1"/>
        </w:rPr>
        <w:t xml:space="preserve"> </w:t>
      </w:r>
      <w:r>
        <w:rPr>
          <w:rStyle w:val="Marker"/>
          <w:color w:val="000000" w:themeColor="text1"/>
        </w:rPr>
        <w:t xml:space="preserve">Les dispositions sur le numéro de lot, l'obligation d'inspection de chaque lot ainsi que l'obligation d'enregistrement et de conservation des examens de contrôle ne sont plus conservées.</w:t>
      </w:r>
      <w:r>
        <w:rPr>
          <w:rStyle w:val="Marker"/>
          <w:color w:val="000000" w:themeColor="text1"/>
        </w:rPr>
        <w:t xml:space="preserve"> </w:t>
      </w:r>
      <w:r>
        <w:rPr>
          <w:rStyle w:val="Marker"/>
          <w:color w:val="000000" w:themeColor="text1"/>
        </w:rPr>
        <w:t xml:space="preserve">Les principes d'analyse des risques et de surveillance des points de contrôle critiques (principes de l’ARMPC) énoncés dans le règlement (CE) n° 852/2004 du Parlement européen et du Conseil du 29 avril 2004 relatif à l'hygiène des denrées alimentaires (JO L 139 du 30.4.2004, p. 1; JO L 226 du 25.6.2004, p. 3; JO L 46 du 21.2.2008, p. 51; JO L 58 du 3.3.2009, p. 3), modifié en dernier lieu par le règlement (CE) n° 219/2009 (JO L87 du 31.3.2009, p. 109), et les règles relatives à l'identification des lots établies à l'article 22, paragraphe 1, point d), du règlement (CE) n° 1333/2008 (lorsque le produit est fourni à des personnes autres que des consommateurs finaux) ou dans le règlement relatif à l'identification des lots (lorsque le produit est fourni à des consommateurs finaux) doivent être respectés.</w:t>
      </w:r>
      <w:r>
        <w:rPr>
          <w:rStyle w:val="Marker"/>
          <w:color w:val="000000" w:themeColor="text1"/>
        </w:rPr>
        <w:t xml:space="preserve"> </w:t>
      </w:r>
    </w:p>
    <w:p w14:paraId="73173C93" w14:textId="2F07AC73" w:rsidR="00620BBC" w:rsidRPr="00D33B34" w:rsidRDefault="00620BBC" w:rsidP="00C65888">
      <w:pPr>
        <w:pStyle w:val="Text"/>
        <w:rPr>
          <w:rStyle w:val="Marker"/>
          <w:color w:val="000000" w:themeColor="text1"/>
        </w:rPr>
      </w:pPr>
      <w:r>
        <w:rPr>
          <w:rStyle w:val="Marker"/>
          <w:color w:val="000000" w:themeColor="text1"/>
        </w:rPr>
        <w:t xml:space="preserve">L'article 5 reprend les dispositions précédentes relatives à l'étiquetage des additifs alimentaires dans les denrées alimentaires non préemballées, conformément à l'article 9 du décret sur l'autorisation des additifs alimentaires.</w:t>
      </w:r>
      <w:r>
        <w:rPr>
          <w:rStyle w:val="Marker"/>
          <w:color w:val="000000" w:themeColor="text1"/>
        </w:rPr>
        <w:t xml:space="preserve"> </w:t>
      </w:r>
      <w:r>
        <w:rPr>
          <w:rStyle w:val="Marker"/>
          <w:color w:val="000000" w:themeColor="text1"/>
        </w:rPr>
        <w:t xml:space="preserve">Les dispositions existantes seront alignées sur celles du règlement (CE) n° 1333/2008, du règlement (UE) n° 1169/2011 ainsi que du règlement d’exécution relatif aux informations sur les denrées alimentaires.</w:t>
      </w:r>
      <w:r>
        <w:rPr>
          <w:rStyle w:val="Marker"/>
          <w:color w:val="000000" w:themeColor="text1"/>
        </w:rPr>
        <w:t xml:space="preserve"> </w:t>
      </w:r>
    </w:p>
    <w:p w14:paraId="5D7BBD33" w14:textId="77777777" w:rsidR="00620BBC" w:rsidRPr="00D33B34" w:rsidRDefault="00620BBC" w:rsidP="00C65888">
      <w:pPr>
        <w:pStyle w:val="Text"/>
        <w:rPr>
          <w:rStyle w:val="Marker"/>
          <w:color w:val="000000" w:themeColor="text1"/>
        </w:rPr>
      </w:pPr>
      <w:r>
        <w:rPr>
          <w:rStyle w:val="Marker"/>
          <w:color w:val="000000" w:themeColor="text1"/>
        </w:rPr>
        <w:t xml:space="preserve">Les dispositions précédemment applicables au dioxyde de soufre et aux sulfites ne seront pas reprises.</w:t>
      </w:r>
      <w:r>
        <w:rPr>
          <w:rStyle w:val="Marker"/>
          <w:color w:val="000000" w:themeColor="text1"/>
        </w:rPr>
        <w:t xml:space="preserve"> </w:t>
      </w:r>
      <w:r>
        <w:rPr>
          <w:rStyle w:val="Marker"/>
          <w:color w:val="000000" w:themeColor="text1"/>
        </w:rPr>
        <w:t xml:space="preserve">Le dioxyde de soufre et les sulfites font partie des substances qui provoquent des allergies ou des intolérances.</w:t>
      </w:r>
      <w:r>
        <w:rPr>
          <w:rStyle w:val="Marker"/>
          <w:color w:val="000000" w:themeColor="text1"/>
        </w:rPr>
        <w:t xml:space="preserve"> </w:t>
      </w:r>
      <w:r>
        <w:rPr>
          <w:rStyle w:val="Marker"/>
          <w:color w:val="000000" w:themeColor="text1"/>
        </w:rPr>
        <w:t xml:space="preserve">Leur étiquetage est réglementé par les exigences visées dans le règlement (UE) n° 1169/2011 et par le règlement d’exécution relatif aux informations sur les denrées alimentaires.</w:t>
      </w:r>
      <w:r>
        <w:rPr>
          <w:rStyle w:val="Marker"/>
          <w:color w:val="000000" w:themeColor="text1"/>
        </w:rPr>
        <w:t xml:space="preserve"> </w:t>
      </w:r>
    </w:p>
    <w:p w14:paraId="6F1639A5" w14:textId="77777777" w:rsidR="00BB4F63" w:rsidRPr="00D33B34" w:rsidRDefault="00BB4F63" w:rsidP="00C65888">
      <w:pPr>
        <w:pStyle w:val="Text"/>
        <w:rPr>
          <w:rStyle w:val="Marker"/>
          <w:color w:val="000000" w:themeColor="text1"/>
        </w:rPr>
      </w:pPr>
      <w:r>
        <w:rPr>
          <w:rStyle w:val="Marker"/>
          <w:color w:val="000000" w:themeColor="text1"/>
        </w:rPr>
        <w:t xml:space="preserve">Comme les nitrates et le sel de saumure nitrité n'ont pas seulement un effet de conservation, l'étiquetage est découplé de cette fonction technologique.</w:t>
      </w:r>
    </w:p>
    <w:p w14:paraId="42AE7344" w14:textId="5A9D4DC6" w:rsidR="006C7D31" w:rsidRPr="00D33B34" w:rsidRDefault="00333A2D" w:rsidP="00C65888">
      <w:pPr>
        <w:autoSpaceDE w:val="0"/>
        <w:autoSpaceDN w:val="0"/>
        <w:adjustRightInd w:val="0"/>
        <w:spacing w:before="0" w:after="0"/>
        <w:jc w:val="left"/>
        <w:rPr>
          <w:rStyle w:val="Marker"/>
          <w:color w:val="000000" w:themeColor="text1"/>
        </w:rPr>
      </w:pPr>
      <w:r>
        <w:rPr>
          <w:rStyle w:val="Marker"/>
          <w:color w:val="000000" w:themeColor="text1"/>
        </w:rPr>
        <w:t xml:space="preserve">Pour des raisons d'égalité de traitement et de protection des consommateurs, la réglementation nationale actuelle d'étiquetage de certains produits de traitement de surface pour certains fruits sera conservée et étendue à tous les produits de traitement de surface cireux et à tous les fruits et légumes frais autorisés traités avec des produits de traitement de surface en vertu du règlement (CE) n° 1333/2008.</w:t>
      </w:r>
      <w:r>
        <w:rPr>
          <w:rStyle w:val="Marker"/>
          <w:color w:val="000000" w:themeColor="text1"/>
        </w:rPr>
        <w:t xml:space="preserve"> </w:t>
      </w:r>
      <w:r>
        <w:rPr>
          <w:rStyle w:val="Marker"/>
          <w:color w:val="000000" w:themeColor="text1"/>
        </w:rPr>
        <w:t xml:space="preserve">Le paragraphe 6 ordonne que l'obligation d'indiquer les éléments d'étiquetage décrits à l'article 5, paragraphe 1, point 7 soit étendue, pour des raisons de clarté juridique, aux fruits et légumes frais qui sont préemballés et préemballés en libre-service en vue de leur vente directe et qui sont exemptés de l'obligation d'indiquer une liste des ingrédients en vertu de l'article 19, paragraphe 1, lettre a, du règlement (UE) n° 1169/2011.</w:t>
      </w:r>
      <w:r>
        <w:rPr>
          <w:rStyle w:val="Marker"/>
          <w:color w:val="000000" w:themeColor="text1"/>
        </w:rPr>
        <w:t xml:space="preserve"> </w:t>
      </w:r>
      <w:r>
        <w:rPr>
          <w:rStyle w:val="Marker"/>
          <w:color w:val="000000" w:themeColor="text1"/>
        </w:rPr>
        <w:t xml:space="preserve">Cette précision est fondée sur l'article 17, paragraphe 5, du règlement (UE) n° 1169/2011, en liaison avec l'annexe VI, partie A, point 1, de ce règlement, car le fait de ne pas indiquer ce traitement particulier serait susceptible d'induire l'acheteur en erreur.</w:t>
      </w:r>
      <w:r>
        <w:rPr>
          <w:rStyle w:val="Marker"/>
          <w:color w:val="000000" w:themeColor="text1"/>
        </w:rPr>
        <w:t xml:space="preserve"> </w:t>
      </w:r>
      <w:r>
        <w:rPr>
          <w:rStyle w:val="Marker"/>
          <w:color w:val="000000" w:themeColor="text1"/>
        </w:rPr>
        <w:t xml:space="preserve">Une clarification est également nécessaire pour garantir que les informations sur l'utilisation des produits de traitement de surface cireux soient fournies à la fois pour les fruits et légumes non préemballés et préemballés et qu'il n'y ait aucune incitation à la production de déchets d'emballage inutiles.</w:t>
      </w:r>
      <w:r>
        <w:rPr>
          <w:rStyle w:val="Marker"/>
          <w:color w:val="000000" w:themeColor="text1"/>
        </w:rPr>
        <w:t xml:space="preserve"> </w:t>
      </w:r>
    </w:p>
    <w:p w14:paraId="3988C927" w14:textId="25164328" w:rsidR="00521122" w:rsidRPr="00D33B34" w:rsidRDefault="003E16D6" w:rsidP="00C65888">
      <w:pPr>
        <w:pStyle w:val="Text"/>
        <w:rPr>
          <w:rStyle w:val="Marker"/>
          <w:color w:val="000000" w:themeColor="text1"/>
        </w:rPr>
      </w:pPr>
      <w:r>
        <w:rPr>
          <w:rStyle w:val="Marker"/>
          <w:color w:val="000000" w:themeColor="text1"/>
        </w:rPr>
        <w:t xml:space="preserve">L'étiquetage des édulcorants dans le cas de marchandises non préemballées est ordonné conformément à l'annexe III, point 2 du règlement (UE) n° 1169/2011.</w:t>
      </w:r>
      <w:r>
        <w:rPr>
          <w:rStyle w:val="Marker"/>
          <w:color w:val="000000" w:themeColor="text1"/>
        </w:rPr>
        <w:t xml:space="preserve"> </w:t>
      </w:r>
      <w:r>
        <w:rPr>
          <w:rStyle w:val="Marker"/>
          <w:color w:val="000000" w:themeColor="text1"/>
        </w:rPr>
        <w:t xml:space="preserve">Par rapport aux denrées alimentaires préemballées, l'étiquetage des édulcorants présents dans les aliments non préemballés est suffisant.</w:t>
      </w:r>
    </w:p>
    <w:p w14:paraId="0D111E86" w14:textId="275C9911" w:rsidR="005718F3" w:rsidRPr="00D33B34" w:rsidRDefault="00620BBC" w:rsidP="00C65888">
      <w:pPr>
        <w:pStyle w:val="Text"/>
        <w:rPr>
          <w:rStyle w:val="Marker"/>
          <w:color w:val="000000" w:themeColor="text1"/>
        </w:rPr>
      </w:pPr>
      <w:r>
        <w:rPr>
          <w:rStyle w:val="Marker"/>
          <w:color w:val="000000" w:themeColor="text1"/>
        </w:rPr>
        <w:t xml:space="preserve">En ce qui concerne l'étiquetage des additifs alimentaires dans les denrées alimentaires non préemballées, la possibilité est créée de le faire de la même manière que ce qui est réglementé par l'article 4, paragraphes 3 à 4, du règlement d’exécution relatif aux informations sur les denrées alimentaires, pour les substances qui provoquent des allergies ou des intolérances.</w:t>
      </w:r>
      <w:r>
        <w:rPr>
          <w:rStyle w:val="Marker"/>
          <w:color w:val="000000" w:themeColor="text1"/>
        </w:rPr>
        <w:t xml:space="preserve"> </w:t>
      </w:r>
      <w:r>
        <w:rPr>
          <w:rStyle w:val="Marker"/>
          <w:color w:val="000000" w:themeColor="text1"/>
        </w:rPr>
        <w:t xml:space="preserve">Afin de permettre aux consommateurs d'obtenir plus facilement des informations, l'exploitant du secteur alimentaire doit pouvoir choisir la manière dont l'étiquetage des allergènes et les informations sur les additifs doivent être fournis, mais les informations doivent être mises à disposition au point de distribution alimentaire concerné (par exemple au comptoir) en utilisant le même support.</w:t>
      </w:r>
    </w:p>
    <w:p w14:paraId="4E72BC17" w14:textId="71B40A62" w:rsidR="005718F3" w:rsidRPr="00D33B34" w:rsidRDefault="005718F3" w:rsidP="00C65888">
      <w:pPr>
        <w:pStyle w:val="Text"/>
        <w:rPr>
          <w:rStyle w:val="Marker"/>
          <w:color w:val="000000" w:themeColor="text1"/>
        </w:rPr>
      </w:pPr>
      <w:r>
        <w:rPr>
          <w:rStyle w:val="Marker"/>
          <w:color w:val="000000" w:themeColor="text1"/>
        </w:rPr>
        <w:t xml:space="preserve">Les dispositions du règlement d'exécution relatif aux informations sur les denrées alimentaires en ce qui concerne l'étiquetage des denrées alimentaires préemballées pour la vente directe et proposées en libre-service doivent être respectées.</w:t>
      </w:r>
    </w:p>
    <w:p w14:paraId="53DB5E41" w14:textId="54C6E401" w:rsidR="00845DDB" w:rsidRPr="00D33B34" w:rsidRDefault="00845DDB" w:rsidP="00C65888">
      <w:pPr>
        <w:pStyle w:val="Text"/>
        <w:rPr>
          <w:rStyle w:val="Marker"/>
          <w:color w:val="000000" w:themeColor="text1"/>
        </w:rPr>
      </w:pPr>
      <w:r>
        <w:rPr>
          <w:rStyle w:val="Marker"/>
          <w:color w:val="000000" w:themeColor="text1"/>
        </w:rPr>
        <w:t xml:space="preserve">Afin de maintenir le niveau actuel de protection des consommateurs, l'obligation d'indiquer certaines catégories d'additifs est également maintenue pour les boissons alcoolisées préemballées couvertes par le code des denrées alimentaires et des aliments pour animaux.</w:t>
      </w:r>
      <w:r>
        <w:rPr>
          <w:rStyle w:val="Marker"/>
          <w:color w:val="000000" w:themeColor="text1"/>
        </w:rPr>
        <w:t xml:space="preserve"> </w:t>
      </w:r>
    </w:p>
    <w:p w14:paraId="21BBD49B" w14:textId="0846584F" w:rsidR="00620BBC" w:rsidRPr="00D33B34" w:rsidRDefault="009D48A2" w:rsidP="00C65888">
      <w:pPr>
        <w:pStyle w:val="Text"/>
        <w:rPr>
          <w:rStyle w:val="Marker"/>
          <w:color w:val="000000" w:themeColor="text1"/>
        </w:rPr>
      </w:pPr>
      <w:r>
        <w:rPr>
          <w:rStyle w:val="Marker"/>
          <w:color w:val="000000" w:themeColor="text1"/>
        </w:rPr>
        <w:t xml:space="preserve">Les articles 6 et 7 contiennent les dispositions relatives aux sanctions et amendes nécessaires à l'application de la loi.</w:t>
      </w:r>
      <w:r>
        <w:rPr>
          <w:rStyle w:val="Marker"/>
          <w:color w:val="000000" w:themeColor="text1"/>
        </w:rPr>
        <w:t xml:space="preserve"> </w:t>
      </w:r>
    </w:p>
    <w:p w14:paraId="3DD814DA"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2</w:t>
      </w:r>
    </w:p>
    <w:p w14:paraId="25A4C12B" w14:textId="77777777" w:rsidR="00620BBC" w:rsidRPr="00D33B34" w:rsidRDefault="00620BBC" w:rsidP="00C65888">
      <w:pPr>
        <w:pStyle w:val="Text"/>
        <w:rPr>
          <w:rStyle w:val="Marker"/>
          <w:color w:val="000000" w:themeColor="text1"/>
        </w:rPr>
      </w:pPr>
      <w:r>
        <w:rPr>
          <w:rStyle w:val="Marker"/>
          <w:color w:val="000000" w:themeColor="text1"/>
        </w:rPr>
        <w:t xml:space="preserve">La réglementation énoncée au point 1 tient compte du fait que les additifs alimentaires dans les denrées alimentaires, tels que définis dans le règlement (CE) n° 1333/2008, sont directement autorisés et que les substances ajoutées à d'autres fins ne peuvent être réglementées que dans la mesure où elles ne sont pas régies par la législation communautaire directement applicable.</w:t>
      </w:r>
      <w:r>
        <w:rPr>
          <w:rStyle w:val="Marker"/>
          <w:color w:val="000000" w:themeColor="text1"/>
        </w:rPr>
        <w:t xml:space="preserve"> </w:t>
      </w:r>
    </w:p>
    <w:p w14:paraId="3C935D85" w14:textId="77777777" w:rsidR="00620BBC" w:rsidRPr="00D33B34" w:rsidRDefault="00620BBC" w:rsidP="00C65888">
      <w:pPr>
        <w:pStyle w:val="Text"/>
        <w:rPr>
          <w:rStyle w:val="Marker"/>
          <w:color w:val="000000" w:themeColor="text1"/>
        </w:rPr>
      </w:pPr>
      <w:r>
        <w:rPr>
          <w:rStyle w:val="Marker"/>
          <w:color w:val="000000" w:themeColor="text1"/>
        </w:rPr>
        <w:t xml:space="preserve">Les dispositions de l’article 6 sont superposées aux dispositions directement applicables du règlement (CE) n° 1333/2008 et sont donc abrogées par le point 2.</w:t>
      </w:r>
      <w:r>
        <w:rPr>
          <w:rStyle w:val="Marker"/>
          <w:color w:val="000000" w:themeColor="text1"/>
        </w:rPr>
        <w:t xml:space="preserve"> </w:t>
      </w:r>
    </w:p>
    <w:p w14:paraId="7C779B6B" w14:textId="77777777" w:rsidR="00620BBC" w:rsidRPr="00D33B34" w:rsidRDefault="00620BBC" w:rsidP="00C65888">
      <w:pPr>
        <w:pStyle w:val="Text"/>
        <w:rPr>
          <w:rStyle w:val="Marker"/>
          <w:color w:val="000000" w:themeColor="text1"/>
        </w:rPr>
      </w:pPr>
      <w:r>
        <w:rPr>
          <w:rStyle w:val="Marker"/>
          <w:color w:val="000000" w:themeColor="text1"/>
        </w:rPr>
        <w:t xml:space="preserve">Le point 3 contient une disposition corrélative à l'article 1er.</w:t>
      </w:r>
    </w:p>
    <w:p w14:paraId="13924B7D" w14:textId="77777777" w:rsidR="00620BBC" w:rsidRPr="00D33B34" w:rsidRDefault="00620BBC" w:rsidP="00C65888">
      <w:pPr>
        <w:pStyle w:val="Text"/>
        <w:rPr>
          <w:rStyle w:val="Marker"/>
          <w:color w:val="000000" w:themeColor="text1"/>
        </w:rPr>
      </w:pPr>
      <w:r>
        <w:rPr>
          <w:rStyle w:val="Marker"/>
          <w:color w:val="000000" w:themeColor="text1"/>
        </w:rPr>
        <w:t xml:space="preserve">Le point 4 contient une disposition corrélative à l'abrogation de l’article 6.</w:t>
      </w:r>
    </w:p>
    <w:p w14:paraId="6E66B860"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3</w:t>
      </w:r>
      <w:r>
        <w:rPr>
          <w:rStyle w:val="Marker"/>
          <w:b/>
          <w:color w:val="000000" w:themeColor="text1"/>
          <w:u w:val="single"/>
        </w:rPr>
        <w:t xml:space="preserve"> </w:t>
      </w:r>
    </w:p>
    <w:p w14:paraId="75BC1D07" w14:textId="77777777" w:rsidR="004272EF" w:rsidRPr="00D33B34" w:rsidRDefault="00455292" w:rsidP="00C65888">
      <w:pPr>
        <w:pStyle w:val="Text"/>
        <w:rPr>
          <w:rStyle w:val="Marker"/>
          <w:color w:val="000000" w:themeColor="text1"/>
        </w:rPr>
      </w:pPr>
      <w:r>
        <w:rPr>
          <w:rStyle w:val="Marker"/>
          <w:color w:val="000000" w:themeColor="text1"/>
        </w:rPr>
        <w:t xml:space="preserve">Il s'agit d’une modification corrélative à la suppression du décret sur l'autorisation des additifs alimentaires.</w:t>
      </w:r>
      <w:r>
        <w:rPr>
          <w:rStyle w:val="Marker"/>
          <w:color w:val="000000" w:themeColor="text1"/>
        </w:rPr>
        <w:t xml:space="preserve"> </w:t>
      </w:r>
      <w:r>
        <w:rPr>
          <w:rStyle w:val="Marker"/>
          <w:color w:val="000000" w:themeColor="text1"/>
        </w:rPr>
        <w:t xml:space="preserve">Les dispositions correspondantes sont désormais contenues dans la législation de l'Union directement applicable aux additifs alimentaires et complétées par le règlement d’exécution sur les additifs alimentaires.</w:t>
      </w:r>
    </w:p>
    <w:p w14:paraId="4CB293F2" w14:textId="77777777" w:rsidR="004272EF" w:rsidRPr="00D33B34" w:rsidRDefault="004272EF" w:rsidP="00C65888">
      <w:pPr>
        <w:pStyle w:val="Text"/>
        <w:keepNext/>
        <w:keepLines/>
        <w:rPr>
          <w:rStyle w:val="Marker"/>
          <w:b/>
          <w:color w:val="000000" w:themeColor="text1"/>
          <w:u w:val="single"/>
        </w:rPr>
      </w:pPr>
      <w:r>
        <w:rPr>
          <w:rStyle w:val="Marker"/>
          <w:b/>
          <w:color w:val="000000" w:themeColor="text1"/>
          <w:u w:val="single"/>
        </w:rPr>
        <w:t xml:space="preserve">Article 4</w:t>
      </w:r>
    </w:p>
    <w:p w14:paraId="79E2953C" w14:textId="199DD477" w:rsidR="004272EF" w:rsidRPr="00D33B34" w:rsidRDefault="004272EF" w:rsidP="00C65888">
      <w:pPr>
        <w:pStyle w:val="Text"/>
        <w:rPr>
          <w:rStyle w:val="Marker"/>
          <w:color w:val="000000" w:themeColor="text1"/>
        </w:rPr>
      </w:pPr>
      <w:r>
        <w:rPr>
          <w:rStyle w:val="Marker"/>
          <w:color w:val="000000" w:themeColor="text1"/>
        </w:rPr>
        <w:t xml:space="preserve">L'adaptation du règlement sur les fromages sert à le clarifier et à l'adapter sur le plan rédactionnel aux résultats scientifiques.</w:t>
      </w:r>
      <w:r>
        <w:rPr>
          <w:rStyle w:val="Marker"/>
          <w:color w:val="000000" w:themeColor="text1"/>
        </w:rPr>
        <w:t xml:space="preserve"> </w:t>
      </w:r>
      <w:r>
        <w:rPr>
          <w:rStyle w:val="Marker"/>
          <w:color w:val="000000" w:themeColor="text1"/>
        </w:rPr>
        <w:t xml:space="preserve">L'Institut Max Rubner soutient également le développement scientifique.</w:t>
      </w:r>
      <w:r>
        <w:rPr>
          <w:rStyle w:val="Marker"/>
          <w:color w:val="000000" w:themeColor="text1"/>
        </w:rPr>
        <w:t xml:space="preserve"> </w:t>
      </w:r>
      <w:r>
        <w:rPr>
          <w:rStyle w:val="Marker"/>
          <w:color w:val="000000" w:themeColor="text1"/>
        </w:rPr>
        <w:t xml:space="preserve">Il convient de noter que le groupe Penicillium camembertii comprend à la fois le Penicillium camembertii lui-même et le Penicillium candidum et doit donc être considéré comme une désignation générique.</w:t>
      </w:r>
    </w:p>
    <w:p w14:paraId="04841556" w14:textId="77777777" w:rsidR="004272EF" w:rsidRPr="00D33B34" w:rsidRDefault="004272EF" w:rsidP="00C65888">
      <w:pPr>
        <w:pStyle w:val="Text"/>
        <w:keepNext/>
        <w:keepLines/>
        <w:rPr>
          <w:rStyle w:val="Marker"/>
          <w:b/>
          <w:color w:val="000000" w:themeColor="text1"/>
          <w:u w:val="single"/>
        </w:rPr>
      </w:pPr>
      <w:r>
        <w:rPr>
          <w:rStyle w:val="Marker"/>
          <w:b/>
          <w:color w:val="000000" w:themeColor="text1"/>
          <w:u w:val="single"/>
        </w:rPr>
        <w:t xml:space="preserve">Article 5</w:t>
      </w:r>
    </w:p>
    <w:p w14:paraId="5A334581" w14:textId="77777777" w:rsidR="004272EF" w:rsidRPr="00D33B34" w:rsidRDefault="004272EF" w:rsidP="00C65888">
      <w:pPr>
        <w:pStyle w:val="Text"/>
        <w:rPr>
          <w:rStyle w:val="Marker"/>
          <w:color w:val="000000" w:themeColor="text1"/>
        </w:rPr>
      </w:pPr>
      <w:r>
        <w:rPr>
          <w:rStyle w:val="Marker"/>
          <w:color w:val="000000" w:themeColor="text1"/>
        </w:rPr>
        <w:t xml:space="preserve">Il s'agit d’une modification corrélative à la suppression du décret sur l'autorisation des additifs alimentaires.</w:t>
      </w:r>
      <w:r>
        <w:rPr>
          <w:rStyle w:val="Marker"/>
          <w:color w:val="000000" w:themeColor="text1"/>
        </w:rPr>
        <w:t xml:space="preserve"> </w:t>
      </w:r>
      <w:r>
        <w:rPr>
          <w:rStyle w:val="Marker"/>
          <w:color w:val="000000" w:themeColor="text1"/>
        </w:rPr>
        <w:t xml:space="preserve">Les dispositions correspondantes sont désormais contenues dans la législation de l'Union directement applicable aux additifs alimentaires et complétées par le règlement d’exécution sur les additifs alimentaires.</w:t>
      </w:r>
    </w:p>
    <w:p w14:paraId="7BFE47B7"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6</w:t>
      </w:r>
    </w:p>
    <w:p w14:paraId="65124039" w14:textId="2C116448" w:rsidR="00620BBC" w:rsidRPr="00D33B34" w:rsidRDefault="007B7EF8" w:rsidP="00C65888">
      <w:pPr>
        <w:pStyle w:val="Text"/>
        <w:rPr>
          <w:rStyle w:val="Marker"/>
          <w:color w:val="000000" w:themeColor="text1"/>
        </w:rPr>
      </w:pPr>
      <w:r>
        <w:rPr>
          <w:rStyle w:val="Marker"/>
          <w:color w:val="000000" w:themeColor="text1"/>
        </w:rPr>
        <w:t xml:space="preserve">Il s'agit d'une modification corrélative à l'abrogation du décret sur l'autorisation des additifs alimentaires et aux réglementations visées à l'article 1er, paragraphe 3.</w:t>
      </w:r>
      <w:r>
        <w:rPr>
          <w:rStyle w:val="Marker"/>
          <w:color w:val="000000" w:themeColor="text1"/>
        </w:rPr>
        <w:t xml:space="preserve"> </w:t>
      </w:r>
    </w:p>
    <w:p w14:paraId="0836B795"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7</w:t>
      </w:r>
    </w:p>
    <w:p w14:paraId="362D7FAF" w14:textId="241869E7" w:rsidR="00987349" w:rsidRPr="00D33B34" w:rsidRDefault="00987349" w:rsidP="00C65888">
      <w:pPr>
        <w:pStyle w:val="Text"/>
        <w:rPr>
          <w:rStyle w:val="Marker"/>
          <w:color w:val="000000" w:themeColor="text1"/>
        </w:rPr>
      </w:pPr>
      <w:r>
        <w:rPr>
          <w:rStyle w:val="Marker"/>
          <w:color w:val="000000" w:themeColor="text1"/>
        </w:rPr>
        <w:t xml:space="preserve">Il s'agit d'une modification corrélative à l'abrogation du décret sur l'autorisation des additifs alimentaires et à l'article 1er.</w:t>
      </w:r>
    </w:p>
    <w:p w14:paraId="0A882B07" w14:textId="77777777" w:rsidR="00620BBC" w:rsidRPr="00D33B34" w:rsidRDefault="00620BBC" w:rsidP="00C65888">
      <w:pPr>
        <w:pStyle w:val="Text"/>
        <w:keepNext/>
        <w:keepLines/>
        <w:rPr>
          <w:rStyle w:val="Marker"/>
          <w:b/>
          <w:color w:val="000000" w:themeColor="text1"/>
          <w:u w:val="single"/>
        </w:rPr>
      </w:pPr>
      <w:r>
        <w:rPr>
          <w:rStyle w:val="Marker"/>
          <w:b/>
          <w:color w:val="000000" w:themeColor="text1"/>
          <w:u w:val="single"/>
        </w:rPr>
        <w:t xml:space="preserve">Article 8</w:t>
      </w:r>
    </w:p>
    <w:p w14:paraId="24E765D7" w14:textId="77777777" w:rsidR="00620BBC" w:rsidRPr="00D33B34" w:rsidRDefault="00620BBC" w:rsidP="00C65888">
      <w:pPr>
        <w:pStyle w:val="Text"/>
        <w:rPr>
          <w:color w:val="000000" w:themeColor="text1"/>
        </w:rPr>
      </w:pPr>
      <w:r>
        <w:rPr>
          <w:rStyle w:val="Marker"/>
          <w:color w:val="000000" w:themeColor="text1"/>
        </w:rPr>
        <w:t xml:space="preserve">L'article 8 réglemente l'entrée en vigueur ainsi que l'abrogation du décret sur l'autorisation des additifs alimentaires et du décret sur la commercialisation des additifs.</w:t>
      </w:r>
    </w:p>
    <w:sectPr w:rsidR="00620BBC" w:rsidRPr="00D33B34" w:rsidSect="00C37337">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3B2BF" w14:textId="77777777" w:rsidR="003F172C" w:rsidRDefault="003F172C">
      <w:pPr>
        <w:spacing w:before="0" w:after="0"/>
      </w:pPr>
      <w:r>
        <w:separator/>
      </w:r>
    </w:p>
  </w:endnote>
  <w:endnote w:type="continuationSeparator" w:id="0">
    <w:p w14:paraId="4FEBDA66" w14:textId="77777777" w:rsidR="003F172C" w:rsidRDefault="003F172C">
      <w:pPr>
        <w:spacing w:before="0" w:after="0"/>
      </w:pPr>
      <w:r>
        <w:continuationSeparator/>
      </w:r>
    </w:p>
  </w:endnote>
  <w:endnote w:type="continuationNotice" w:id="1">
    <w:p w14:paraId="26E72EA0" w14:textId="77777777" w:rsidR="003F172C" w:rsidRDefault="003F17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5D147" w14:textId="77777777" w:rsidR="003F172C" w:rsidRDefault="003F172C">
      <w:pPr>
        <w:spacing w:before="0" w:after="0"/>
      </w:pPr>
      <w:r>
        <w:separator/>
      </w:r>
    </w:p>
  </w:footnote>
  <w:footnote w:type="continuationSeparator" w:id="0">
    <w:p w14:paraId="151CD16B" w14:textId="77777777" w:rsidR="003F172C" w:rsidRDefault="003F172C">
      <w:pPr>
        <w:spacing w:before="0" w:after="0"/>
      </w:pPr>
      <w:r>
        <w:continuationSeparator/>
      </w:r>
    </w:p>
  </w:footnote>
  <w:footnote w:type="continuationNotice" w:id="1">
    <w:p w14:paraId="01654CC0" w14:textId="77777777" w:rsidR="003F172C" w:rsidRDefault="003F172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7104" w14:textId="3289A95F" w:rsidR="00700C1C" w:rsidRPr="00C37337" w:rsidRDefault="00C37337" w:rsidP="00D33B34">
    <w:pPr>
      <w:pStyle w:val="Header"/>
    </w:pPr>
    <w:r>
      <w:tab/>
    </w:r>
    <w:r>
      <w:t xml:space="preserve">- </w:t>
    </w:r>
    <w:r>
      <w:fldChar w:fldCharType="begin"/>
    </w:r>
    <w:r>
      <w:instrText xml:space="preserve"> PAGE  \* MERGEFORMAT </w:instrText>
    </w:r>
    <w:r>
      <w:fldChar w:fldCharType="separate"/>
    </w:r>
    <w:r w:rsidR="00C0592B">
      <w:t>6</w:t>
    </w:r>
    <w:r>
      <w:fldChar w:fldCharType="end"/>
    </w:r>
    <w:r>
      <w:t xml:space="preserve"> -</w:t>
      <w:tab/>
    </w:r>
    <w:r>
      <w:rPr>
        <w:sz w:val="18"/>
      </w:rPr>
      <w:t xml:space="preserve">Version:</w:t>
    </w:r>
    <w:r>
      <w:rPr>
        <w:sz w:val="18"/>
      </w:rPr>
      <w:t xml:space="preserve"> </w:t>
    </w:r>
    <w:r>
      <w:rPr>
        <w:sz w:val="18"/>
      </w:rPr>
      <w:t xml:space="preserve">10.11.2020  14h39</w:t>
    </w:r>
    <w:r>
      <w:pict w14:anchorId="4A49D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7017" o:spid="_x0000_s2051" type="#_x0000_t136" style="position:absolute;left:0;text-align:left;margin-left:0;margin-top:0;width:495.65pt;height:123.9pt;rotation:315;z-index:-25165312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AAEFE" w14:textId="222F9D52" w:rsidR="00700C1C" w:rsidRPr="00C37337" w:rsidRDefault="00C37337" w:rsidP="00C65888">
    <w:pPr>
      <w:pStyle w:val="Header"/>
      <w:jc w:val="right"/>
    </w:pPr>
    <w:r>
      <w:rPr>
        <w:sz w:val="18"/>
      </w:rPr>
      <w:t xml:space="preserve">Version:</w:t>
    </w:r>
    <w:r>
      <w:rPr>
        <w:sz w:val="18"/>
      </w:rPr>
      <w:t xml:space="preserve"> </w:t>
    </w:r>
    <w:r>
      <w:rPr>
        <w:sz w:val="18"/>
      </w:rPr>
      <w:t xml:space="preserve">10.11.2020  14h39</w:t>
    </w:r>
    <w:r>
      <w:pict w14:anchorId="36BE9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27015" o:spid="_x0000_s2049" type="#_x0000_t136" style="position:absolute;left:0;text-align:left;margin-left:0;margin-top:0;width:495.65pt;height:123.9pt;rotation:315;z-index:-251657216;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proofState w:spelling="dirty"/>
  <w:attachedTemplate r:id="rId1"/>
  <w:defaultTabStop w:val="720"/>
  <w:hyphenationZone w:val="425"/>
  <w:doNotHyphenateCap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01" w:val="Zum ersten Platzhalter im Dokument navigieren [1715ms] [Main] [eNormCommandSeilegx::SEILEGX.Marker.GotoFirstMarkerInDocument]"/>
    <w:docVar w:name="BefehlsHistorie_Befehl02" w:val="Aktualisierung der Strukturanzeige [3060ms] [Main] [eNormCommandLocal::DynamicStructureCheck.UpdateStructure]"/>
    <w:docVar w:name="BefehlsHistorie_BefehlsZähler" w:val="2"/>
    <w:docVar w:name="BefehlsKontext_SpeichernOOXML_Maximum" w:val="672ms"/>
    <w:docVar w:name="BefehlsKontext_SpeichernOOXML_Schnitt" w:val="672ms"/>
    <w:docVar w:name="BMJ" w:val="True"/>
    <w:docVar w:name="CUSTOMER" w:val="8"/>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_DocFileDateTimeAtOpen" w:val="17.11.2020 10:58:19"/>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 w:name="LW_DocType" w:val="AENDER"/>
    <w:docVar w:name="LWCons_Langue" w:val="DE"/>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78A5"/>
    <w:rsid w:val="00070439"/>
    <w:rsid w:val="00071773"/>
    <w:rsid w:val="00072222"/>
    <w:rsid w:val="00072D82"/>
    <w:rsid w:val="00073154"/>
    <w:rsid w:val="000736AA"/>
    <w:rsid w:val="00075275"/>
    <w:rsid w:val="00076DE8"/>
    <w:rsid w:val="00086576"/>
    <w:rsid w:val="00086BB3"/>
    <w:rsid w:val="000963BA"/>
    <w:rsid w:val="000A0604"/>
    <w:rsid w:val="000A215E"/>
    <w:rsid w:val="000A37C9"/>
    <w:rsid w:val="000A39FF"/>
    <w:rsid w:val="000A4618"/>
    <w:rsid w:val="000A49A6"/>
    <w:rsid w:val="000A67A7"/>
    <w:rsid w:val="000A7C0B"/>
    <w:rsid w:val="000A7E33"/>
    <w:rsid w:val="000B2732"/>
    <w:rsid w:val="000B2D0B"/>
    <w:rsid w:val="000B2EE3"/>
    <w:rsid w:val="000B6D9B"/>
    <w:rsid w:val="000B7CC5"/>
    <w:rsid w:val="000C01C1"/>
    <w:rsid w:val="000C086D"/>
    <w:rsid w:val="000C1042"/>
    <w:rsid w:val="000C23E9"/>
    <w:rsid w:val="000C2B21"/>
    <w:rsid w:val="000C4A1E"/>
    <w:rsid w:val="000C5A14"/>
    <w:rsid w:val="000C7031"/>
    <w:rsid w:val="000D01A5"/>
    <w:rsid w:val="000D0CB9"/>
    <w:rsid w:val="000D3F3E"/>
    <w:rsid w:val="000D528E"/>
    <w:rsid w:val="000E5117"/>
    <w:rsid w:val="000E6CA2"/>
    <w:rsid w:val="000F0189"/>
    <w:rsid w:val="000F3120"/>
    <w:rsid w:val="000F737D"/>
    <w:rsid w:val="000F7970"/>
    <w:rsid w:val="00100C7C"/>
    <w:rsid w:val="00103A96"/>
    <w:rsid w:val="00103F69"/>
    <w:rsid w:val="0010470A"/>
    <w:rsid w:val="00107F44"/>
    <w:rsid w:val="001115B4"/>
    <w:rsid w:val="0011275A"/>
    <w:rsid w:val="00112795"/>
    <w:rsid w:val="00114D1D"/>
    <w:rsid w:val="001160A2"/>
    <w:rsid w:val="00116EE6"/>
    <w:rsid w:val="001175A3"/>
    <w:rsid w:val="00117DCB"/>
    <w:rsid w:val="00122681"/>
    <w:rsid w:val="001328E4"/>
    <w:rsid w:val="001329E3"/>
    <w:rsid w:val="00132C38"/>
    <w:rsid w:val="00136E01"/>
    <w:rsid w:val="00140D69"/>
    <w:rsid w:val="00144BE8"/>
    <w:rsid w:val="00146ECB"/>
    <w:rsid w:val="00147B13"/>
    <w:rsid w:val="00147FC0"/>
    <w:rsid w:val="001526F5"/>
    <w:rsid w:val="00152A56"/>
    <w:rsid w:val="00153D3A"/>
    <w:rsid w:val="00156303"/>
    <w:rsid w:val="001634D7"/>
    <w:rsid w:val="00163B3D"/>
    <w:rsid w:val="00165E20"/>
    <w:rsid w:val="001673D6"/>
    <w:rsid w:val="00171DE4"/>
    <w:rsid w:val="0017251D"/>
    <w:rsid w:val="00173080"/>
    <w:rsid w:val="00173204"/>
    <w:rsid w:val="00175E38"/>
    <w:rsid w:val="00177660"/>
    <w:rsid w:val="001812EF"/>
    <w:rsid w:val="00184944"/>
    <w:rsid w:val="00184DF4"/>
    <w:rsid w:val="00185435"/>
    <w:rsid w:val="00185D91"/>
    <w:rsid w:val="00191886"/>
    <w:rsid w:val="00191FF8"/>
    <w:rsid w:val="00193093"/>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3A61"/>
    <w:rsid w:val="001F44EF"/>
    <w:rsid w:val="001F6F8A"/>
    <w:rsid w:val="0020575B"/>
    <w:rsid w:val="00207696"/>
    <w:rsid w:val="00211B92"/>
    <w:rsid w:val="00213C16"/>
    <w:rsid w:val="00214E7C"/>
    <w:rsid w:val="002154AD"/>
    <w:rsid w:val="002172C6"/>
    <w:rsid w:val="00221149"/>
    <w:rsid w:val="002219FC"/>
    <w:rsid w:val="0022272C"/>
    <w:rsid w:val="002263C3"/>
    <w:rsid w:val="00227D4C"/>
    <w:rsid w:val="00227EF2"/>
    <w:rsid w:val="00230743"/>
    <w:rsid w:val="00231FCF"/>
    <w:rsid w:val="00233FBE"/>
    <w:rsid w:val="0023529B"/>
    <w:rsid w:val="00236F0F"/>
    <w:rsid w:val="002405D7"/>
    <w:rsid w:val="00242DCA"/>
    <w:rsid w:val="0024304C"/>
    <w:rsid w:val="002438B6"/>
    <w:rsid w:val="0024597A"/>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D3D87"/>
    <w:rsid w:val="002D51E9"/>
    <w:rsid w:val="002E1012"/>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471"/>
    <w:rsid w:val="003575A2"/>
    <w:rsid w:val="003609D3"/>
    <w:rsid w:val="00360CC9"/>
    <w:rsid w:val="00362490"/>
    <w:rsid w:val="003629C1"/>
    <w:rsid w:val="00363B92"/>
    <w:rsid w:val="00363D5B"/>
    <w:rsid w:val="003669C8"/>
    <w:rsid w:val="0037076F"/>
    <w:rsid w:val="00371784"/>
    <w:rsid w:val="003722D5"/>
    <w:rsid w:val="00373816"/>
    <w:rsid w:val="00380390"/>
    <w:rsid w:val="00381CE7"/>
    <w:rsid w:val="00382EC2"/>
    <w:rsid w:val="00382F5D"/>
    <w:rsid w:val="00387392"/>
    <w:rsid w:val="0039190B"/>
    <w:rsid w:val="00394E49"/>
    <w:rsid w:val="003A0671"/>
    <w:rsid w:val="003A0E16"/>
    <w:rsid w:val="003A124F"/>
    <w:rsid w:val="003A4FFA"/>
    <w:rsid w:val="003B0CE3"/>
    <w:rsid w:val="003B556D"/>
    <w:rsid w:val="003B6C56"/>
    <w:rsid w:val="003B74D1"/>
    <w:rsid w:val="003C11F7"/>
    <w:rsid w:val="003C140E"/>
    <w:rsid w:val="003D0336"/>
    <w:rsid w:val="003D0A8E"/>
    <w:rsid w:val="003D336C"/>
    <w:rsid w:val="003D3978"/>
    <w:rsid w:val="003D4A5E"/>
    <w:rsid w:val="003E0068"/>
    <w:rsid w:val="003E16D6"/>
    <w:rsid w:val="003F172C"/>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71E35"/>
    <w:rsid w:val="00472220"/>
    <w:rsid w:val="0047254C"/>
    <w:rsid w:val="00472B4F"/>
    <w:rsid w:val="00474EB9"/>
    <w:rsid w:val="00481332"/>
    <w:rsid w:val="00481863"/>
    <w:rsid w:val="00481C1F"/>
    <w:rsid w:val="004824D2"/>
    <w:rsid w:val="004852BB"/>
    <w:rsid w:val="004875F2"/>
    <w:rsid w:val="004A1A93"/>
    <w:rsid w:val="004A5C1C"/>
    <w:rsid w:val="004A66CD"/>
    <w:rsid w:val="004A70B2"/>
    <w:rsid w:val="004A7FE7"/>
    <w:rsid w:val="004B27AE"/>
    <w:rsid w:val="004B3C0F"/>
    <w:rsid w:val="004B7802"/>
    <w:rsid w:val="004C054C"/>
    <w:rsid w:val="004C2EFC"/>
    <w:rsid w:val="004C3059"/>
    <w:rsid w:val="004C45A6"/>
    <w:rsid w:val="004C4604"/>
    <w:rsid w:val="004C53CE"/>
    <w:rsid w:val="004D04BE"/>
    <w:rsid w:val="004D06A4"/>
    <w:rsid w:val="004E1B82"/>
    <w:rsid w:val="004E52A8"/>
    <w:rsid w:val="004E5939"/>
    <w:rsid w:val="004F4870"/>
    <w:rsid w:val="0050272A"/>
    <w:rsid w:val="00504966"/>
    <w:rsid w:val="005126A5"/>
    <w:rsid w:val="00513127"/>
    <w:rsid w:val="0051370F"/>
    <w:rsid w:val="00515214"/>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1374"/>
    <w:rsid w:val="005E2BF6"/>
    <w:rsid w:val="005E561C"/>
    <w:rsid w:val="005E5700"/>
    <w:rsid w:val="005F0513"/>
    <w:rsid w:val="005F0DC1"/>
    <w:rsid w:val="005F45AA"/>
    <w:rsid w:val="005F6400"/>
    <w:rsid w:val="005F6FC0"/>
    <w:rsid w:val="00601FE3"/>
    <w:rsid w:val="00605377"/>
    <w:rsid w:val="00610678"/>
    <w:rsid w:val="00611473"/>
    <w:rsid w:val="006114D3"/>
    <w:rsid w:val="0061372E"/>
    <w:rsid w:val="00615439"/>
    <w:rsid w:val="00616C30"/>
    <w:rsid w:val="006175DF"/>
    <w:rsid w:val="00620BBC"/>
    <w:rsid w:val="00620D6D"/>
    <w:rsid w:val="00623609"/>
    <w:rsid w:val="0062396A"/>
    <w:rsid w:val="006260B0"/>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3051"/>
    <w:rsid w:val="0072434B"/>
    <w:rsid w:val="00725108"/>
    <w:rsid w:val="00725BEB"/>
    <w:rsid w:val="0073113A"/>
    <w:rsid w:val="00734369"/>
    <w:rsid w:val="00736D48"/>
    <w:rsid w:val="00737A42"/>
    <w:rsid w:val="00740065"/>
    <w:rsid w:val="007428DB"/>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A7EDB"/>
    <w:rsid w:val="007B00B7"/>
    <w:rsid w:val="007B0622"/>
    <w:rsid w:val="007B07C8"/>
    <w:rsid w:val="007B4AE9"/>
    <w:rsid w:val="007B7EF8"/>
    <w:rsid w:val="007C4A0B"/>
    <w:rsid w:val="007C565D"/>
    <w:rsid w:val="007C5960"/>
    <w:rsid w:val="007C770E"/>
    <w:rsid w:val="007D37AF"/>
    <w:rsid w:val="007E00AD"/>
    <w:rsid w:val="007E10BD"/>
    <w:rsid w:val="007E4001"/>
    <w:rsid w:val="007F0026"/>
    <w:rsid w:val="007F20A5"/>
    <w:rsid w:val="007F231F"/>
    <w:rsid w:val="00804377"/>
    <w:rsid w:val="00805B4C"/>
    <w:rsid w:val="00807391"/>
    <w:rsid w:val="00807983"/>
    <w:rsid w:val="008104EF"/>
    <w:rsid w:val="00811198"/>
    <w:rsid w:val="0081166D"/>
    <w:rsid w:val="00811B4D"/>
    <w:rsid w:val="00812AF5"/>
    <w:rsid w:val="00813B10"/>
    <w:rsid w:val="008166E4"/>
    <w:rsid w:val="008208D0"/>
    <w:rsid w:val="008214E9"/>
    <w:rsid w:val="00822E71"/>
    <w:rsid w:val="0082622C"/>
    <w:rsid w:val="00832268"/>
    <w:rsid w:val="00833DDA"/>
    <w:rsid w:val="008357B3"/>
    <w:rsid w:val="00835886"/>
    <w:rsid w:val="00836B82"/>
    <w:rsid w:val="00841263"/>
    <w:rsid w:val="00845DDB"/>
    <w:rsid w:val="00853066"/>
    <w:rsid w:val="008549F9"/>
    <w:rsid w:val="00860A76"/>
    <w:rsid w:val="00864D09"/>
    <w:rsid w:val="00864F0B"/>
    <w:rsid w:val="008652BA"/>
    <w:rsid w:val="00865988"/>
    <w:rsid w:val="00865CF9"/>
    <w:rsid w:val="00865F71"/>
    <w:rsid w:val="00867334"/>
    <w:rsid w:val="00876E48"/>
    <w:rsid w:val="00877956"/>
    <w:rsid w:val="0088199A"/>
    <w:rsid w:val="00883B3E"/>
    <w:rsid w:val="00883BAC"/>
    <w:rsid w:val="00884325"/>
    <w:rsid w:val="00884A38"/>
    <w:rsid w:val="0088758A"/>
    <w:rsid w:val="0089296E"/>
    <w:rsid w:val="00892B41"/>
    <w:rsid w:val="00894377"/>
    <w:rsid w:val="00897130"/>
    <w:rsid w:val="008A0B27"/>
    <w:rsid w:val="008A0CCF"/>
    <w:rsid w:val="008A3BF0"/>
    <w:rsid w:val="008B160E"/>
    <w:rsid w:val="008C204A"/>
    <w:rsid w:val="008C3136"/>
    <w:rsid w:val="008C4E46"/>
    <w:rsid w:val="008C6A39"/>
    <w:rsid w:val="008D0CDE"/>
    <w:rsid w:val="008D0FF9"/>
    <w:rsid w:val="008D516C"/>
    <w:rsid w:val="008E3BEC"/>
    <w:rsid w:val="008E4924"/>
    <w:rsid w:val="008F0621"/>
    <w:rsid w:val="008F48A7"/>
    <w:rsid w:val="008F577A"/>
    <w:rsid w:val="008F7B83"/>
    <w:rsid w:val="008F7EFD"/>
    <w:rsid w:val="00900FF9"/>
    <w:rsid w:val="00903637"/>
    <w:rsid w:val="00905AAC"/>
    <w:rsid w:val="00910D7F"/>
    <w:rsid w:val="00912109"/>
    <w:rsid w:val="009138BF"/>
    <w:rsid w:val="00914B00"/>
    <w:rsid w:val="009160DA"/>
    <w:rsid w:val="009169CD"/>
    <w:rsid w:val="009200BD"/>
    <w:rsid w:val="0092148F"/>
    <w:rsid w:val="00922D62"/>
    <w:rsid w:val="00923239"/>
    <w:rsid w:val="0092669A"/>
    <w:rsid w:val="00926BF1"/>
    <w:rsid w:val="00932561"/>
    <w:rsid w:val="009339A3"/>
    <w:rsid w:val="00934111"/>
    <w:rsid w:val="00942272"/>
    <w:rsid w:val="00942E37"/>
    <w:rsid w:val="009445FB"/>
    <w:rsid w:val="00946B84"/>
    <w:rsid w:val="00946D16"/>
    <w:rsid w:val="00947DB6"/>
    <w:rsid w:val="009501A7"/>
    <w:rsid w:val="009564D6"/>
    <w:rsid w:val="00960F2D"/>
    <w:rsid w:val="00962D55"/>
    <w:rsid w:val="00962F6C"/>
    <w:rsid w:val="009652DD"/>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BFA"/>
    <w:rsid w:val="009C1F9E"/>
    <w:rsid w:val="009C2966"/>
    <w:rsid w:val="009C2DA4"/>
    <w:rsid w:val="009C3E82"/>
    <w:rsid w:val="009C4B60"/>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1A59"/>
    <w:rsid w:val="00A73E6D"/>
    <w:rsid w:val="00A821A4"/>
    <w:rsid w:val="00A84282"/>
    <w:rsid w:val="00A8491C"/>
    <w:rsid w:val="00A90914"/>
    <w:rsid w:val="00A90DE3"/>
    <w:rsid w:val="00A91ADF"/>
    <w:rsid w:val="00A92402"/>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11986"/>
    <w:rsid w:val="00B11CD8"/>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60514"/>
    <w:rsid w:val="00B6067A"/>
    <w:rsid w:val="00B6487E"/>
    <w:rsid w:val="00B72183"/>
    <w:rsid w:val="00B72F43"/>
    <w:rsid w:val="00B73B1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F08F3"/>
    <w:rsid w:val="00BF44E0"/>
    <w:rsid w:val="00C000F2"/>
    <w:rsid w:val="00C02806"/>
    <w:rsid w:val="00C04899"/>
    <w:rsid w:val="00C05196"/>
    <w:rsid w:val="00C0592B"/>
    <w:rsid w:val="00C05CB5"/>
    <w:rsid w:val="00C071FB"/>
    <w:rsid w:val="00C1178A"/>
    <w:rsid w:val="00C11F73"/>
    <w:rsid w:val="00C17451"/>
    <w:rsid w:val="00C2130F"/>
    <w:rsid w:val="00C227CA"/>
    <w:rsid w:val="00C22CB6"/>
    <w:rsid w:val="00C23134"/>
    <w:rsid w:val="00C23667"/>
    <w:rsid w:val="00C23AB0"/>
    <w:rsid w:val="00C24958"/>
    <w:rsid w:val="00C2778F"/>
    <w:rsid w:val="00C27AE9"/>
    <w:rsid w:val="00C30967"/>
    <w:rsid w:val="00C31ADE"/>
    <w:rsid w:val="00C3220B"/>
    <w:rsid w:val="00C37337"/>
    <w:rsid w:val="00C422FE"/>
    <w:rsid w:val="00C42D4C"/>
    <w:rsid w:val="00C43994"/>
    <w:rsid w:val="00C46256"/>
    <w:rsid w:val="00C46650"/>
    <w:rsid w:val="00C4671F"/>
    <w:rsid w:val="00C47388"/>
    <w:rsid w:val="00C50F17"/>
    <w:rsid w:val="00C60473"/>
    <w:rsid w:val="00C65888"/>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2977"/>
    <w:rsid w:val="00CE341F"/>
    <w:rsid w:val="00CE40F1"/>
    <w:rsid w:val="00CE4957"/>
    <w:rsid w:val="00CE4C81"/>
    <w:rsid w:val="00CE6430"/>
    <w:rsid w:val="00CE6E31"/>
    <w:rsid w:val="00CE7FC9"/>
    <w:rsid w:val="00CF31D5"/>
    <w:rsid w:val="00CF3DCC"/>
    <w:rsid w:val="00CF4602"/>
    <w:rsid w:val="00CF5021"/>
    <w:rsid w:val="00CF5313"/>
    <w:rsid w:val="00CF54E8"/>
    <w:rsid w:val="00CF6211"/>
    <w:rsid w:val="00CF63D0"/>
    <w:rsid w:val="00CF6815"/>
    <w:rsid w:val="00D01120"/>
    <w:rsid w:val="00D031BE"/>
    <w:rsid w:val="00D041B8"/>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3B34"/>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2112"/>
    <w:rsid w:val="00DB2174"/>
    <w:rsid w:val="00DB2705"/>
    <w:rsid w:val="00DB3009"/>
    <w:rsid w:val="00DB3372"/>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D62"/>
    <w:rsid w:val="00DF37C3"/>
    <w:rsid w:val="00DF4129"/>
    <w:rsid w:val="00DF42F3"/>
    <w:rsid w:val="00DF7AE8"/>
    <w:rsid w:val="00E00584"/>
    <w:rsid w:val="00E00EC9"/>
    <w:rsid w:val="00E06C63"/>
    <w:rsid w:val="00E12AED"/>
    <w:rsid w:val="00E12CBC"/>
    <w:rsid w:val="00E13A0E"/>
    <w:rsid w:val="00E14F75"/>
    <w:rsid w:val="00E22A05"/>
    <w:rsid w:val="00E2572C"/>
    <w:rsid w:val="00E27370"/>
    <w:rsid w:val="00E27F71"/>
    <w:rsid w:val="00E3104A"/>
    <w:rsid w:val="00E31583"/>
    <w:rsid w:val="00E315B2"/>
    <w:rsid w:val="00E32121"/>
    <w:rsid w:val="00E346F5"/>
    <w:rsid w:val="00E4171E"/>
    <w:rsid w:val="00E41FB3"/>
    <w:rsid w:val="00E46333"/>
    <w:rsid w:val="00E47B0E"/>
    <w:rsid w:val="00E50F42"/>
    <w:rsid w:val="00E51828"/>
    <w:rsid w:val="00E527FE"/>
    <w:rsid w:val="00E56E13"/>
    <w:rsid w:val="00E60982"/>
    <w:rsid w:val="00E60F69"/>
    <w:rsid w:val="00E719CD"/>
    <w:rsid w:val="00E739C5"/>
    <w:rsid w:val="00E75C5C"/>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591A"/>
    <w:rsid w:val="00EE6106"/>
    <w:rsid w:val="00EE64BB"/>
    <w:rsid w:val="00EE7AF4"/>
    <w:rsid w:val="00EF0071"/>
    <w:rsid w:val="00EF08F5"/>
    <w:rsid w:val="00EF370D"/>
    <w:rsid w:val="00EF7E5F"/>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581D"/>
    <w:rsid w:val="00F41C0B"/>
    <w:rsid w:val="00F42791"/>
    <w:rsid w:val="00F431CC"/>
    <w:rsid w:val="00F43C47"/>
    <w:rsid w:val="00F4620C"/>
    <w:rsid w:val="00F50831"/>
    <w:rsid w:val="00F53A7F"/>
    <w:rsid w:val="00F550ED"/>
    <w:rsid w:val="00F559F4"/>
    <w:rsid w:val="00F577B9"/>
    <w:rsid w:val="00F611A6"/>
    <w:rsid w:val="00F61A0F"/>
    <w:rsid w:val="00F65ABC"/>
    <w:rsid w:val="00F66C17"/>
    <w:rsid w:val="00F71369"/>
    <w:rsid w:val="00F71AA5"/>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5DBD85"/>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016B0-A901-4689-8C5E-4E7433F6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0</TotalTime>
  <Pages>6</Pages>
  <Words>2149</Words>
  <Characters>12253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BMELV</Company>
  <LinksUpToDate>false</LinksUpToDate>
  <CharactersWithSpaces>14374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Ke, Tingting</cp:lastModifiedBy>
  <cp:revision>2</cp:revision>
  <cp:lastPrinted>2020-09-11T08:42:00Z</cp:lastPrinted>
  <dcterms:created xsi:type="dcterms:W3CDTF">2020-11-17T10:00:00Z</dcterms:created>
  <dcterms:modified xsi:type="dcterms:W3CDTF">2020-11-17T11:48:00Z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10.11.2020  14:39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AENDER/ARTVER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3" name="Meta_Umsetzung von EU-Recht_2">
    <vt:lpwstr>aft (kodifizierter Text) (ABl. L 241 vom 17.9.2015, S. 1) sind beachtet worden.</vt:lpwstr>
  </property>
  <property fmtid="{D5CDD505-2E9C-101B-9397-08002B2CF9AE}" pid="14" name="Meta_Bezeichnung">
    <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Anlagen">
    <vt:lpwstr/>
  </property>
</Properties>
</file>