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EAEEF" w14:textId="77777777" w:rsidR="00B50B1E" w:rsidRPr="00A62ED8" w:rsidRDefault="00B50B1E" w:rsidP="007C6B1F">
      <w:pPr>
        <w:spacing w:line="276" w:lineRule="auto"/>
        <w:rPr>
          <w:rFonts w:ascii="Verdana" w:hAnsi="Verdana" w:cs="Arial"/>
          <w:sz w:val="20"/>
        </w:rPr>
      </w:pPr>
      <w:bookmarkStart w:id="0" w:name="_Hlk12871277"/>
      <w:bookmarkStart w:id="1" w:name="_Hlk11742238"/>
      <w:r w:rsidRPr="00A62ED8">
        <w:rPr>
          <w:rFonts w:ascii="Verdana" w:hAnsi="Verdana"/>
          <w:noProof/>
          <w:sz w:val="20"/>
        </w:rPr>
        <w:drawing>
          <wp:inline distT="0" distB="0" distL="0" distR="0" wp14:anchorId="6BEFF026" wp14:editId="267011B7">
            <wp:extent cx="1566977" cy="720000"/>
            <wp:effectExtent l="0" t="0" r="0" b="4445"/>
            <wp:docPr id="5" name="Afbeelding 5" descr="C:\Users\Spillekr\AppData\Local\Microsoft\Windows\Temporary Internet Files\Content.Outlook\WBA55KF8\Logo Vlaamse Reg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1">
                      <a:extLst>
                        <a:ext uri="{28A0092B-C50C-407E-A947-70E740481C1C}">
                          <a14:useLocalDpi xmlns:a14="http://schemas.microsoft.com/office/drawing/2010/main" val="0"/>
                        </a:ext>
                      </a:extLst>
                    </a:blip>
                    <a:stretch>
                      <a:fillRect/>
                    </a:stretch>
                  </pic:blipFill>
                  <pic:spPr>
                    <a:xfrm>
                      <a:off x="0" y="0"/>
                      <a:ext cx="1566977" cy="720000"/>
                    </a:xfrm>
                    <a:prstGeom prst="rect">
                      <a:avLst/>
                    </a:prstGeom>
                  </pic:spPr>
                </pic:pic>
              </a:graphicData>
            </a:graphic>
          </wp:inline>
        </w:drawing>
      </w:r>
    </w:p>
    <w:p w14:paraId="00E9D8BA" w14:textId="77777777" w:rsidR="00B50B1E" w:rsidRPr="00A62ED8" w:rsidRDefault="00B50B1E" w:rsidP="007C6B1F">
      <w:pPr>
        <w:spacing w:line="276" w:lineRule="auto"/>
        <w:rPr>
          <w:rFonts w:ascii="Verdana" w:hAnsi="Verdana" w:cs="Arial"/>
          <w:sz w:val="20"/>
        </w:rPr>
      </w:pPr>
    </w:p>
    <w:p w14:paraId="262BF924" w14:textId="77777777" w:rsidR="00B50B1E" w:rsidRPr="00A62ED8" w:rsidRDefault="00B50B1E" w:rsidP="007C6B1F">
      <w:pPr>
        <w:spacing w:line="276" w:lineRule="auto"/>
        <w:rPr>
          <w:rFonts w:ascii="Verdana" w:hAnsi="Verdana" w:cs="Arial"/>
          <w:sz w:val="20"/>
        </w:rPr>
      </w:pPr>
    </w:p>
    <w:p w14:paraId="22156E85" w14:textId="0306659B" w:rsidR="0057232D" w:rsidRPr="00A62ED8" w:rsidRDefault="0057232D" w:rsidP="007C6B1F">
      <w:pPr>
        <w:spacing w:line="276" w:lineRule="auto"/>
        <w:rPr>
          <w:rFonts w:ascii="Verdana" w:hAnsi="Verdana" w:cstheme="minorHAnsi"/>
          <w:b/>
          <w:spacing w:val="-3"/>
          <w:sz w:val="24"/>
          <w:szCs w:val="24"/>
        </w:rPr>
      </w:pPr>
      <w:r w:rsidRPr="00A62ED8">
        <w:rPr>
          <w:rFonts w:ascii="Verdana" w:hAnsi="Verdana"/>
          <w:b/>
          <w:sz w:val="24"/>
          <w:szCs w:val="24"/>
        </w:rPr>
        <w:t>Arrêté du Gouvernement flamand modifiant le VLAREME du 28 octobre 2016, en ce qui concerne la déclaration et le registre des engrais et des fertilisants</w:t>
      </w:r>
    </w:p>
    <w:p w14:paraId="58C844ED" w14:textId="77777777" w:rsidR="00B50B1E" w:rsidRPr="00A62ED8" w:rsidRDefault="00B50B1E" w:rsidP="007C6B1F">
      <w:pPr>
        <w:spacing w:line="276" w:lineRule="auto"/>
        <w:rPr>
          <w:rFonts w:ascii="Verdana" w:hAnsi="Verdana" w:cs="Arial"/>
          <w:sz w:val="20"/>
        </w:rPr>
      </w:pPr>
    </w:p>
    <w:p w14:paraId="16092E87" w14:textId="77777777" w:rsidR="00B50B1E" w:rsidRPr="00A62ED8" w:rsidRDefault="00B50B1E" w:rsidP="007C6B1F">
      <w:pPr>
        <w:spacing w:line="276" w:lineRule="auto"/>
        <w:rPr>
          <w:rFonts w:ascii="Verdana" w:hAnsi="Verdana" w:cs="Arial"/>
          <w:sz w:val="20"/>
        </w:rPr>
      </w:pPr>
    </w:p>
    <w:p w14:paraId="794AA258" w14:textId="1314999C" w:rsidR="00B50B1E" w:rsidRPr="00A62ED8" w:rsidRDefault="00B50B1E" w:rsidP="007C6B1F">
      <w:pPr>
        <w:spacing w:line="276" w:lineRule="auto"/>
        <w:rPr>
          <w:rFonts w:ascii="Verdana" w:hAnsi="Verdana" w:cs="Arial"/>
          <w:b/>
          <w:sz w:val="20"/>
        </w:rPr>
      </w:pPr>
      <w:r w:rsidRPr="00A62ED8">
        <w:rPr>
          <w:rFonts w:ascii="Verdana" w:hAnsi="Verdana"/>
          <w:b/>
          <w:sz w:val="20"/>
        </w:rPr>
        <w:t>Base juridique</w:t>
      </w:r>
    </w:p>
    <w:p w14:paraId="3F42F7BD" w14:textId="77777777" w:rsidR="00B50B1E" w:rsidRPr="00A62ED8" w:rsidRDefault="00B50B1E" w:rsidP="007C6B1F">
      <w:pPr>
        <w:spacing w:line="276" w:lineRule="auto"/>
        <w:rPr>
          <w:rFonts w:ascii="Verdana" w:hAnsi="Verdana" w:cs="Arial"/>
          <w:sz w:val="20"/>
        </w:rPr>
      </w:pPr>
    </w:p>
    <w:p w14:paraId="0726EB8D" w14:textId="4E605674" w:rsidR="00B50B1E" w:rsidRPr="00A62ED8" w:rsidRDefault="00B50B1E" w:rsidP="007C6B1F">
      <w:pPr>
        <w:spacing w:line="276" w:lineRule="auto"/>
        <w:rPr>
          <w:rFonts w:ascii="Verdana" w:hAnsi="Verdana" w:cs="Arial"/>
          <w:sz w:val="20"/>
        </w:rPr>
      </w:pPr>
      <w:r w:rsidRPr="00A62ED8">
        <w:rPr>
          <w:rFonts w:ascii="Verdana" w:hAnsi="Verdana"/>
          <w:sz w:val="20"/>
        </w:rPr>
        <w:t>Cette décision est basée sur:</w:t>
      </w:r>
    </w:p>
    <w:p w14:paraId="60E18AFD" w14:textId="3E37985D" w:rsidR="002C354F" w:rsidRPr="00A62ED8" w:rsidRDefault="00A62ED8" w:rsidP="007C6B1F">
      <w:pPr>
        <w:spacing w:line="276" w:lineRule="auto"/>
        <w:rPr>
          <w:rFonts w:ascii="Verdana" w:hAnsi="Verdana" w:cs="Arial"/>
          <w:sz w:val="20"/>
        </w:rPr>
      </w:pPr>
      <w:r>
        <w:rPr>
          <w:rFonts w:ascii="Verdana" w:hAnsi="Verdana"/>
          <w:sz w:val="20"/>
        </w:rPr>
        <w:t xml:space="preserve">- </w:t>
      </w:r>
      <w:r w:rsidR="002C354F" w:rsidRPr="00A62ED8">
        <w:rPr>
          <w:rFonts w:ascii="Verdana" w:hAnsi="Verdana"/>
          <w:sz w:val="20"/>
        </w:rPr>
        <w:t>la Loi Spéciale du 8 août 1980 relative à la réforme des institutions, Article 20, telle que modifiée par la Loi Spéciale du 16 juillet 1993;</w:t>
      </w:r>
    </w:p>
    <w:p w14:paraId="70AED5C5" w14:textId="5AB233AD" w:rsidR="0078245C" w:rsidRPr="00A62ED8" w:rsidRDefault="00B7517A" w:rsidP="007C6B1F">
      <w:pPr>
        <w:spacing w:line="276" w:lineRule="auto"/>
        <w:rPr>
          <w:rFonts w:ascii="Verdana" w:hAnsi="Verdana" w:cs="Arial"/>
          <w:sz w:val="20"/>
        </w:rPr>
      </w:pPr>
      <w:r w:rsidRPr="00A62ED8">
        <w:rPr>
          <w:rFonts w:ascii="Verdana" w:hAnsi="Verdana"/>
          <w:sz w:val="20"/>
        </w:rPr>
        <w:t xml:space="preserve">- le décret sur les engrais du 22 décembre 2006, article 4, paragraphe 3, inséré par le décret du 12 décembre 2008 et modifié par le décret du 12 juin 2015, article 13, paragraphe 10, remplacé par le décret du 12 juin 2015 et modifié par le décret du 24 mai 2019, article 23 paragraphe 7, </w:t>
      </w:r>
      <w:bookmarkStart w:id="2" w:name="_Hlk34138488"/>
      <w:r w:rsidRPr="00A62ED8">
        <w:rPr>
          <w:rFonts w:ascii="Verdana" w:hAnsi="Verdana"/>
          <w:sz w:val="20"/>
        </w:rPr>
        <w:t>remplacé par le décret du 12 juin 2015</w:t>
      </w:r>
      <w:bookmarkEnd w:id="2"/>
      <w:r w:rsidRPr="00A62ED8">
        <w:rPr>
          <w:rFonts w:ascii="Verdana" w:hAnsi="Verdana"/>
          <w:sz w:val="20"/>
        </w:rPr>
        <w:t>, article 24 paragraphe 2, modifié par les décrets du 28 février 2014 et du 24 mai 2019, paragraphe 5, modifié par le décret du 12 juin 2015, et paragraphe 6, inséré par le décret du 24 mai 2019.</w:t>
      </w:r>
    </w:p>
    <w:p w14:paraId="5F64AC1F" w14:textId="77777777" w:rsidR="00B50B1E" w:rsidRPr="00A62ED8" w:rsidRDefault="00B50B1E" w:rsidP="007C6B1F">
      <w:pPr>
        <w:spacing w:line="276" w:lineRule="auto"/>
        <w:rPr>
          <w:rFonts w:ascii="Verdana" w:hAnsi="Verdana" w:cs="Arial"/>
          <w:sz w:val="20"/>
        </w:rPr>
      </w:pPr>
    </w:p>
    <w:p w14:paraId="342C1BFF" w14:textId="55225164" w:rsidR="00B50B1E" w:rsidRPr="00A62ED8" w:rsidRDefault="00B50B1E" w:rsidP="007C6B1F">
      <w:pPr>
        <w:spacing w:line="276" w:lineRule="auto"/>
        <w:rPr>
          <w:rFonts w:ascii="Verdana" w:hAnsi="Verdana" w:cs="Arial"/>
          <w:b/>
          <w:sz w:val="20"/>
        </w:rPr>
      </w:pPr>
      <w:r w:rsidRPr="00A62ED8">
        <w:rPr>
          <w:rFonts w:ascii="Verdana" w:hAnsi="Verdana"/>
          <w:b/>
          <w:sz w:val="20"/>
        </w:rPr>
        <w:t>Conditions de forme</w:t>
      </w:r>
    </w:p>
    <w:p w14:paraId="1B3ACD58" w14:textId="77777777" w:rsidR="00B50B1E" w:rsidRPr="00A62ED8" w:rsidRDefault="00B50B1E" w:rsidP="007C6B1F">
      <w:pPr>
        <w:spacing w:line="276" w:lineRule="auto"/>
        <w:rPr>
          <w:rFonts w:ascii="Verdana" w:hAnsi="Verdana" w:cs="Arial"/>
          <w:sz w:val="20"/>
        </w:rPr>
      </w:pPr>
    </w:p>
    <w:p w14:paraId="39E47C4A" w14:textId="683557E7" w:rsidR="00B50B1E" w:rsidRPr="00A62ED8" w:rsidRDefault="00B50B1E" w:rsidP="007C6B1F">
      <w:pPr>
        <w:spacing w:line="276" w:lineRule="auto"/>
        <w:rPr>
          <w:rFonts w:ascii="Verdana" w:hAnsi="Verdana" w:cs="Arial"/>
          <w:sz w:val="20"/>
        </w:rPr>
      </w:pPr>
      <w:r w:rsidRPr="00A62ED8">
        <w:rPr>
          <w:rFonts w:ascii="Verdana" w:hAnsi="Verdana"/>
          <w:sz w:val="20"/>
        </w:rPr>
        <w:t>Les conditions de forme suivantes ont été remplies:</w:t>
      </w:r>
    </w:p>
    <w:p w14:paraId="17F69227" w14:textId="7E4F5A47" w:rsidR="001C5306" w:rsidRPr="00A62ED8" w:rsidRDefault="001C5306" w:rsidP="007C6B1F">
      <w:pPr>
        <w:spacing w:line="276" w:lineRule="auto"/>
        <w:rPr>
          <w:rFonts w:ascii="Verdana" w:eastAsiaTheme="minorHAnsi" w:hAnsi="Verdana" w:cs="Verdana"/>
          <w:sz w:val="20"/>
        </w:rPr>
      </w:pPr>
      <w:r w:rsidRPr="00A62ED8">
        <w:rPr>
          <w:rFonts w:ascii="Verdana" w:hAnsi="Verdana"/>
          <w:sz w:val="20"/>
        </w:rPr>
        <w:t>- L'inspection des finances a rendu son avis le 16 juillet 2020.</w:t>
      </w:r>
    </w:p>
    <w:p w14:paraId="1CD8B094" w14:textId="0F850455" w:rsidR="0057232D" w:rsidRPr="00A62ED8" w:rsidRDefault="0057232D" w:rsidP="007C6B1F">
      <w:pPr>
        <w:spacing w:line="276" w:lineRule="auto"/>
        <w:rPr>
          <w:rFonts w:ascii="Verdana" w:eastAsiaTheme="minorHAnsi" w:hAnsi="Verdana" w:cs="Verdana"/>
          <w:sz w:val="20"/>
        </w:rPr>
      </w:pPr>
      <w:r w:rsidRPr="00A62ED8">
        <w:rPr>
          <w:rFonts w:ascii="Verdana" w:hAnsi="Verdana"/>
          <w:sz w:val="20"/>
        </w:rPr>
        <w:t xml:space="preserve">- La </w:t>
      </w:r>
      <w:bookmarkStart w:id="3" w:name="_Hlk31017701"/>
      <w:r w:rsidRPr="00A62ED8">
        <w:rPr>
          <w:rFonts w:ascii="Verdana" w:hAnsi="Verdana"/>
          <w:sz w:val="20"/>
        </w:rPr>
        <w:t>Commission de contrôle flamande pour le traitement des données personnelles</w:t>
      </w:r>
      <w:bookmarkEnd w:id="3"/>
      <w:r w:rsidRPr="00A62ED8">
        <w:rPr>
          <w:rFonts w:ascii="Verdana" w:hAnsi="Verdana"/>
          <w:sz w:val="20"/>
        </w:rPr>
        <w:t xml:space="preserve"> a rendu son avis nº 2020/46 le 4 novembre 2020.</w:t>
      </w:r>
    </w:p>
    <w:p w14:paraId="0D80FC20" w14:textId="1A760790" w:rsidR="00B50B1E" w:rsidRPr="00A62ED8" w:rsidRDefault="001C5306" w:rsidP="007C6B1F">
      <w:pPr>
        <w:spacing w:line="276" w:lineRule="auto"/>
        <w:rPr>
          <w:rFonts w:ascii="Verdana" w:eastAsiaTheme="minorHAnsi" w:hAnsi="Verdana" w:cs="Verdana"/>
          <w:sz w:val="20"/>
        </w:rPr>
      </w:pPr>
      <w:r w:rsidRPr="00A62ED8">
        <w:rPr>
          <w:rFonts w:ascii="Verdana" w:hAnsi="Verdana"/>
          <w:sz w:val="20"/>
        </w:rPr>
        <w:t>- Vu l'avis nº 68.175/1 du Conseil d'État, rendu le 12 novembre 2020, en application de l'article 84, paragraphe 1, premier alinéa, point 2, des lois sur le Conseil d'État coordonnées le 12 janvier.</w:t>
      </w:r>
    </w:p>
    <w:p w14:paraId="34448728" w14:textId="77777777" w:rsidR="00787C27" w:rsidRPr="00A62ED8" w:rsidRDefault="00787C27" w:rsidP="00787C27">
      <w:pPr>
        <w:spacing w:line="276" w:lineRule="auto"/>
        <w:rPr>
          <w:rFonts w:ascii="Verdana" w:eastAsiaTheme="minorHAnsi" w:hAnsi="Verdana" w:cs="Verdana"/>
          <w:sz w:val="20"/>
        </w:rPr>
      </w:pPr>
      <w:r w:rsidRPr="00A62ED8">
        <w:rPr>
          <w:rFonts w:ascii="Verdana" w:hAnsi="Verdana"/>
          <w:sz w:val="20"/>
        </w:rPr>
        <w:t>Ce projet a été communiqué à la Commission européenne le 19 novembre 2020, en application de l’article 5 de la Directive (UE) 2015/1535 du Parlement européen et du Conseil du 9 septembre 2015 prévoyant une procédure d’information dans le domaine des réglementations techniques et des règles relatives aux services de la société de l’information.</w:t>
      </w:r>
    </w:p>
    <w:p w14:paraId="285517EA" w14:textId="77777777" w:rsidR="00B50B1E" w:rsidRPr="00A62ED8" w:rsidRDefault="00B50B1E" w:rsidP="007C6B1F">
      <w:pPr>
        <w:spacing w:line="276" w:lineRule="auto"/>
        <w:rPr>
          <w:rFonts w:ascii="Verdana" w:hAnsi="Verdana" w:cs="Arial"/>
          <w:sz w:val="20"/>
        </w:rPr>
      </w:pPr>
    </w:p>
    <w:p w14:paraId="26A5300B" w14:textId="422DEA6A" w:rsidR="00B50B1E" w:rsidRPr="00A62ED8" w:rsidRDefault="00B50B1E" w:rsidP="007C6B1F">
      <w:pPr>
        <w:spacing w:line="276" w:lineRule="auto"/>
        <w:rPr>
          <w:rFonts w:ascii="Verdana" w:hAnsi="Verdana" w:cs="Arial"/>
          <w:b/>
          <w:sz w:val="20"/>
        </w:rPr>
      </w:pPr>
      <w:r w:rsidRPr="00A62ED8">
        <w:rPr>
          <w:rFonts w:ascii="Verdana" w:hAnsi="Verdana"/>
          <w:b/>
          <w:sz w:val="20"/>
        </w:rPr>
        <w:t>Porteur de l'initiative</w:t>
      </w:r>
    </w:p>
    <w:p w14:paraId="2A30E5F2" w14:textId="77777777" w:rsidR="00B50B1E" w:rsidRPr="00A62ED8" w:rsidRDefault="00B50B1E" w:rsidP="007C6B1F">
      <w:pPr>
        <w:spacing w:line="276" w:lineRule="auto"/>
        <w:rPr>
          <w:rFonts w:ascii="Verdana" w:hAnsi="Verdana" w:cs="Arial"/>
          <w:sz w:val="20"/>
        </w:rPr>
      </w:pPr>
    </w:p>
    <w:p w14:paraId="30F2477C" w14:textId="2096B897" w:rsidR="00B50B1E" w:rsidRPr="00A62ED8" w:rsidRDefault="00B50B1E" w:rsidP="007C6B1F">
      <w:pPr>
        <w:spacing w:line="276" w:lineRule="auto"/>
        <w:rPr>
          <w:rFonts w:ascii="Verdana" w:hAnsi="Verdana" w:cs="Arial"/>
          <w:sz w:val="20"/>
        </w:rPr>
      </w:pPr>
      <w:r w:rsidRPr="00A62ED8">
        <w:rPr>
          <w:rFonts w:ascii="Verdana" w:hAnsi="Verdana"/>
          <w:sz w:val="20"/>
        </w:rPr>
        <w:t>Cet arrêté est proposé par la ministre flamande de la justice et de l’intérieur, de l'environnement, de l'énergie et du tourisme.</w:t>
      </w:r>
    </w:p>
    <w:p w14:paraId="6689C003" w14:textId="3B0F1D37" w:rsidR="00B50B1E" w:rsidRPr="00A62ED8" w:rsidRDefault="00B50B1E" w:rsidP="007C6B1F">
      <w:pPr>
        <w:spacing w:line="276" w:lineRule="auto"/>
        <w:rPr>
          <w:rFonts w:ascii="Verdana" w:hAnsi="Verdana" w:cs="Arial"/>
          <w:sz w:val="20"/>
        </w:rPr>
      </w:pPr>
    </w:p>
    <w:p w14:paraId="4DE0A6E3" w14:textId="77777777" w:rsidR="00970611" w:rsidRPr="00A62ED8" w:rsidRDefault="00970611" w:rsidP="007C6B1F">
      <w:pPr>
        <w:spacing w:line="276" w:lineRule="auto"/>
        <w:rPr>
          <w:rFonts w:ascii="Verdana" w:hAnsi="Verdana" w:cs="Arial"/>
          <w:sz w:val="20"/>
        </w:rPr>
      </w:pPr>
    </w:p>
    <w:p w14:paraId="4D9829B3" w14:textId="77777777" w:rsidR="00B50B1E" w:rsidRPr="00A62ED8" w:rsidRDefault="00B50B1E" w:rsidP="007C6B1F">
      <w:pPr>
        <w:spacing w:line="276" w:lineRule="auto"/>
        <w:rPr>
          <w:rFonts w:ascii="Verdana" w:hAnsi="Verdana" w:cs="Arial"/>
          <w:sz w:val="20"/>
        </w:rPr>
      </w:pPr>
      <w:r w:rsidRPr="00A62ED8">
        <w:rPr>
          <w:rFonts w:ascii="Verdana" w:hAnsi="Verdana"/>
          <w:sz w:val="20"/>
        </w:rPr>
        <w:t>Après délibération,</w:t>
      </w:r>
    </w:p>
    <w:p w14:paraId="6184A678" w14:textId="77777777" w:rsidR="00B50B1E" w:rsidRPr="00A62ED8" w:rsidRDefault="00B50B1E" w:rsidP="007C6B1F">
      <w:pPr>
        <w:spacing w:line="276" w:lineRule="auto"/>
        <w:rPr>
          <w:rFonts w:ascii="Verdana" w:hAnsi="Verdana" w:cs="Arial"/>
          <w:sz w:val="20"/>
        </w:rPr>
      </w:pPr>
    </w:p>
    <w:p w14:paraId="38F33FC2" w14:textId="77777777" w:rsidR="00B50B1E" w:rsidRPr="00A62ED8" w:rsidRDefault="00B50B1E" w:rsidP="007C6B1F">
      <w:pPr>
        <w:spacing w:line="276" w:lineRule="auto"/>
        <w:rPr>
          <w:rFonts w:ascii="Verdana" w:hAnsi="Verdana" w:cs="Arial"/>
          <w:sz w:val="20"/>
        </w:rPr>
      </w:pPr>
    </w:p>
    <w:p w14:paraId="66E1BA1C" w14:textId="75DCFA6E" w:rsidR="00B50B1E" w:rsidRPr="00A62ED8" w:rsidRDefault="00B50B1E" w:rsidP="007C6B1F">
      <w:pPr>
        <w:spacing w:line="276" w:lineRule="auto"/>
        <w:jc w:val="center"/>
        <w:rPr>
          <w:rFonts w:ascii="Verdana" w:hAnsi="Verdana" w:cs="Arial"/>
          <w:sz w:val="20"/>
        </w:rPr>
      </w:pPr>
      <w:r w:rsidRPr="00A62ED8">
        <w:rPr>
          <w:rFonts w:ascii="Verdana" w:hAnsi="Verdana"/>
          <w:sz w:val="20"/>
        </w:rPr>
        <w:t>LE GOUVERNEMENT FLAMAND DÉCRÈTE:</w:t>
      </w:r>
    </w:p>
    <w:bookmarkEnd w:id="0"/>
    <w:bookmarkEnd w:id="1"/>
    <w:p w14:paraId="7CADACB2" w14:textId="77777777" w:rsidR="00B50B1E" w:rsidRPr="00A62ED8" w:rsidRDefault="00B50B1E" w:rsidP="007C6B1F">
      <w:pPr>
        <w:spacing w:line="276" w:lineRule="auto"/>
        <w:rPr>
          <w:rFonts w:ascii="Verdana" w:hAnsi="Verdana" w:cs="Arial"/>
          <w:sz w:val="20"/>
        </w:rPr>
      </w:pPr>
    </w:p>
    <w:p w14:paraId="2DC7116A" w14:textId="77777777" w:rsidR="00B50B1E" w:rsidRPr="00A62ED8" w:rsidRDefault="00B50B1E" w:rsidP="007C6B1F">
      <w:pPr>
        <w:spacing w:line="276" w:lineRule="auto"/>
        <w:rPr>
          <w:rFonts w:ascii="Verdana" w:hAnsi="Verdana" w:cs="Arial"/>
          <w:sz w:val="20"/>
        </w:rPr>
      </w:pPr>
    </w:p>
    <w:p w14:paraId="3E373C40" w14:textId="39803536" w:rsidR="00B50B1E" w:rsidRPr="00A62ED8" w:rsidRDefault="00B50B1E">
      <w:pPr>
        <w:spacing w:line="276" w:lineRule="auto"/>
        <w:rPr>
          <w:rFonts w:ascii="Verdana" w:hAnsi="Verdana" w:cs="Arial"/>
          <w:sz w:val="20"/>
        </w:rPr>
      </w:pPr>
      <w:bookmarkStart w:id="4" w:name="_Hlk50978137"/>
      <w:r w:rsidRPr="00A62ED8">
        <w:rPr>
          <w:rFonts w:ascii="Verdana" w:hAnsi="Verdana"/>
          <w:b/>
          <w:sz w:val="20"/>
        </w:rPr>
        <w:t>Article premier.</w:t>
      </w:r>
      <w:r w:rsidRPr="00A62ED8">
        <w:rPr>
          <w:rFonts w:ascii="Verdana" w:hAnsi="Verdana"/>
          <w:sz w:val="20"/>
        </w:rPr>
        <w:t xml:space="preserve"> Dans le VLAREME du 28 octobre 2016,</w:t>
      </w:r>
      <w:bookmarkStart w:id="5" w:name="_Hlk34130674"/>
      <w:bookmarkStart w:id="6" w:name="_Hlk34130995"/>
      <w:bookmarkEnd w:id="4"/>
      <w:r w:rsidRPr="00A62ED8">
        <w:rPr>
          <w:rFonts w:ascii="Verdana" w:hAnsi="Verdana"/>
          <w:sz w:val="20"/>
        </w:rPr>
        <w:t>modifiée en dernier lieu par le décret du gouvernement flamand du 29 mai 2020, un article 2.2.1.4 est inséré, qui est libellé comme suit:</w:t>
      </w:r>
      <w:bookmarkEnd w:id="5"/>
    </w:p>
    <w:p w14:paraId="4CD7EE14" w14:textId="77777777" w:rsidR="007C6B1F" w:rsidRPr="00A62ED8" w:rsidRDefault="007C6B1F" w:rsidP="007C6B1F">
      <w:pPr>
        <w:spacing w:line="276" w:lineRule="auto"/>
        <w:rPr>
          <w:rFonts w:ascii="Verdana" w:hAnsi="Verdana" w:cs="Arial"/>
          <w:sz w:val="20"/>
        </w:rPr>
      </w:pPr>
    </w:p>
    <w:bookmarkEnd w:id="6"/>
    <w:p w14:paraId="47AE10BD" w14:textId="44EDC404" w:rsidR="002167B8" w:rsidRPr="00A62ED8" w:rsidRDefault="00E872C9" w:rsidP="007C6B1F">
      <w:pPr>
        <w:spacing w:line="276" w:lineRule="auto"/>
        <w:rPr>
          <w:rFonts w:ascii="Verdana" w:hAnsi="Verdana" w:cs="Arial"/>
          <w:sz w:val="20"/>
        </w:rPr>
      </w:pPr>
      <w:r w:rsidRPr="00A62ED8">
        <w:rPr>
          <w:rFonts w:ascii="Verdana" w:hAnsi="Verdana"/>
          <w:sz w:val="20"/>
        </w:rPr>
        <w:t xml:space="preserve">«Art. 2.2.1.4. En dérogation aux articles 2.2.1.1 à 2.2.1.3, les paragraphes deux à neuf s'appliquent au registre des producteurs, distributeurs, importateurs ou exportateurs d'engrais mentionné à l'article 2.2.3.1 et </w:t>
      </w:r>
      <w:bookmarkStart w:id="7" w:name="_Hlk33003152"/>
      <w:r w:rsidRPr="00A62ED8">
        <w:rPr>
          <w:rFonts w:ascii="Verdana" w:hAnsi="Verdana"/>
          <w:sz w:val="20"/>
        </w:rPr>
        <w:t>au registre d'engrais pour les agriculteurs mentionné à l'article 2.2.4.1</w:t>
      </w:r>
      <w:bookmarkEnd w:id="7"/>
      <w:r w:rsidRPr="00A62ED8">
        <w:rPr>
          <w:rFonts w:ascii="Verdana" w:hAnsi="Verdana"/>
          <w:sz w:val="20"/>
        </w:rPr>
        <w:t xml:space="preserve">. </w:t>
      </w:r>
    </w:p>
    <w:p w14:paraId="4B8D2B19" w14:textId="77777777" w:rsidR="0097554C" w:rsidRPr="00A62ED8" w:rsidRDefault="0097554C" w:rsidP="007C6B1F">
      <w:pPr>
        <w:spacing w:line="276" w:lineRule="auto"/>
        <w:rPr>
          <w:rFonts w:ascii="Verdana" w:hAnsi="Verdana" w:cs="Arial"/>
          <w:sz w:val="20"/>
        </w:rPr>
      </w:pPr>
    </w:p>
    <w:p w14:paraId="65FB33EA" w14:textId="4C52C060" w:rsidR="008C64EA" w:rsidRPr="00A62ED8" w:rsidRDefault="0097554C" w:rsidP="00A478D5">
      <w:pPr>
        <w:spacing w:line="276" w:lineRule="auto"/>
        <w:ind w:firstLine="708"/>
        <w:rPr>
          <w:rFonts w:ascii="Verdana" w:hAnsi="Verdana" w:cs="Arial"/>
          <w:sz w:val="20"/>
        </w:rPr>
      </w:pPr>
      <w:bookmarkStart w:id="8" w:name="_Hlk50985504"/>
      <w:r w:rsidRPr="00A62ED8">
        <w:rPr>
          <w:rFonts w:ascii="Verdana" w:hAnsi="Verdana"/>
          <w:sz w:val="20"/>
        </w:rPr>
        <w:t>Les registres susmentionnés sont tenus auprès du guichet internet mis à disposition par la Mestbank (banque du lisier).</w:t>
      </w:r>
    </w:p>
    <w:bookmarkEnd w:id="8"/>
    <w:p w14:paraId="77313E20" w14:textId="77777777" w:rsidR="007C6B1F" w:rsidRPr="00A62ED8" w:rsidRDefault="007C6B1F" w:rsidP="007C6B1F">
      <w:pPr>
        <w:spacing w:line="276" w:lineRule="auto"/>
        <w:rPr>
          <w:rFonts w:ascii="Verdana" w:hAnsi="Verdana" w:cs="Arial"/>
          <w:sz w:val="20"/>
        </w:rPr>
      </w:pPr>
    </w:p>
    <w:p w14:paraId="513C9378" w14:textId="46E9A4E8" w:rsidR="002167B8" w:rsidRPr="00A62ED8" w:rsidRDefault="0097554C" w:rsidP="00A478D5">
      <w:pPr>
        <w:spacing w:line="276" w:lineRule="auto"/>
        <w:ind w:firstLine="708"/>
        <w:rPr>
          <w:rFonts w:ascii="Verdana" w:hAnsi="Verdana" w:cs="Arial"/>
          <w:sz w:val="20"/>
        </w:rPr>
      </w:pPr>
      <w:bookmarkStart w:id="9" w:name="_Hlk65689442"/>
      <w:r w:rsidRPr="00A62ED8">
        <w:rPr>
          <w:rFonts w:ascii="Verdana" w:hAnsi="Verdana"/>
          <w:sz w:val="20"/>
        </w:rPr>
        <w:t>Les registres visés ci-dessus sont complétés aux moments suivants:</w:t>
      </w:r>
    </w:p>
    <w:p w14:paraId="151D57AF" w14:textId="48EFA14A" w:rsidR="002A052A" w:rsidRPr="00A62ED8" w:rsidRDefault="0097554C" w:rsidP="00A478D5">
      <w:pPr>
        <w:pStyle w:val="ListParagraph"/>
        <w:numPr>
          <w:ilvl w:val="0"/>
          <w:numId w:val="10"/>
        </w:numPr>
        <w:spacing w:line="276" w:lineRule="auto"/>
        <w:ind w:hanging="720"/>
        <w:rPr>
          <w:rFonts w:ascii="Verdana" w:hAnsi="Verdana" w:cs="Arial"/>
          <w:sz w:val="20"/>
        </w:rPr>
      </w:pPr>
      <w:proofErr w:type="gramStart"/>
      <w:r w:rsidRPr="00A62ED8">
        <w:rPr>
          <w:rFonts w:ascii="Verdana" w:hAnsi="Verdana"/>
          <w:sz w:val="20"/>
        </w:rPr>
        <w:t>le</w:t>
      </w:r>
      <w:proofErr w:type="gramEnd"/>
      <w:r w:rsidRPr="00A62ED8">
        <w:rPr>
          <w:rFonts w:ascii="Verdana" w:hAnsi="Verdana"/>
          <w:sz w:val="20"/>
        </w:rPr>
        <w:t xml:space="preserve"> registre des producteurs, distributeurs, importateurs ou exportateurs d'engrais visé à l'article 2.2.3.1: au plus tard le deuxième jour suivant le jour où les faits à consigner dans le registre ont eu lieu;</w:t>
      </w:r>
    </w:p>
    <w:p w14:paraId="39BCE0B3" w14:textId="1E7AB9BD" w:rsidR="002167B8" w:rsidRPr="00A62ED8" w:rsidRDefault="0097554C" w:rsidP="00A478D5">
      <w:pPr>
        <w:pStyle w:val="ListParagraph"/>
        <w:numPr>
          <w:ilvl w:val="0"/>
          <w:numId w:val="10"/>
        </w:numPr>
        <w:spacing w:line="276" w:lineRule="auto"/>
        <w:ind w:hanging="720"/>
        <w:rPr>
          <w:rFonts w:ascii="Verdana" w:hAnsi="Verdana" w:cs="Arial"/>
          <w:sz w:val="20"/>
        </w:rPr>
      </w:pPr>
      <w:proofErr w:type="gramStart"/>
      <w:r w:rsidRPr="00A62ED8">
        <w:rPr>
          <w:rFonts w:ascii="Verdana" w:hAnsi="Verdana"/>
          <w:sz w:val="20"/>
        </w:rPr>
        <w:t>le</w:t>
      </w:r>
      <w:proofErr w:type="gramEnd"/>
      <w:r w:rsidRPr="00A62ED8">
        <w:rPr>
          <w:rFonts w:ascii="Verdana" w:hAnsi="Verdana"/>
          <w:sz w:val="20"/>
        </w:rPr>
        <w:t xml:space="preserve"> registre des engrais des agriculteurs visé à l'article 2.2.4.1: au plus tard le septième jour suivant le jour où les événements à inscrire au registre ont eu lieu.</w:t>
      </w:r>
    </w:p>
    <w:bookmarkEnd w:id="9"/>
    <w:p w14:paraId="47F59B2C" w14:textId="77777777" w:rsidR="007C6B1F" w:rsidRPr="00A62ED8" w:rsidRDefault="007C6B1F" w:rsidP="007C6B1F">
      <w:pPr>
        <w:spacing w:line="276" w:lineRule="auto"/>
        <w:rPr>
          <w:rFonts w:ascii="Verdana" w:hAnsi="Verdana" w:cs="Arial"/>
          <w:sz w:val="20"/>
        </w:rPr>
      </w:pPr>
    </w:p>
    <w:p w14:paraId="45B599B4" w14:textId="4B960108" w:rsidR="00E872C9" w:rsidRPr="00A62ED8" w:rsidRDefault="002167B8" w:rsidP="007C6B1F">
      <w:pPr>
        <w:spacing w:line="276" w:lineRule="auto"/>
        <w:ind w:firstLine="708"/>
        <w:rPr>
          <w:rFonts w:ascii="Verdana" w:hAnsi="Verdana" w:cs="Arial"/>
          <w:sz w:val="20"/>
        </w:rPr>
      </w:pPr>
      <w:r w:rsidRPr="00A62ED8">
        <w:rPr>
          <w:rFonts w:ascii="Verdana" w:hAnsi="Verdana"/>
          <w:sz w:val="20"/>
        </w:rPr>
        <w:t>Les documents à l'appui du registre sont conservés au lieu où l'activité soumise à enregistrement est exercée. Dans le cas des pièces justificatives conservées sous forme numérique, leur conservation au lieu où l'activité soumise à enregistrement est exercée signifie qu'elles peuvent être consultées au lieu où l'activité soumise à enregistrement est exercée.</w:t>
      </w:r>
    </w:p>
    <w:p w14:paraId="3F1CE38E" w14:textId="77777777" w:rsidR="007C6B1F" w:rsidRPr="00A62ED8" w:rsidRDefault="007C6B1F" w:rsidP="007C6B1F">
      <w:pPr>
        <w:spacing w:line="276" w:lineRule="auto"/>
        <w:rPr>
          <w:rFonts w:ascii="Verdana" w:hAnsi="Verdana" w:cs="Arial"/>
          <w:sz w:val="20"/>
        </w:rPr>
      </w:pPr>
    </w:p>
    <w:p w14:paraId="42BFF2D6" w14:textId="7CC7326A" w:rsidR="002167B8" w:rsidRPr="00A62ED8" w:rsidRDefault="002167B8" w:rsidP="007C6B1F">
      <w:pPr>
        <w:spacing w:line="276" w:lineRule="auto"/>
        <w:ind w:firstLine="708"/>
        <w:rPr>
          <w:rFonts w:ascii="Verdana" w:hAnsi="Verdana" w:cs="Arial"/>
          <w:sz w:val="20"/>
        </w:rPr>
      </w:pPr>
      <w:r w:rsidRPr="00A62ED8">
        <w:rPr>
          <w:rFonts w:ascii="Verdana" w:hAnsi="Verdana"/>
          <w:sz w:val="20"/>
        </w:rPr>
        <w:t xml:space="preserve">Les documents nécessaires à l'appui du registre sont conservés </w:t>
      </w:r>
      <w:proofErr w:type="gramStart"/>
      <w:r w:rsidRPr="00A62ED8">
        <w:rPr>
          <w:rFonts w:ascii="Verdana" w:hAnsi="Verdana"/>
          <w:sz w:val="20"/>
        </w:rPr>
        <w:t>de manière à ce</w:t>
      </w:r>
      <w:proofErr w:type="gramEnd"/>
      <w:r w:rsidRPr="00A62ED8">
        <w:rPr>
          <w:rFonts w:ascii="Verdana" w:hAnsi="Verdana"/>
          <w:sz w:val="20"/>
        </w:rPr>
        <w:t xml:space="preserve"> que la note du registre à laquelle se rapporte la preuve documentaire en question soit clairement identifiée.</w:t>
      </w:r>
    </w:p>
    <w:p w14:paraId="46A87405" w14:textId="77777777" w:rsidR="007C6B1F" w:rsidRPr="00A62ED8" w:rsidRDefault="007C6B1F" w:rsidP="007C6B1F">
      <w:pPr>
        <w:spacing w:line="276" w:lineRule="auto"/>
        <w:rPr>
          <w:rFonts w:ascii="Verdana" w:hAnsi="Verdana" w:cs="Arial"/>
          <w:sz w:val="20"/>
        </w:rPr>
      </w:pPr>
    </w:p>
    <w:p w14:paraId="55A59F5E" w14:textId="40A7EEDA" w:rsidR="007C6B1F" w:rsidRPr="00A62ED8" w:rsidRDefault="00A62DFB" w:rsidP="00A478D5">
      <w:pPr>
        <w:spacing w:line="276" w:lineRule="auto"/>
        <w:ind w:firstLine="708"/>
        <w:rPr>
          <w:rFonts w:ascii="Verdana" w:hAnsi="Verdana" w:cs="Arial"/>
          <w:sz w:val="20"/>
        </w:rPr>
      </w:pPr>
      <w:r w:rsidRPr="00A62ED8">
        <w:rPr>
          <w:rFonts w:ascii="Verdana" w:hAnsi="Verdana"/>
          <w:sz w:val="20"/>
        </w:rPr>
        <w:t>Les données visées à l'article 2.2.4.1, paragraphe 2, alinéa 2 qui n'ont pas été enregistrées par l'agriculteur dont l'exploitation appartient à la parcelle en question, sont transmises par la banque du lisier à l'agriculteur dont l'exploitation appartient à la parcelle en question. La banque de lisier transmettra les données visées à l'article 2.2.4.1, paragraphe 2, alinéa 2, dès que les données de la demande unique pour l'année en question indiqueront qui est l'agriculteur à qui appartient la parcelle en question.</w:t>
      </w:r>
      <w:r w:rsidRPr="00A62ED8">
        <w:rPr>
          <w:rFonts w:ascii="Verdana" w:hAnsi="Verdana"/>
          <w:sz w:val="20"/>
        </w:rPr>
        <w:tab/>
      </w:r>
    </w:p>
    <w:p w14:paraId="2C8A8207" w14:textId="77777777" w:rsidR="00A478D5" w:rsidRPr="00A62ED8" w:rsidRDefault="00A478D5" w:rsidP="007C6B1F">
      <w:pPr>
        <w:spacing w:line="276" w:lineRule="auto"/>
        <w:rPr>
          <w:rFonts w:ascii="Verdana" w:hAnsi="Verdana" w:cs="Arial"/>
          <w:sz w:val="20"/>
        </w:rPr>
      </w:pPr>
    </w:p>
    <w:p w14:paraId="7800C300" w14:textId="670AF000" w:rsidR="00AC6A25" w:rsidRPr="00A62ED8" w:rsidRDefault="00A62DFB" w:rsidP="007C6B1F">
      <w:pPr>
        <w:spacing w:line="276" w:lineRule="auto"/>
        <w:rPr>
          <w:rFonts w:ascii="Verdana" w:hAnsi="Verdana" w:cs="Arial"/>
          <w:sz w:val="20"/>
        </w:rPr>
      </w:pPr>
      <w:r w:rsidRPr="00A62ED8">
        <w:rPr>
          <w:rFonts w:ascii="Verdana" w:hAnsi="Verdana"/>
          <w:sz w:val="20"/>
        </w:rPr>
        <w:tab/>
      </w:r>
      <w:bookmarkStart w:id="10" w:name="_Hlk67041136"/>
      <w:r w:rsidRPr="00A62ED8">
        <w:rPr>
          <w:rFonts w:ascii="Verdana" w:hAnsi="Verdana"/>
          <w:sz w:val="20"/>
        </w:rPr>
        <w:t>Sans préjudice de l'application du sixième alinéa, le ministre peut stipuler que, pour les inscriptions au registre relatives à la commercialisation des engrais, la banque du lisier transmet les informations enregistrées par une partie soumise au registre aux autres parties concernées par la commercialisation des engrais. Le ministre peut fixer des règles plus détaillées à ce sujet</w:t>
      </w:r>
      <w:r w:rsidR="00A62ED8">
        <w:rPr>
          <w:rFonts w:ascii="Verdana" w:hAnsi="Verdana"/>
          <w:sz w:val="20"/>
        </w:rPr>
        <w:t>.</w:t>
      </w:r>
      <w:r w:rsidRPr="00A62ED8">
        <w:rPr>
          <w:rFonts w:ascii="Verdana" w:hAnsi="Verdana"/>
          <w:sz w:val="20"/>
        </w:rPr>
        <w:t>»</w:t>
      </w:r>
      <w:bookmarkEnd w:id="10"/>
    </w:p>
    <w:p w14:paraId="210C0864" w14:textId="65AAB34D" w:rsidR="007D4E61" w:rsidRPr="00A62ED8" w:rsidRDefault="007D4E61" w:rsidP="004D3E74">
      <w:pPr>
        <w:spacing w:line="276" w:lineRule="auto"/>
        <w:ind w:firstLine="708"/>
        <w:rPr>
          <w:rFonts w:ascii="Verdana" w:hAnsi="Verdana" w:cs="Arial"/>
          <w:sz w:val="20"/>
        </w:rPr>
      </w:pPr>
    </w:p>
    <w:p w14:paraId="60AD7C0B" w14:textId="6147ED34" w:rsidR="007D4E61" w:rsidRPr="00A62ED8" w:rsidRDefault="007C61F0" w:rsidP="004D3E74">
      <w:pPr>
        <w:spacing w:line="276" w:lineRule="auto"/>
        <w:ind w:firstLine="708"/>
        <w:rPr>
          <w:rFonts w:ascii="Verdana" w:hAnsi="Verdana" w:cs="Arial"/>
          <w:sz w:val="20"/>
        </w:rPr>
      </w:pPr>
      <w:r w:rsidRPr="00A62ED8">
        <w:rPr>
          <w:rFonts w:ascii="Verdana" w:hAnsi="Verdana"/>
          <w:sz w:val="20"/>
        </w:rPr>
        <w:t>Par dérogation au paragraphe 3, le registre est rempli au plus tard le mois suivant celui au cours duquel les faits à inscrire dans le registre sont survenus en ce qui concerne :</w:t>
      </w:r>
    </w:p>
    <w:p w14:paraId="6937D824" w14:textId="63277F84" w:rsidR="00097755" w:rsidRPr="00A62ED8" w:rsidRDefault="001B3659" w:rsidP="004B2AEC">
      <w:pPr>
        <w:spacing w:line="276" w:lineRule="auto"/>
        <w:ind w:left="708" w:hanging="708"/>
        <w:rPr>
          <w:rFonts w:ascii="Verdana" w:hAnsi="Verdana" w:cs="Arial"/>
          <w:sz w:val="20"/>
        </w:rPr>
      </w:pPr>
      <w:r w:rsidRPr="00A62ED8">
        <w:rPr>
          <w:rFonts w:ascii="Verdana" w:hAnsi="Verdana"/>
          <w:sz w:val="20"/>
        </w:rPr>
        <w:t xml:space="preserve">1° </w:t>
      </w:r>
      <w:r w:rsidR="00A62ED8">
        <w:rPr>
          <w:rFonts w:ascii="Verdana" w:hAnsi="Verdana"/>
          <w:sz w:val="20"/>
        </w:rPr>
        <w:tab/>
      </w:r>
      <w:r w:rsidRPr="00A62ED8">
        <w:rPr>
          <w:rFonts w:ascii="Verdana" w:hAnsi="Verdana"/>
          <w:sz w:val="20"/>
        </w:rPr>
        <w:t xml:space="preserve">les données à inscrire au registre pour les producteurs, distributeurs, importateurs ou exportateurs d’engrais, visés à l’article 2.2.3.1, en ce qui concerne l’exportation d’engrais. </w:t>
      </w:r>
      <w:bookmarkStart w:id="11" w:name="_Hlk65691084"/>
      <w:r w:rsidRPr="00A62ED8">
        <w:rPr>
          <w:rFonts w:ascii="Verdana" w:hAnsi="Verdana"/>
          <w:sz w:val="20"/>
        </w:rPr>
        <w:t xml:space="preserve">Par dérogation à l’article 2.2.3.1(4), le </w:t>
      </w:r>
      <w:r w:rsidRPr="00A62ED8">
        <w:rPr>
          <w:rFonts w:ascii="Verdana" w:hAnsi="Verdana"/>
          <w:sz w:val="20"/>
        </w:rPr>
        <w:lastRenderedPageBreak/>
        <w:t>registre enregistre, pour chaque type d’engrais, la quantité d’engrais exportée en kg P</w:t>
      </w:r>
      <w:r w:rsidRPr="00A62ED8">
        <w:rPr>
          <w:rFonts w:ascii="Verdana" w:hAnsi="Verdana"/>
          <w:sz w:val="20"/>
          <w:vertAlign w:val="subscript"/>
        </w:rPr>
        <w:t>2</w:t>
      </w:r>
      <w:r w:rsidRPr="00A62ED8">
        <w:rPr>
          <w:rFonts w:ascii="Verdana" w:hAnsi="Verdana"/>
          <w:sz w:val="20"/>
        </w:rPr>
        <w:t>O</w:t>
      </w:r>
      <w:r w:rsidRPr="00A62ED8">
        <w:rPr>
          <w:rFonts w:ascii="Verdana" w:hAnsi="Verdana"/>
          <w:sz w:val="20"/>
          <w:vertAlign w:val="subscript"/>
        </w:rPr>
        <w:t>5</w:t>
      </w:r>
      <w:r w:rsidRPr="00A62ED8">
        <w:rPr>
          <w:rFonts w:ascii="Verdana" w:hAnsi="Verdana"/>
          <w:sz w:val="20"/>
        </w:rPr>
        <w:t>, en kg N et en tonnes au cours du mois en question;</w:t>
      </w:r>
    </w:p>
    <w:bookmarkEnd w:id="11"/>
    <w:p w14:paraId="3BB4F434" w14:textId="137D5CBB" w:rsidR="00020256" w:rsidRPr="00A62ED8" w:rsidRDefault="00F33D81" w:rsidP="00845119">
      <w:pPr>
        <w:spacing w:line="276" w:lineRule="auto"/>
        <w:ind w:left="708" w:hanging="708"/>
        <w:rPr>
          <w:rFonts w:ascii="Verdana" w:hAnsi="Verdana" w:cs="Arial"/>
          <w:sz w:val="20"/>
        </w:rPr>
      </w:pPr>
      <w:r w:rsidRPr="00A62ED8">
        <w:rPr>
          <w:rFonts w:ascii="Verdana" w:hAnsi="Verdana"/>
          <w:sz w:val="20"/>
        </w:rPr>
        <w:t xml:space="preserve">2° </w:t>
      </w:r>
      <w:r w:rsidR="00A62ED8">
        <w:rPr>
          <w:rFonts w:ascii="Verdana" w:hAnsi="Verdana"/>
          <w:sz w:val="20"/>
        </w:rPr>
        <w:tab/>
      </w:r>
      <w:r w:rsidRPr="00A62ED8">
        <w:rPr>
          <w:rFonts w:ascii="Verdana" w:hAnsi="Verdana"/>
          <w:sz w:val="20"/>
        </w:rPr>
        <w:t>les données à enregistrer dans le registre pour les producteurs, distributeurs, importateurs ou exportateurs d’engrais, visés à l’article 2.2.3.1, concernant les livraisons à des particuliers jusqu’à concurrence de 100 kg d’engrais par livraison. Par dérogation à l’article 2.2.3.1(1), le registre enregistre, pour chaque type d’engrais, la quantité d’engrais, exprimée en kg</w:t>
      </w:r>
      <w:r w:rsidRPr="00A62ED8">
        <w:rPr>
          <w:rFonts w:ascii="Verdana" w:hAnsi="Verdana"/>
          <w:sz w:val="20"/>
          <w:vertAlign w:val="subscript"/>
        </w:rPr>
        <w:t xml:space="preserve"> </w:t>
      </w:r>
      <w:r w:rsidRPr="00A62ED8">
        <w:rPr>
          <w:rFonts w:ascii="Verdana" w:hAnsi="Verdana"/>
          <w:sz w:val="20"/>
        </w:rPr>
        <w:t>P</w:t>
      </w:r>
      <w:r w:rsidRPr="00A62ED8">
        <w:rPr>
          <w:rFonts w:ascii="Verdana" w:hAnsi="Verdana"/>
          <w:sz w:val="20"/>
          <w:vertAlign w:val="subscript"/>
        </w:rPr>
        <w:t>2</w:t>
      </w:r>
      <w:r w:rsidRPr="00A62ED8">
        <w:rPr>
          <w:rFonts w:ascii="Verdana" w:hAnsi="Verdana"/>
          <w:sz w:val="20"/>
        </w:rPr>
        <w:t>O</w:t>
      </w:r>
      <w:r w:rsidRPr="00A62ED8">
        <w:rPr>
          <w:rFonts w:ascii="Verdana" w:hAnsi="Verdana"/>
          <w:sz w:val="20"/>
          <w:vertAlign w:val="subscript"/>
        </w:rPr>
        <w:t>5</w:t>
      </w:r>
      <w:r w:rsidRPr="00A62ED8">
        <w:rPr>
          <w:rFonts w:ascii="Verdana" w:hAnsi="Verdana"/>
          <w:sz w:val="20"/>
        </w:rPr>
        <w:t>, en kg N et en tonnes, livrées à des particuliers pendant le mois en question par livraison jusqu’à concurrence de 100 kg par livraison;</w:t>
      </w:r>
    </w:p>
    <w:p w14:paraId="46BE80E9" w14:textId="67B28E2C" w:rsidR="003F6CCB" w:rsidRPr="00A62ED8" w:rsidRDefault="00475ECD" w:rsidP="00C00766">
      <w:pPr>
        <w:spacing w:line="276" w:lineRule="auto"/>
        <w:ind w:left="708" w:hanging="708"/>
        <w:rPr>
          <w:rFonts w:ascii="Verdana" w:hAnsi="Verdana" w:cs="Arial"/>
          <w:sz w:val="20"/>
        </w:rPr>
      </w:pPr>
      <w:r w:rsidRPr="00A62ED8">
        <w:rPr>
          <w:rFonts w:ascii="Verdana" w:hAnsi="Verdana"/>
          <w:sz w:val="20"/>
        </w:rPr>
        <w:t>3°</w:t>
      </w:r>
      <w:r w:rsidRPr="00A62ED8">
        <w:rPr>
          <w:rFonts w:ascii="Verdana" w:hAnsi="Verdana"/>
          <w:sz w:val="20"/>
        </w:rPr>
        <w:tab/>
        <w:t>le registre des engrais visé à l’article 2.2.4.1, qui concerne un agriculteur soumis à enregistrement dont l’exploitation bénéficie d’une exemption visée à l’article 14(6) du Décret sur le Fumier. L’exemption visée à l’article 14(6) du Décret sur le Fumier peut être demandée par tout agriculteur sur lequel se trouve l’exploitation de terres agricoles, quel que soit le type de superficie dans laquelle se trouvent les parcelles de l’agriculteur.  Par dérogation à l’article 2.2.4.1(2), il est indiqué dans le registre de cet agriculteur, pour chaque parcelle de terres agricoles appartenant à l’exploitation, la quantité d’engrais, spécifiée selon le type d’engrais et exprimée en kg P</w:t>
      </w:r>
      <w:r w:rsidRPr="00A62ED8">
        <w:rPr>
          <w:rFonts w:ascii="Verdana" w:hAnsi="Verdana"/>
          <w:sz w:val="20"/>
          <w:vertAlign w:val="subscript"/>
        </w:rPr>
        <w:t>2</w:t>
      </w:r>
      <w:r w:rsidRPr="00A62ED8">
        <w:rPr>
          <w:rFonts w:ascii="Verdana" w:hAnsi="Verdana"/>
          <w:sz w:val="20"/>
        </w:rPr>
        <w:t>O</w:t>
      </w:r>
      <w:r w:rsidRPr="00A62ED8">
        <w:rPr>
          <w:rFonts w:ascii="Verdana" w:hAnsi="Verdana"/>
          <w:sz w:val="20"/>
          <w:vertAlign w:val="subscript"/>
        </w:rPr>
        <w:t>5</w:t>
      </w:r>
      <w:r w:rsidRPr="00A62ED8">
        <w:rPr>
          <w:rFonts w:ascii="Verdana" w:hAnsi="Verdana"/>
          <w:sz w:val="20"/>
        </w:rPr>
        <w:t>, exprimée en N kg et en tonnes, sur la placette concernée au cours du mois concerné.</w:t>
      </w:r>
    </w:p>
    <w:p w14:paraId="045DE075" w14:textId="77777777" w:rsidR="00020256" w:rsidRPr="00A62ED8" w:rsidRDefault="00020256" w:rsidP="008831D7">
      <w:pPr>
        <w:spacing w:line="276" w:lineRule="auto"/>
        <w:rPr>
          <w:rFonts w:ascii="Verdana" w:hAnsi="Verdana" w:cs="Arial"/>
          <w:sz w:val="20"/>
        </w:rPr>
      </w:pPr>
    </w:p>
    <w:p w14:paraId="1A4C1D0B" w14:textId="4B5B1DEB" w:rsidR="007D4E61" w:rsidRPr="00A62ED8" w:rsidRDefault="00C13F78" w:rsidP="00845119">
      <w:pPr>
        <w:spacing w:line="276" w:lineRule="auto"/>
        <w:ind w:firstLine="708"/>
        <w:rPr>
          <w:rFonts w:ascii="Verdana" w:hAnsi="Verdana" w:cs="Arial"/>
          <w:sz w:val="20"/>
        </w:rPr>
      </w:pPr>
      <w:r w:rsidRPr="00A62ED8">
        <w:rPr>
          <w:rFonts w:ascii="Verdana" w:hAnsi="Verdana"/>
          <w:sz w:val="20"/>
        </w:rPr>
        <w:t>Le ministre peut établir les modalités des dérogations visées au paragraphe huit et prolonger les situations dans lesquelles les faits doivent être consignés dans le registre au plus tard le mois suivant celui au cours duquel les faits se sont produits, tel que visé au paragraphe huit ci-dessus, et peut déterminer, par dérogation aux articles 2.2.3.1 et 2.2.4.1, les informations à inscrire dans le registre.»</w:t>
      </w:r>
    </w:p>
    <w:p w14:paraId="49CC7E38" w14:textId="77777777" w:rsidR="00004A1D" w:rsidRPr="00A62ED8" w:rsidRDefault="00004A1D" w:rsidP="007C6B1F">
      <w:pPr>
        <w:spacing w:line="276" w:lineRule="auto"/>
        <w:rPr>
          <w:rFonts w:ascii="Verdana" w:hAnsi="Verdana" w:cs="Arial"/>
          <w:b/>
          <w:sz w:val="20"/>
        </w:rPr>
      </w:pPr>
    </w:p>
    <w:p w14:paraId="690E8A0E" w14:textId="4BB01FC6" w:rsidR="002167B8" w:rsidRPr="00A62ED8" w:rsidRDefault="002167B8" w:rsidP="007C6B1F">
      <w:pPr>
        <w:spacing w:line="276" w:lineRule="auto"/>
        <w:rPr>
          <w:rFonts w:ascii="Verdana" w:hAnsi="Verdana" w:cs="Arial"/>
          <w:sz w:val="20"/>
        </w:rPr>
      </w:pPr>
      <w:r w:rsidRPr="00A62ED8">
        <w:rPr>
          <w:rFonts w:ascii="Verdana" w:hAnsi="Verdana"/>
          <w:b/>
          <w:sz w:val="20"/>
        </w:rPr>
        <w:t>Article 2.</w:t>
      </w:r>
      <w:r w:rsidRPr="00A62ED8">
        <w:rPr>
          <w:rFonts w:ascii="Verdana" w:hAnsi="Verdana"/>
          <w:sz w:val="20"/>
        </w:rPr>
        <w:t xml:space="preserve"> À l'article 2.2.3.1 du même arrêté, inséré par l'arrêté du gouvernement flamand du 22 décembre 2017, les modifications suivantes sont apportées:</w:t>
      </w:r>
    </w:p>
    <w:p w14:paraId="1D99DAC7" w14:textId="77777777" w:rsidR="007C6B1F" w:rsidRPr="00A62ED8" w:rsidRDefault="007C6B1F" w:rsidP="007C6B1F">
      <w:pPr>
        <w:spacing w:line="276" w:lineRule="auto"/>
        <w:rPr>
          <w:rFonts w:ascii="Verdana" w:hAnsi="Verdana" w:cs="Arial"/>
          <w:sz w:val="20"/>
        </w:rPr>
      </w:pPr>
    </w:p>
    <w:p w14:paraId="488B8E08" w14:textId="22B2B22E" w:rsidR="007C5D1F" w:rsidRPr="00A62ED8" w:rsidRDefault="007C5D1F" w:rsidP="007C6B1F">
      <w:pPr>
        <w:spacing w:line="276" w:lineRule="auto"/>
        <w:rPr>
          <w:rFonts w:ascii="Verdana" w:hAnsi="Verdana" w:cs="Arial"/>
          <w:sz w:val="20"/>
        </w:rPr>
      </w:pPr>
      <w:r w:rsidRPr="00A62ED8">
        <w:rPr>
          <w:rFonts w:ascii="Verdana" w:hAnsi="Verdana"/>
          <w:sz w:val="20"/>
        </w:rPr>
        <w:t>1° entre les mots «le nom» et les mots «de l'intéressé», les mots «et le numéro de l'agriculteur ou de l'exploitation» sont insérés;</w:t>
      </w:r>
    </w:p>
    <w:p w14:paraId="54C1A363" w14:textId="23A5F0C5" w:rsidR="0061792F" w:rsidRPr="00A62ED8" w:rsidRDefault="0061792F" w:rsidP="007C6B1F">
      <w:pPr>
        <w:spacing w:line="276" w:lineRule="auto"/>
        <w:rPr>
          <w:rFonts w:ascii="Verdana" w:hAnsi="Verdana" w:cs="Arial"/>
          <w:sz w:val="20"/>
        </w:rPr>
      </w:pPr>
    </w:p>
    <w:p w14:paraId="5212A838" w14:textId="631B9704" w:rsidR="00E35BF0" w:rsidRPr="00A62ED8" w:rsidRDefault="00E35BF0" w:rsidP="007C6B1F">
      <w:pPr>
        <w:spacing w:line="276" w:lineRule="auto"/>
        <w:rPr>
          <w:rFonts w:ascii="Verdana" w:hAnsi="Verdana" w:cs="Arial"/>
          <w:sz w:val="20"/>
        </w:rPr>
      </w:pPr>
      <w:r w:rsidRPr="00A62ED8">
        <w:rPr>
          <w:rFonts w:ascii="Verdana" w:hAnsi="Verdana"/>
          <w:sz w:val="20"/>
        </w:rPr>
        <w:t>2° au premier alinéa, le point 5</w:t>
      </w:r>
      <w:r w:rsidR="009353C9">
        <w:rPr>
          <w:rFonts w:ascii="Verdana" w:hAnsi="Verdana"/>
          <w:sz w:val="20"/>
        </w:rPr>
        <w:t>º</w:t>
      </w:r>
      <w:r w:rsidRPr="00A62ED8">
        <w:rPr>
          <w:rFonts w:ascii="Verdana" w:hAnsi="Verdana"/>
          <w:sz w:val="20"/>
        </w:rPr>
        <w:t xml:space="preserve"> est supprimé;</w:t>
      </w:r>
    </w:p>
    <w:p w14:paraId="1A4968EE" w14:textId="0D4B2C75" w:rsidR="0061792F" w:rsidRPr="00A62ED8" w:rsidRDefault="0061792F" w:rsidP="007C6B1F">
      <w:pPr>
        <w:spacing w:line="276" w:lineRule="auto"/>
        <w:rPr>
          <w:rFonts w:ascii="Verdana" w:hAnsi="Verdana" w:cs="Arial"/>
          <w:sz w:val="20"/>
        </w:rPr>
      </w:pPr>
    </w:p>
    <w:p w14:paraId="17F54E9C" w14:textId="77FB4997" w:rsidR="0061792F" w:rsidRPr="00A62ED8" w:rsidRDefault="0061792F" w:rsidP="007C6B1F">
      <w:pPr>
        <w:spacing w:line="276" w:lineRule="auto"/>
        <w:rPr>
          <w:rFonts w:ascii="Verdana" w:hAnsi="Verdana" w:cs="Arial"/>
          <w:sz w:val="20"/>
        </w:rPr>
      </w:pPr>
      <w:r w:rsidRPr="00A62ED8">
        <w:rPr>
          <w:rFonts w:ascii="Verdana" w:hAnsi="Verdana"/>
          <w:sz w:val="20"/>
        </w:rPr>
        <w:t>3° au deuxième alinéa, point 2</w:t>
      </w:r>
      <w:r w:rsidR="009353C9">
        <w:rPr>
          <w:rFonts w:ascii="Verdana" w:hAnsi="Verdana"/>
          <w:sz w:val="20"/>
        </w:rPr>
        <w:t>º</w:t>
      </w:r>
      <w:r w:rsidRPr="00A62ED8">
        <w:rPr>
          <w:rFonts w:ascii="Verdana" w:hAnsi="Verdana"/>
          <w:sz w:val="20"/>
        </w:rPr>
        <w:t>, entre les mots «le nom» et «l'adresse», les mots «et le numéro de l'exploitant ou de l'exploitation» sont insérés;</w:t>
      </w:r>
    </w:p>
    <w:p w14:paraId="3E14F742" w14:textId="77777777" w:rsidR="007C6B1F" w:rsidRPr="00A62ED8" w:rsidRDefault="007C6B1F" w:rsidP="007C6B1F">
      <w:pPr>
        <w:spacing w:line="276" w:lineRule="auto"/>
        <w:rPr>
          <w:rFonts w:ascii="Verdana" w:hAnsi="Verdana" w:cs="Arial"/>
          <w:sz w:val="20"/>
        </w:rPr>
      </w:pPr>
    </w:p>
    <w:p w14:paraId="1E7ED09A" w14:textId="236AC186" w:rsidR="00E35BF0" w:rsidRPr="00A62ED8" w:rsidRDefault="0061792F" w:rsidP="007C6B1F">
      <w:pPr>
        <w:spacing w:line="276" w:lineRule="auto"/>
        <w:rPr>
          <w:rFonts w:ascii="Verdana" w:hAnsi="Verdana" w:cs="Arial"/>
          <w:sz w:val="20"/>
        </w:rPr>
      </w:pPr>
      <w:r w:rsidRPr="00A62ED8">
        <w:rPr>
          <w:rFonts w:ascii="Verdana" w:hAnsi="Verdana"/>
          <w:sz w:val="20"/>
        </w:rPr>
        <w:t>4° dans le deuxième alinéa, le point 6</w:t>
      </w:r>
      <w:r w:rsidR="009353C9">
        <w:rPr>
          <w:rFonts w:ascii="Verdana" w:hAnsi="Verdana"/>
          <w:sz w:val="20"/>
        </w:rPr>
        <w:t>º</w:t>
      </w:r>
      <w:r w:rsidRPr="00A62ED8">
        <w:rPr>
          <w:rFonts w:ascii="Verdana" w:hAnsi="Verdana"/>
          <w:sz w:val="20"/>
        </w:rPr>
        <w:t xml:space="preserve"> est supprimé;</w:t>
      </w:r>
    </w:p>
    <w:p w14:paraId="564A84B5" w14:textId="77777777" w:rsidR="007C6B1F" w:rsidRPr="00A62ED8" w:rsidRDefault="007C6B1F" w:rsidP="007C6B1F">
      <w:pPr>
        <w:spacing w:line="276" w:lineRule="auto"/>
        <w:rPr>
          <w:rFonts w:ascii="Verdana" w:hAnsi="Verdana" w:cs="Arial"/>
          <w:sz w:val="20"/>
        </w:rPr>
      </w:pPr>
    </w:p>
    <w:p w14:paraId="38CC1B19" w14:textId="025D2F0C" w:rsidR="00E6702E" w:rsidRPr="00A62ED8" w:rsidRDefault="00A932E5" w:rsidP="007C6B1F">
      <w:pPr>
        <w:spacing w:line="276" w:lineRule="auto"/>
        <w:rPr>
          <w:rFonts w:ascii="Verdana" w:hAnsi="Verdana" w:cs="Arial"/>
          <w:sz w:val="20"/>
        </w:rPr>
      </w:pPr>
      <w:r w:rsidRPr="00A62ED8">
        <w:rPr>
          <w:rFonts w:ascii="Verdana" w:hAnsi="Verdana"/>
          <w:sz w:val="20"/>
        </w:rPr>
        <w:t>5° au troisième alinéa, le point 5</w:t>
      </w:r>
      <w:r w:rsidR="009353C9">
        <w:rPr>
          <w:rFonts w:ascii="Verdana" w:hAnsi="Verdana"/>
          <w:sz w:val="20"/>
        </w:rPr>
        <w:t>º</w:t>
      </w:r>
      <w:r w:rsidRPr="00A62ED8">
        <w:rPr>
          <w:rFonts w:ascii="Verdana" w:hAnsi="Verdana"/>
          <w:sz w:val="20"/>
        </w:rPr>
        <w:t xml:space="preserve"> est supprimé;</w:t>
      </w:r>
    </w:p>
    <w:p w14:paraId="276F5393" w14:textId="77777777" w:rsidR="007C6B1F" w:rsidRPr="00A62ED8" w:rsidRDefault="007C6B1F" w:rsidP="007C6B1F">
      <w:pPr>
        <w:spacing w:line="276" w:lineRule="auto"/>
        <w:rPr>
          <w:rFonts w:ascii="Verdana" w:hAnsi="Verdana" w:cs="Arial"/>
          <w:sz w:val="20"/>
        </w:rPr>
      </w:pPr>
    </w:p>
    <w:p w14:paraId="25CB53DC" w14:textId="6128AE4A" w:rsidR="007938D5" w:rsidRPr="00A62ED8" w:rsidRDefault="00A932E5" w:rsidP="007C6B1F">
      <w:pPr>
        <w:spacing w:line="276" w:lineRule="auto"/>
        <w:rPr>
          <w:rFonts w:ascii="Verdana" w:hAnsi="Verdana" w:cs="Arial"/>
          <w:sz w:val="20"/>
        </w:rPr>
      </w:pPr>
      <w:r w:rsidRPr="00A62ED8">
        <w:rPr>
          <w:rFonts w:ascii="Verdana" w:hAnsi="Verdana"/>
          <w:sz w:val="20"/>
        </w:rPr>
        <w:t>6° au quatrième alinéa, le point 6</w:t>
      </w:r>
      <w:r w:rsidR="009353C9">
        <w:rPr>
          <w:rFonts w:ascii="Verdana" w:hAnsi="Verdana"/>
          <w:sz w:val="20"/>
        </w:rPr>
        <w:t>º</w:t>
      </w:r>
      <w:r w:rsidRPr="00A62ED8">
        <w:rPr>
          <w:rFonts w:ascii="Verdana" w:hAnsi="Verdana"/>
          <w:sz w:val="20"/>
        </w:rPr>
        <w:t xml:space="preserve"> est supprimé;</w:t>
      </w:r>
    </w:p>
    <w:p w14:paraId="344D8CEF" w14:textId="77777777" w:rsidR="007C6B1F" w:rsidRPr="00A62ED8" w:rsidRDefault="007C6B1F" w:rsidP="007C6B1F">
      <w:pPr>
        <w:spacing w:line="276" w:lineRule="auto"/>
        <w:rPr>
          <w:rFonts w:ascii="Verdana" w:hAnsi="Verdana" w:cs="Arial"/>
          <w:sz w:val="20"/>
        </w:rPr>
      </w:pPr>
    </w:p>
    <w:p w14:paraId="7BAFD97A" w14:textId="40788D33" w:rsidR="007938D5" w:rsidRPr="00A62ED8" w:rsidRDefault="00A932E5" w:rsidP="007C6B1F">
      <w:pPr>
        <w:spacing w:line="276" w:lineRule="auto"/>
        <w:rPr>
          <w:rFonts w:ascii="Verdana" w:hAnsi="Verdana" w:cs="Arial"/>
          <w:sz w:val="20"/>
        </w:rPr>
      </w:pPr>
      <w:r w:rsidRPr="00A62ED8">
        <w:rPr>
          <w:rFonts w:ascii="Verdana" w:hAnsi="Verdana"/>
          <w:sz w:val="20"/>
        </w:rPr>
        <w:t>7° un cinquième alinéa est ajouté, libellé comme suit:</w:t>
      </w:r>
    </w:p>
    <w:p w14:paraId="795204CF" w14:textId="77777777" w:rsidR="007C6B1F" w:rsidRPr="00A62ED8" w:rsidRDefault="007C6B1F" w:rsidP="007C6B1F">
      <w:pPr>
        <w:spacing w:line="276" w:lineRule="auto"/>
        <w:rPr>
          <w:rFonts w:ascii="Verdana" w:hAnsi="Verdana" w:cs="Arial"/>
          <w:sz w:val="20"/>
        </w:rPr>
      </w:pPr>
    </w:p>
    <w:p w14:paraId="69520E4C" w14:textId="4E40FE3E" w:rsidR="0008743C" w:rsidRPr="00A62ED8" w:rsidRDefault="00DD38AE" w:rsidP="007C6B1F">
      <w:pPr>
        <w:spacing w:line="276" w:lineRule="auto"/>
        <w:rPr>
          <w:rFonts w:ascii="Verdana" w:hAnsi="Verdana" w:cs="Arial"/>
          <w:sz w:val="20"/>
        </w:rPr>
      </w:pPr>
      <w:r w:rsidRPr="00A62ED8">
        <w:rPr>
          <w:rFonts w:ascii="Verdana" w:hAnsi="Verdana"/>
          <w:sz w:val="20"/>
        </w:rPr>
        <w:t xml:space="preserve">«Par dérogation aux sous-sections 1 à 4, aux fins de l'identification du fournisseur, du producteur ou du destinataire d'engrais qui n'ont pas de numéro </w:t>
      </w:r>
      <w:r w:rsidRPr="00A62ED8">
        <w:rPr>
          <w:rFonts w:ascii="Verdana" w:hAnsi="Verdana"/>
          <w:sz w:val="20"/>
        </w:rPr>
        <w:lastRenderedPageBreak/>
        <w:t>d'exploitation ou d'entreprise, le numéro d'entreprise du fournisseur, du producteur ou du destinataire des engrais en question est inscrit dans le registre.</w:t>
      </w:r>
      <w:r w:rsidR="00A62ED8" w:rsidRPr="00A62ED8">
        <w:rPr>
          <w:rFonts w:ascii="Verdana" w:hAnsi="Verdana"/>
          <w:sz w:val="20"/>
        </w:rPr>
        <w:t xml:space="preserve"> </w:t>
      </w:r>
    </w:p>
    <w:p w14:paraId="04342A1D" w14:textId="77777777" w:rsidR="007C6B1F" w:rsidRPr="00A62ED8" w:rsidRDefault="007C6B1F" w:rsidP="007C6B1F">
      <w:pPr>
        <w:spacing w:line="276" w:lineRule="auto"/>
        <w:rPr>
          <w:rFonts w:ascii="Verdana" w:hAnsi="Verdana" w:cs="Arial"/>
          <w:sz w:val="20"/>
        </w:rPr>
      </w:pPr>
    </w:p>
    <w:p w14:paraId="30A3ACD3" w14:textId="75423D76" w:rsidR="0007144D" w:rsidRPr="00A62ED8" w:rsidRDefault="007D16E6" w:rsidP="007C6B1F">
      <w:pPr>
        <w:spacing w:line="276" w:lineRule="auto"/>
        <w:rPr>
          <w:rFonts w:ascii="Verdana" w:hAnsi="Verdana" w:cs="Arial"/>
          <w:sz w:val="20"/>
        </w:rPr>
      </w:pPr>
      <w:r w:rsidRPr="00A62ED8">
        <w:rPr>
          <w:rFonts w:ascii="Verdana" w:hAnsi="Verdana"/>
          <w:b/>
          <w:sz w:val="20"/>
        </w:rPr>
        <w:t>Article 3.</w:t>
      </w:r>
      <w:r w:rsidRPr="00A62ED8">
        <w:rPr>
          <w:rFonts w:ascii="Verdana" w:hAnsi="Verdana"/>
          <w:sz w:val="20"/>
        </w:rPr>
        <w:t xml:space="preserve"> Au chapitre 2, section 2, du même décret, inséré par le décret du gouvernement flamand du 22 décembre 2017, une sous-section 4, composée de l'article 2.2.4.1, est ajoutée, libellée comme suit: </w:t>
      </w:r>
    </w:p>
    <w:p w14:paraId="391A9934" w14:textId="77777777" w:rsidR="0014108F" w:rsidRPr="00A62ED8" w:rsidRDefault="0014108F" w:rsidP="007C6B1F">
      <w:pPr>
        <w:spacing w:line="276" w:lineRule="auto"/>
        <w:rPr>
          <w:rFonts w:ascii="Verdana" w:hAnsi="Verdana" w:cs="Arial"/>
          <w:sz w:val="20"/>
        </w:rPr>
      </w:pPr>
    </w:p>
    <w:p w14:paraId="6F44AF8E" w14:textId="6773AF50" w:rsidR="0007144D" w:rsidRPr="00A62ED8" w:rsidRDefault="0014108F" w:rsidP="007C6B1F">
      <w:pPr>
        <w:spacing w:line="276" w:lineRule="auto"/>
        <w:rPr>
          <w:rFonts w:ascii="Verdana" w:hAnsi="Verdana" w:cs="Arial"/>
          <w:sz w:val="20"/>
        </w:rPr>
      </w:pPr>
      <w:r w:rsidRPr="00A62ED8">
        <w:rPr>
          <w:rFonts w:ascii="Verdana" w:hAnsi="Verdana"/>
          <w:sz w:val="20"/>
        </w:rPr>
        <w:t>«Sous-section 4. Le registre d'engrais pour les agriculteurs</w:t>
      </w:r>
    </w:p>
    <w:p w14:paraId="4045445A" w14:textId="324C3899" w:rsidR="007D16E6" w:rsidRPr="00A62ED8" w:rsidRDefault="007D16E6" w:rsidP="007C6B1F">
      <w:pPr>
        <w:spacing w:line="276" w:lineRule="auto"/>
        <w:rPr>
          <w:rFonts w:ascii="Verdana" w:hAnsi="Verdana" w:cs="Arial"/>
          <w:sz w:val="20"/>
        </w:rPr>
      </w:pPr>
    </w:p>
    <w:p w14:paraId="54AAD43B" w14:textId="18FACFCA" w:rsidR="002844CB" w:rsidRPr="00A62ED8" w:rsidRDefault="002844CB" w:rsidP="007C6B1F">
      <w:pPr>
        <w:spacing w:line="276" w:lineRule="auto"/>
        <w:rPr>
          <w:rFonts w:ascii="Verdana" w:hAnsi="Verdana" w:cs="Arial"/>
          <w:sz w:val="20"/>
        </w:rPr>
      </w:pPr>
      <w:r w:rsidRPr="00A62ED8">
        <w:rPr>
          <w:rFonts w:ascii="Verdana" w:hAnsi="Verdana"/>
          <w:sz w:val="20"/>
        </w:rPr>
        <w:t xml:space="preserve">Art. 2.2.4.1. Paragraphe 1. En application de l'article 24, paragraphe 6, du décret sur les engrais du 22 décembre 2006, chaque agriculteur visé à l'article 23, paragraphe 1, premier alinéa, point 1, dudit décret tient un registre d'engrais de synthèse par année civile. </w:t>
      </w:r>
    </w:p>
    <w:p w14:paraId="75C13826" w14:textId="77777777" w:rsidR="00DE33CA" w:rsidRPr="00A62ED8" w:rsidRDefault="00DE33CA" w:rsidP="007C6B1F">
      <w:pPr>
        <w:spacing w:line="276" w:lineRule="auto"/>
        <w:rPr>
          <w:rFonts w:ascii="Verdana" w:hAnsi="Verdana" w:cs="Arial"/>
          <w:sz w:val="20"/>
        </w:rPr>
      </w:pPr>
    </w:p>
    <w:p w14:paraId="35F84D55" w14:textId="72E2E638" w:rsidR="00DE33CA" w:rsidRPr="00A62ED8" w:rsidRDefault="002844CB" w:rsidP="00DE33CA">
      <w:pPr>
        <w:spacing w:line="276" w:lineRule="auto"/>
        <w:ind w:firstLine="708"/>
        <w:rPr>
          <w:rFonts w:ascii="Verdana" w:hAnsi="Verdana" w:cs="Arial"/>
          <w:sz w:val="20"/>
        </w:rPr>
      </w:pPr>
      <w:r w:rsidRPr="00A62ED8">
        <w:rPr>
          <w:rFonts w:ascii="Verdana" w:hAnsi="Verdana"/>
          <w:sz w:val="20"/>
        </w:rPr>
        <w:t>Le registre d'engrais, mentionné dans le premier paragraphe, se compose de deux parties:</w:t>
      </w:r>
    </w:p>
    <w:p w14:paraId="1D45EB85" w14:textId="380D38B2" w:rsidR="00DE33CA" w:rsidRPr="00A62ED8" w:rsidRDefault="002844CB" w:rsidP="00A813CB">
      <w:pPr>
        <w:pStyle w:val="ListParagraph"/>
        <w:numPr>
          <w:ilvl w:val="0"/>
          <w:numId w:val="18"/>
        </w:numPr>
        <w:spacing w:line="276" w:lineRule="auto"/>
        <w:ind w:hanging="720"/>
        <w:rPr>
          <w:rFonts w:ascii="Verdana" w:hAnsi="Verdana" w:cs="Arial"/>
          <w:sz w:val="20"/>
        </w:rPr>
      </w:pPr>
      <w:proofErr w:type="gramStart"/>
      <w:r w:rsidRPr="00A62ED8">
        <w:rPr>
          <w:rFonts w:ascii="Verdana" w:hAnsi="Verdana"/>
          <w:sz w:val="20"/>
        </w:rPr>
        <w:t>un</w:t>
      </w:r>
      <w:proofErr w:type="gramEnd"/>
      <w:r w:rsidRPr="00A62ED8">
        <w:rPr>
          <w:rFonts w:ascii="Verdana" w:hAnsi="Verdana"/>
          <w:sz w:val="20"/>
        </w:rPr>
        <w:t xml:space="preserve"> registre d'utilisation dans lequel l'utilisation d'engrais au niveau de la parcelle est enregistrée conformément au paragraphe 2;</w:t>
      </w:r>
    </w:p>
    <w:p w14:paraId="389CAED4" w14:textId="3FD315C7" w:rsidR="002844CB" w:rsidRPr="00A62ED8" w:rsidRDefault="002844CB" w:rsidP="00A813CB">
      <w:pPr>
        <w:pStyle w:val="ListParagraph"/>
        <w:numPr>
          <w:ilvl w:val="0"/>
          <w:numId w:val="18"/>
        </w:numPr>
        <w:spacing w:line="276" w:lineRule="auto"/>
        <w:ind w:hanging="720"/>
        <w:rPr>
          <w:rFonts w:ascii="Verdana" w:hAnsi="Verdana" w:cs="Arial"/>
          <w:sz w:val="20"/>
        </w:rPr>
      </w:pPr>
      <w:proofErr w:type="gramStart"/>
      <w:r w:rsidRPr="00A62ED8">
        <w:rPr>
          <w:rFonts w:ascii="Verdana" w:hAnsi="Verdana"/>
          <w:sz w:val="20"/>
        </w:rPr>
        <w:t>un</w:t>
      </w:r>
      <w:proofErr w:type="gramEnd"/>
      <w:r w:rsidRPr="00A62ED8">
        <w:rPr>
          <w:rFonts w:ascii="Verdana" w:hAnsi="Verdana"/>
          <w:sz w:val="20"/>
        </w:rPr>
        <w:t xml:space="preserve"> registre du commerce </w:t>
      </w:r>
      <w:bookmarkStart w:id="12" w:name="_Hlk43810782"/>
      <w:r w:rsidRPr="00A62ED8">
        <w:rPr>
          <w:rFonts w:ascii="Verdana" w:hAnsi="Verdana"/>
          <w:sz w:val="20"/>
        </w:rPr>
        <w:t>dans lequel l'agriculteur comptabilise les flux d'engrais sur son exploitation conformément à l'article 3.</w:t>
      </w:r>
      <w:bookmarkEnd w:id="12"/>
    </w:p>
    <w:p w14:paraId="201162D7" w14:textId="77777777" w:rsidR="007C6B1F" w:rsidRPr="00A62ED8" w:rsidRDefault="007C6B1F" w:rsidP="007C6B1F">
      <w:pPr>
        <w:spacing w:line="276" w:lineRule="auto"/>
        <w:rPr>
          <w:rFonts w:ascii="Verdana" w:hAnsi="Verdana" w:cs="Arial"/>
          <w:sz w:val="20"/>
        </w:rPr>
      </w:pPr>
    </w:p>
    <w:p w14:paraId="6DEBDB39" w14:textId="0CBECA6C" w:rsidR="002844CB" w:rsidRPr="00A62ED8" w:rsidRDefault="002844CB" w:rsidP="007C6B1F">
      <w:pPr>
        <w:spacing w:line="276" w:lineRule="auto"/>
        <w:rPr>
          <w:rFonts w:ascii="Verdana" w:hAnsi="Verdana" w:cs="Arial"/>
          <w:sz w:val="20"/>
        </w:rPr>
      </w:pPr>
      <w:r w:rsidRPr="00A62ED8">
        <w:rPr>
          <w:rFonts w:ascii="Verdana" w:hAnsi="Verdana"/>
          <w:sz w:val="20"/>
        </w:rPr>
        <w:t xml:space="preserve">Paragraphe 2. </w:t>
      </w:r>
      <w:bookmarkStart w:id="13" w:name="_Hlk43810736"/>
      <w:r w:rsidRPr="00A62ED8">
        <w:rPr>
          <w:rFonts w:ascii="Verdana" w:hAnsi="Verdana"/>
          <w:sz w:val="20"/>
        </w:rPr>
        <w:t xml:space="preserve">L'agriculteur veille à ce que le registre d'utilisation visé au paragraphe 1, point 2, enregistre l'utilisation d'engrais sur toutes les parcelles agricoles appartenant à l'exploitation. </w:t>
      </w:r>
      <w:bookmarkStart w:id="14" w:name="_Hlk32918566"/>
      <w:bookmarkEnd w:id="13"/>
    </w:p>
    <w:p w14:paraId="4D1EBB79" w14:textId="77777777" w:rsidR="007C6B1F" w:rsidRPr="00A62ED8" w:rsidRDefault="007C6B1F" w:rsidP="007C6B1F">
      <w:pPr>
        <w:spacing w:line="276" w:lineRule="auto"/>
        <w:rPr>
          <w:rFonts w:ascii="Verdana" w:hAnsi="Verdana" w:cs="Arial"/>
          <w:sz w:val="20"/>
        </w:rPr>
      </w:pPr>
      <w:bookmarkStart w:id="15" w:name="_Hlk32920788"/>
      <w:bookmarkEnd w:id="14"/>
    </w:p>
    <w:p w14:paraId="0C45FC3E" w14:textId="6C903FFF" w:rsidR="002844CB" w:rsidRPr="00A62ED8" w:rsidRDefault="002844CB" w:rsidP="00A478D5">
      <w:pPr>
        <w:spacing w:line="276" w:lineRule="auto"/>
        <w:rPr>
          <w:rFonts w:ascii="Verdana" w:hAnsi="Verdana" w:cs="Arial"/>
          <w:sz w:val="20"/>
        </w:rPr>
      </w:pPr>
      <w:r w:rsidRPr="00A62ED8">
        <w:rPr>
          <w:rFonts w:ascii="Verdana" w:hAnsi="Verdana"/>
          <w:sz w:val="20"/>
        </w:rPr>
        <w:t>L'agriculteur veille à ce que, pour chaque parcelle de terre agricole appartenant à l'exploitation, chaque utilisation d'engrais soit enregistrée. Les informations suivantes sont enregistrées pour chaque utilisation d'engrais:</w:t>
      </w:r>
    </w:p>
    <w:p w14:paraId="73EA849A" w14:textId="72B272C0" w:rsidR="002844CB" w:rsidRPr="00A62ED8" w:rsidRDefault="002844CB" w:rsidP="00A813CB">
      <w:pPr>
        <w:pStyle w:val="ListParagraph"/>
        <w:numPr>
          <w:ilvl w:val="0"/>
          <w:numId w:val="11"/>
        </w:numPr>
        <w:spacing w:line="276" w:lineRule="auto"/>
        <w:ind w:hanging="720"/>
        <w:rPr>
          <w:rFonts w:ascii="Verdana" w:hAnsi="Verdana" w:cs="Arial"/>
          <w:sz w:val="20"/>
        </w:rPr>
      </w:pPr>
      <w:proofErr w:type="gramStart"/>
      <w:r w:rsidRPr="00A62ED8">
        <w:rPr>
          <w:rFonts w:ascii="Verdana" w:hAnsi="Verdana"/>
          <w:sz w:val="20"/>
        </w:rPr>
        <w:t>l'identification</w:t>
      </w:r>
      <w:proofErr w:type="gramEnd"/>
      <w:r w:rsidRPr="00A62ED8">
        <w:rPr>
          <w:rFonts w:ascii="Verdana" w:hAnsi="Verdana"/>
          <w:sz w:val="20"/>
        </w:rPr>
        <w:t xml:space="preserve"> de la ou des parcelles sur lesquelles l'engrais a été utilisé;</w:t>
      </w:r>
    </w:p>
    <w:p w14:paraId="06EDFCFD" w14:textId="42E9144E" w:rsidR="002844CB" w:rsidRPr="00A62ED8" w:rsidRDefault="002844CB" w:rsidP="00A813CB">
      <w:pPr>
        <w:pStyle w:val="ListParagraph"/>
        <w:numPr>
          <w:ilvl w:val="0"/>
          <w:numId w:val="11"/>
        </w:numPr>
        <w:spacing w:line="276" w:lineRule="auto"/>
        <w:ind w:hanging="720"/>
        <w:rPr>
          <w:rFonts w:ascii="Verdana" w:hAnsi="Verdana" w:cs="Arial"/>
          <w:sz w:val="20"/>
        </w:rPr>
      </w:pPr>
      <w:proofErr w:type="gramStart"/>
      <w:r w:rsidRPr="00A62ED8">
        <w:rPr>
          <w:rFonts w:ascii="Verdana" w:hAnsi="Verdana"/>
          <w:sz w:val="20"/>
        </w:rPr>
        <w:t>la</w:t>
      </w:r>
      <w:proofErr w:type="gramEnd"/>
      <w:r w:rsidRPr="00A62ED8">
        <w:rPr>
          <w:rFonts w:ascii="Verdana" w:hAnsi="Verdana"/>
          <w:sz w:val="20"/>
        </w:rPr>
        <w:t xml:space="preserve"> date à laquelle l'engrais a été utilisé;</w:t>
      </w:r>
    </w:p>
    <w:p w14:paraId="730F1EE5" w14:textId="5D524B6F" w:rsidR="002844CB" w:rsidRPr="00A62ED8" w:rsidRDefault="002844CB" w:rsidP="00A813CB">
      <w:pPr>
        <w:pStyle w:val="ListParagraph"/>
        <w:numPr>
          <w:ilvl w:val="0"/>
          <w:numId w:val="11"/>
        </w:numPr>
        <w:spacing w:line="276" w:lineRule="auto"/>
        <w:ind w:hanging="720"/>
        <w:rPr>
          <w:rFonts w:ascii="Verdana" w:hAnsi="Verdana" w:cs="Arial"/>
          <w:sz w:val="20"/>
        </w:rPr>
      </w:pPr>
      <w:proofErr w:type="gramStart"/>
      <w:r w:rsidRPr="00A62ED8">
        <w:rPr>
          <w:rFonts w:ascii="Verdana" w:hAnsi="Verdana"/>
          <w:sz w:val="20"/>
        </w:rPr>
        <w:t>l'identification</w:t>
      </w:r>
      <w:proofErr w:type="gramEnd"/>
      <w:r w:rsidRPr="00A62ED8">
        <w:rPr>
          <w:rFonts w:ascii="Verdana" w:hAnsi="Verdana"/>
          <w:sz w:val="20"/>
        </w:rPr>
        <w:t xml:space="preserve"> du type d'engrais utilisé. Cela signifie la composition, exprimée en pourcentage de N et en pourcentage de P</w:t>
      </w:r>
      <w:r w:rsidRPr="00A62ED8">
        <w:rPr>
          <w:rFonts w:ascii="Verdana" w:hAnsi="Verdana"/>
          <w:sz w:val="20"/>
          <w:vertAlign w:val="subscript"/>
        </w:rPr>
        <w:t>2</w:t>
      </w:r>
      <w:r w:rsidRPr="00A62ED8">
        <w:rPr>
          <w:rFonts w:ascii="Verdana" w:hAnsi="Verdana"/>
          <w:sz w:val="20"/>
        </w:rPr>
        <w:t>O</w:t>
      </w:r>
      <w:r w:rsidRPr="00A62ED8">
        <w:rPr>
          <w:rFonts w:ascii="Verdana" w:hAnsi="Verdana"/>
          <w:sz w:val="20"/>
          <w:vertAlign w:val="subscript"/>
        </w:rPr>
        <w:t>5</w:t>
      </w:r>
      <w:r w:rsidRPr="00A62ED8">
        <w:rPr>
          <w:rFonts w:ascii="Verdana" w:hAnsi="Verdana"/>
          <w:sz w:val="20"/>
        </w:rPr>
        <w:t>, de l'engrais utilisé et le nom de l'engrais utilisé;</w:t>
      </w:r>
    </w:p>
    <w:p w14:paraId="26211EBF" w14:textId="63DB0454" w:rsidR="002844CB" w:rsidRPr="00A62ED8" w:rsidRDefault="002844CB" w:rsidP="00A813CB">
      <w:pPr>
        <w:pStyle w:val="ListParagraph"/>
        <w:numPr>
          <w:ilvl w:val="0"/>
          <w:numId w:val="11"/>
        </w:numPr>
        <w:spacing w:line="276" w:lineRule="auto"/>
        <w:ind w:hanging="720"/>
        <w:rPr>
          <w:rFonts w:ascii="Verdana" w:hAnsi="Verdana" w:cs="Arial"/>
          <w:sz w:val="20"/>
        </w:rPr>
      </w:pPr>
      <w:proofErr w:type="gramStart"/>
      <w:r w:rsidRPr="00A62ED8">
        <w:rPr>
          <w:rFonts w:ascii="Verdana" w:hAnsi="Verdana"/>
          <w:sz w:val="20"/>
        </w:rPr>
        <w:t>la</w:t>
      </w:r>
      <w:proofErr w:type="gramEnd"/>
      <w:r w:rsidRPr="00A62ED8">
        <w:rPr>
          <w:rFonts w:ascii="Verdana" w:hAnsi="Verdana"/>
          <w:sz w:val="20"/>
        </w:rPr>
        <w:t xml:space="preserve"> quantité d'engrais utilisée, exprimée en kilogrammes ou en litres.</w:t>
      </w:r>
    </w:p>
    <w:p w14:paraId="5FA53A0F" w14:textId="77777777" w:rsidR="002844CB" w:rsidRPr="00A62ED8" w:rsidRDefault="002844CB" w:rsidP="007C6B1F">
      <w:pPr>
        <w:spacing w:line="276" w:lineRule="auto"/>
        <w:rPr>
          <w:rFonts w:ascii="Verdana" w:hAnsi="Verdana" w:cs="Arial"/>
          <w:sz w:val="20"/>
        </w:rPr>
      </w:pPr>
    </w:p>
    <w:p w14:paraId="60B145E3" w14:textId="0DBFF4B5" w:rsidR="002844CB" w:rsidRPr="00A62ED8" w:rsidRDefault="002844CB" w:rsidP="000776BA">
      <w:pPr>
        <w:spacing w:line="276" w:lineRule="auto"/>
        <w:ind w:firstLine="708"/>
        <w:rPr>
          <w:rFonts w:ascii="Verdana" w:hAnsi="Verdana" w:cs="Arial"/>
          <w:sz w:val="20"/>
        </w:rPr>
      </w:pPr>
      <w:r w:rsidRPr="00A62ED8">
        <w:rPr>
          <w:rFonts w:ascii="Verdana" w:hAnsi="Verdana"/>
          <w:sz w:val="20"/>
        </w:rPr>
        <w:t xml:space="preserve">Une note dans le registre ne peut concerner la fertilisation de différentes parcelles de terres agricoles que si l'engrais utilisé l'a été le même jour et s'il a été réparti de manière uniforme sur les différentes parcelles en question. </w:t>
      </w:r>
    </w:p>
    <w:p w14:paraId="0BD2F9A6" w14:textId="77777777" w:rsidR="002844CB" w:rsidRPr="00A62ED8" w:rsidRDefault="002844CB" w:rsidP="007C6B1F">
      <w:pPr>
        <w:spacing w:line="276" w:lineRule="auto"/>
        <w:rPr>
          <w:rFonts w:ascii="Verdana" w:hAnsi="Verdana" w:cs="Arial"/>
          <w:sz w:val="20"/>
        </w:rPr>
      </w:pPr>
    </w:p>
    <w:p w14:paraId="37C00329" w14:textId="171CD636" w:rsidR="002844CB" w:rsidRPr="00A62ED8" w:rsidRDefault="002844CB" w:rsidP="00A813CB">
      <w:pPr>
        <w:spacing w:line="276" w:lineRule="auto"/>
        <w:ind w:firstLine="708"/>
        <w:rPr>
          <w:rFonts w:ascii="Verdana" w:hAnsi="Verdana" w:cs="Arial"/>
          <w:sz w:val="20"/>
        </w:rPr>
      </w:pPr>
      <w:r w:rsidRPr="00A62ED8">
        <w:rPr>
          <w:rFonts w:ascii="Verdana" w:hAnsi="Verdana"/>
          <w:sz w:val="20"/>
        </w:rPr>
        <w:t xml:space="preserve">Contrairement aux paragraphes 1 à 3, l'utilisation d'un engrais sur une culture sur milieu de croissance ne doit pas être enregistrée dans le registre d'utilisation. </w:t>
      </w:r>
    </w:p>
    <w:p w14:paraId="5C461C07" w14:textId="77777777" w:rsidR="002844CB" w:rsidRPr="00A62ED8" w:rsidRDefault="002844CB" w:rsidP="007C6B1F">
      <w:pPr>
        <w:spacing w:line="276" w:lineRule="auto"/>
        <w:rPr>
          <w:rFonts w:ascii="Verdana" w:hAnsi="Verdana" w:cs="Arial"/>
          <w:sz w:val="20"/>
        </w:rPr>
      </w:pPr>
    </w:p>
    <w:p w14:paraId="08AE141C" w14:textId="0FF8769D" w:rsidR="002844CB" w:rsidRPr="00A62ED8" w:rsidRDefault="002844CB" w:rsidP="00A813CB">
      <w:pPr>
        <w:spacing w:line="276" w:lineRule="auto"/>
        <w:ind w:firstLine="708"/>
        <w:rPr>
          <w:rFonts w:ascii="Verdana" w:hAnsi="Verdana" w:cs="Arial"/>
          <w:sz w:val="20"/>
        </w:rPr>
      </w:pPr>
      <w:r w:rsidRPr="00A62ED8">
        <w:rPr>
          <w:rFonts w:ascii="Verdana" w:hAnsi="Verdana"/>
          <w:sz w:val="20"/>
        </w:rPr>
        <w:t>Contrairement aux paragraphes 1 à 3, le ministre peut déterminer la manière dont l'utilisation d'engrais sur des terres agricoles couvertes en permanence doit être inscrite dans le registre d'utilisation.</w:t>
      </w:r>
    </w:p>
    <w:bookmarkEnd w:id="15"/>
    <w:p w14:paraId="1946284D" w14:textId="77777777" w:rsidR="002844CB" w:rsidRPr="00A62ED8" w:rsidRDefault="002844CB" w:rsidP="007C6B1F">
      <w:pPr>
        <w:spacing w:line="276" w:lineRule="auto"/>
        <w:rPr>
          <w:rFonts w:ascii="Verdana" w:hAnsi="Verdana" w:cs="Arial"/>
          <w:sz w:val="20"/>
        </w:rPr>
      </w:pPr>
    </w:p>
    <w:p w14:paraId="3FB2978F" w14:textId="740C8BBF" w:rsidR="004F37B2" w:rsidRPr="00A62ED8" w:rsidRDefault="002844CB" w:rsidP="007C6B1F">
      <w:pPr>
        <w:spacing w:line="276" w:lineRule="auto"/>
        <w:rPr>
          <w:rFonts w:ascii="Verdana" w:hAnsi="Verdana" w:cs="Arial"/>
          <w:sz w:val="20"/>
        </w:rPr>
      </w:pPr>
      <w:r w:rsidRPr="00A62ED8">
        <w:rPr>
          <w:rFonts w:ascii="Verdana" w:hAnsi="Verdana"/>
          <w:sz w:val="20"/>
        </w:rPr>
        <w:t xml:space="preserve">Paragraphe 3. L'agriculteur comptabilise les flux d'engrais sur son exploitation dans le registre du commerce visé au paragraphe 1, deuxième alinéa, point 2. </w:t>
      </w:r>
    </w:p>
    <w:p w14:paraId="714D86F0" w14:textId="0957D92E" w:rsidR="00C60541" w:rsidRPr="00A62ED8" w:rsidRDefault="00C60541" w:rsidP="00A813CB">
      <w:pPr>
        <w:spacing w:line="276" w:lineRule="auto"/>
        <w:ind w:firstLine="708"/>
        <w:rPr>
          <w:rFonts w:ascii="Verdana" w:hAnsi="Verdana" w:cs="Arial"/>
          <w:sz w:val="20"/>
        </w:rPr>
      </w:pPr>
    </w:p>
    <w:p w14:paraId="3384D94E" w14:textId="74AC5140" w:rsidR="002844CB" w:rsidRPr="00A62ED8" w:rsidRDefault="00013391" w:rsidP="00A813CB">
      <w:pPr>
        <w:spacing w:line="276" w:lineRule="auto"/>
        <w:ind w:firstLine="708"/>
        <w:rPr>
          <w:rFonts w:ascii="Verdana" w:hAnsi="Verdana" w:cs="Arial"/>
          <w:sz w:val="20"/>
        </w:rPr>
      </w:pPr>
      <w:r w:rsidRPr="00A62ED8">
        <w:rPr>
          <w:rFonts w:ascii="Verdana" w:hAnsi="Verdana"/>
          <w:sz w:val="20"/>
        </w:rPr>
        <w:lastRenderedPageBreak/>
        <w:t xml:space="preserve">Dans le registre du commerce, l'agriculteur enregistre tous les engrais reçus sur son exploitation ou transférés à un tiers. </w:t>
      </w:r>
    </w:p>
    <w:p w14:paraId="1619A7A3" w14:textId="77777777" w:rsidR="007C6B1F" w:rsidRPr="00A62ED8" w:rsidRDefault="007C6B1F" w:rsidP="007C6B1F">
      <w:pPr>
        <w:spacing w:line="276" w:lineRule="auto"/>
        <w:rPr>
          <w:rFonts w:ascii="Verdana" w:hAnsi="Verdana" w:cs="Arial"/>
          <w:sz w:val="20"/>
        </w:rPr>
      </w:pPr>
    </w:p>
    <w:p w14:paraId="0A915C2E" w14:textId="26595811" w:rsidR="002844CB" w:rsidRPr="00A62ED8" w:rsidRDefault="002844CB" w:rsidP="00A813CB">
      <w:pPr>
        <w:spacing w:line="276" w:lineRule="auto"/>
        <w:ind w:firstLine="708"/>
        <w:rPr>
          <w:rFonts w:ascii="Verdana" w:hAnsi="Verdana" w:cs="Arial"/>
          <w:sz w:val="20"/>
        </w:rPr>
      </w:pPr>
      <w:bookmarkStart w:id="16" w:name="_Hlk32921624"/>
      <w:r w:rsidRPr="00A62ED8">
        <w:rPr>
          <w:rFonts w:ascii="Verdana" w:hAnsi="Verdana"/>
          <w:sz w:val="20"/>
        </w:rPr>
        <w:t>Pour chaque engrais reçu d'un tiers, l'agriculteur doit enregistrer toutes les informations suivantes:</w:t>
      </w:r>
    </w:p>
    <w:p w14:paraId="058A1832" w14:textId="266E0E5C" w:rsidR="002844CB" w:rsidRPr="00A62ED8" w:rsidRDefault="002844CB" w:rsidP="00A813CB">
      <w:pPr>
        <w:pStyle w:val="ListParagraph"/>
        <w:numPr>
          <w:ilvl w:val="0"/>
          <w:numId w:val="12"/>
        </w:numPr>
        <w:spacing w:line="276" w:lineRule="auto"/>
        <w:ind w:hanging="720"/>
        <w:rPr>
          <w:rFonts w:ascii="Verdana" w:hAnsi="Verdana" w:cs="Arial"/>
          <w:sz w:val="20"/>
        </w:rPr>
      </w:pPr>
      <w:proofErr w:type="gramStart"/>
      <w:r w:rsidRPr="00A62ED8">
        <w:rPr>
          <w:rFonts w:ascii="Verdana" w:hAnsi="Verdana"/>
          <w:sz w:val="20"/>
        </w:rPr>
        <w:t>l'identification</w:t>
      </w:r>
      <w:proofErr w:type="gramEnd"/>
      <w:r w:rsidRPr="00A62ED8">
        <w:rPr>
          <w:rFonts w:ascii="Verdana" w:hAnsi="Verdana"/>
          <w:sz w:val="20"/>
        </w:rPr>
        <w:t xml:space="preserve"> du type d'engrais reçu. Cela signifie : la composition, exprimée en pourcentage de N et en pourcentage de P</w:t>
      </w:r>
      <w:r w:rsidRPr="00A62ED8">
        <w:rPr>
          <w:rFonts w:ascii="Verdana" w:hAnsi="Verdana"/>
          <w:sz w:val="20"/>
          <w:vertAlign w:val="subscript"/>
        </w:rPr>
        <w:t>2</w:t>
      </w:r>
      <w:r w:rsidRPr="00A62ED8">
        <w:rPr>
          <w:rFonts w:ascii="Verdana" w:hAnsi="Verdana"/>
          <w:sz w:val="20"/>
        </w:rPr>
        <w:t>O</w:t>
      </w:r>
      <w:r w:rsidRPr="00A62ED8">
        <w:rPr>
          <w:rFonts w:ascii="Verdana" w:hAnsi="Verdana"/>
          <w:sz w:val="20"/>
          <w:vertAlign w:val="subscript"/>
        </w:rPr>
        <w:t>5</w:t>
      </w:r>
      <w:r w:rsidRPr="00A62ED8">
        <w:rPr>
          <w:rFonts w:ascii="Verdana" w:hAnsi="Verdana"/>
          <w:sz w:val="20"/>
        </w:rPr>
        <w:t>, de l'engrais reçu et le nom de l'engrais reçu;</w:t>
      </w:r>
    </w:p>
    <w:p w14:paraId="1DCEF495" w14:textId="08136495" w:rsidR="002844CB" w:rsidRPr="00A62ED8" w:rsidRDefault="002844CB" w:rsidP="00A813CB">
      <w:pPr>
        <w:pStyle w:val="ListParagraph"/>
        <w:numPr>
          <w:ilvl w:val="0"/>
          <w:numId w:val="12"/>
        </w:numPr>
        <w:spacing w:line="276" w:lineRule="auto"/>
        <w:ind w:hanging="720"/>
        <w:rPr>
          <w:rFonts w:ascii="Verdana" w:hAnsi="Verdana" w:cs="Arial"/>
          <w:sz w:val="20"/>
        </w:rPr>
      </w:pPr>
      <w:proofErr w:type="gramStart"/>
      <w:r w:rsidRPr="00A62ED8">
        <w:rPr>
          <w:rFonts w:ascii="Verdana" w:hAnsi="Verdana"/>
          <w:sz w:val="20"/>
        </w:rPr>
        <w:t>la</w:t>
      </w:r>
      <w:proofErr w:type="gramEnd"/>
      <w:r w:rsidRPr="00A62ED8">
        <w:rPr>
          <w:rFonts w:ascii="Verdana" w:hAnsi="Verdana"/>
          <w:sz w:val="20"/>
        </w:rPr>
        <w:t xml:space="preserve"> quantité d'engrais reçue, exprimée en kilogrammes ou en litres;</w:t>
      </w:r>
    </w:p>
    <w:p w14:paraId="2789B75F" w14:textId="6B066B56" w:rsidR="002844CB" w:rsidRPr="00A62ED8" w:rsidRDefault="002844CB" w:rsidP="00A813CB">
      <w:pPr>
        <w:pStyle w:val="ListParagraph"/>
        <w:numPr>
          <w:ilvl w:val="0"/>
          <w:numId w:val="12"/>
        </w:numPr>
        <w:spacing w:line="276" w:lineRule="auto"/>
        <w:ind w:hanging="720"/>
        <w:rPr>
          <w:rFonts w:ascii="Verdana" w:hAnsi="Verdana" w:cs="Arial"/>
          <w:sz w:val="20"/>
        </w:rPr>
      </w:pPr>
      <w:proofErr w:type="gramStart"/>
      <w:r w:rsidRPr="00A62ED8">
        <w:rPr>
          <w:rFonts w:ascii="Verdana" w:hAnsi="Verdana"/>
          <w:sz w:val="20"/>
        </w:rPr>
        <w:t>la</w:t>
      </w:r>
      <w:proofErr w:type="gramEnd"/>
      <w:r w:rsidRPr="00A62ED8">
        <w:rPr>
          <w:rFonts w:ascii="Verdana" w:hAnsi="Verdana"/>
          <w:sz w:val="20"/>
        </w:rPr>
        <w:t xml:space="preserve"> date à laquelle l'engrais a été reçu de l'agriculteur sur l'exploitation;</w:t>
      </w:r>
    </w:p>
    <w:p w14:paraId="694C76AD" w14:textId="5E38E848" w:rsidR="002844CB" w:rsidRPr="00A62ED8" w:rsidRDefault="002844CB" w:rsidP="00A813CB">
      <w:pPr>
        <w:pStyle w:val="ListParagraph"/>
        <w:numPr>
          <w:ilvl w:val="0"/>
          <w:numId w:val="12"/>
        </w:numPr>
        <w:spacing w:line="276" w:lineRule="auto"/>
        <w:ind w:hanging="720"/>
        <w:rPr>
          <w:rFonts w:ascii="Verdana" w:hAnsi="Verdana" w:cs="Arial"/>
          <w:sz w:val="20"/>
        </w:rPr>
      </w:pPr>
      <w:proofErr w:type="gramStart"/>
      <w:r w:rsidRPr="00A62ED8">
        <w:rPr>
          <w:rFonts w:ascii="Verdana" w:hAnsi="Verdana"/>
          <w:sz w:val="20"/>
        </w:rPr>
        <w:t>l'identification</w:t>
      </w:r>
      <w:proofErr w:type="gramEnd"/>
      <w:r w:rsidRPr="00A62ED8">
        <w:rPr>
          <w:rFonts w:ascii="Verdana" w:hAnsi="Verdana"/>
          <w:sz w:val="20"/>
        </w:rPr>
        <w:t xml:space="preserve"> de l'exploitation ou de la ferme d'où provient l'engrais.</w:t>
      </w:r>
    </w:p>
    <w:p w14:paraId="3571A968" w14:textId="77777777" w:rsidR="002844CB" w:rsidRPr="00A62ED8" w:rsidRDefault="002844CB" w:rsidP="007C6B1F">
      <w:pPr>
        <w:spacing w:line="276" w:lineRule="auto"/>
        <w:rPr>
          <w:rFonts w:ascii="Verdana" w:hAnsi="Verdana" w:cs="Arial"/>
          <w:sz w:val="20"/>
        </w:rPr>
      </w:pPr>
    </w:p>
    <w:p w14:paraId="647CDD76" w14:textId="71D0BDAB" w:rsidR="002844CB" w:rsidRPr="00A62ED8" w:rsidRDefault="002844CB" w:rsidP="00A813CB">
      <w:pPr>
        <w:spacing w:line="276" w:lineRule="auto"/>
        <w:ind w:firstLine="708"/>
        <w:rPr>
          <w:rFonts w:ascii="Verdana" w:hAnsi="Verdana" w:cs="Arial"/>
          <w:sz w:val="20"/>
        </w:rPr>
      </w:pPr>
      <w:r w:rsidRPr="00A62ED8">
        <w:rPr>
          <w:rFonts w:ascii="Verdana" w:hAnsi="Verdana"/>
          <w:sz w:val="20"/>
        </w:rPr>
        <w:t>Pour chaque transfert d'engrais à un tiers, l'agriculteur doit enregistrer toutes les informations suivantes:</w:t>
      </w:r>
    </w:p>
    <w:p w14:paraId="2548DA2D" w14:textId="6729AA20" w:rsidR="002844CB" w:rsidRPr="00A62ED8" w:rsidRDefault="002844CB" w:rsidP="00A813CB">
      <w:pPr>
        <w:pStyle w:val="ListParagraph"/>
        <w:numPr>
          <w:ilvl w:val="0"/>
          <w:numId w:val="13"/>
        </w:numPr>
        <w:spacing w:line="276" w:lineRule="auto"/>
        <w:ind w:hanging="720"/>
        <w:rPr>
          <w:rFonts w:ascii="Verdana" w:hAnsi="Verdana" w:cs="Arial"/>
          <w:sz w:val="20"/>
        </w:rPr>
      </w:pPr>
      <w:proofErr w:type="gramStart"/>
      <w:r w:rsidRPr="00A62ED8">
        <w:rPr>
          <w:rFonts w:ascii="Verdana" w:hAnsi="Verdana"/>
          <w:sz w:val="20"/>
        </w:rPr>
        <w:t>l'identification</w:t>
      </w:r>
      <w:proofErr w:type="gramEnd"/>
      <w:r w:rsidRPr="00A62ED8">
        <w:rPr>
          <w:rFonts w:ascii="Verdana" w:hAnsi="Verdana"/>
          <w:sz w:val="20"/>
        </w:rPr>
        <w:t xml:space="preserve"> du type d'engrais transféré. Cela signifie la composition, exprimée en pourcentage de N et en pourcentage de P</w:t>
      </w:r>
      <w:r w:rsidRPr="00A62ED8">
        <w:rPr>
          <w:rFonts w:ascii="Verdana" w:hAnsi="Verdana"/>
          <w:sz w:val="20"/>
          <w:vertAlign w:val="subscript"/>
        </w:rPr>
        <w:t>2</w:t>
      </w:r>
      <w:r w:rsidRPr="00A62ED8">
        <w:rPr>
          <w:rFonts w:ascii="Verdana" w:hAnsi="Verdana"/>
          <w:sz w:val="20"/>
        </w:rPr>
        <w:t>O</w:t>
      </w:r>
      <w:r w:rsidRPr="00A62ED8">
        <w:rPr>
          <w:rFonts w:ascii="Verdana" w:hAnsi="Verdana"/>
          <w:sz w:val="20"/>
          <w:vertAlign w:val="subscript"/>
        </w:rPr>
        <w:t>5</w:t>
      </w:r>
      <w:r w:rsidRPr="00A62ED8">
        <w:rPr>
          <w:rFonts w:ascii="Verdana" w:hAnsi="Verdana"/>
          <w:sz w:val="20"/>
        </w:rPr>
        <w:t xml:space="preserve">de </w:t>
      </w:r>
      <w:bookmarkStart w:id="17" w:name="_Hlk32921665"/>
      <w:r w:rsidRPr="00A62ED8">
        <w:rPr>
          <w:rFonts w:ascii="Verdana" w:hAnsi="Verdana"/>
          <w:sz w:val="20"/>
        </w:rPr>
        <w:t>l'engrais transféré</w:t>
      </w:r>
      <w:bookmarkEnd w:id="17"/>
      <w:r w:rsidRPr="00A62ED8">
        <w:rPr>
          <w:rFonts w:ascii="Verdana" w:hAnsi="Verdana"/>
          <w:sz w:val="20"/>
        </w:rPr>
        <w:t xml:space="preserve"> et le nom de l'engrais transféré;</w:t>
      </w:r>
    </w:p>
    <w:p w14:paraId="76E6AFCF" w14:textId="0E07E3BF" w:rsidR="002844CB" w:rsidRPr="00A62ED8" w:rsidRDefault="002844CB" w:rsidP="00A813CB">
      <w:pPr>
        <w:pStyle w:val="ListParagraph"/>
        <w:numPr>
          <w:ilvl w:val="0"/>
          <w:numId w:val="13"/>
        </w:numPr>
        <w:spacing w:line="276" w:lineRule="auto"/>
        <w:ind w:hanging="720"/>
        <w:rPr>
          <w:rFonts w:ascii="Verdana" w:hAnsi="Verdana" w:cs="Arial"/>
          <w:sz w:val="20"/>
        </w:rPr>
      </w:pPr>
      <w:proofErr w:type="gramStart"/>
      <w:r w:rsidRPr="00A62ED8">
        <w:rPr>
          <w:rFonts w:ascii="Verdana" w:hAnsi="Verdana"/>
          <w:sz w:val="20"/>
        </w:rPr>
        <w:t>la</w:t>
      </w:r>
      <w:proofErr w:type="gramEnd"/>
      <w:r w:rsidRPr="00A62ED8">
        <w:rPr>
          <w:rFonts w:ascii="Verdana" w:hAnsi="Verdana"/>
          <w:sz w:val="20"/>
        </w:rPr>
        <w:t xml:space="preserve"> quantité d'engrais transférée, exprimée en kilogrammes ou en litres;</w:t>
      </w:r>
    </w:p>
    <w:p w14:paraId="0AF392A3" w14:textId="5FB8DB05" w:rsidR="002844CB" w:rsidRPr="00A62ED8" w:rsidRDefault="002844CB" w:rsidP="00A813CB">
      <w:pPr>
        <w:pStyle w:val="ListParagraph"/>
        <w:numPr>
          <w:ilvl w:val="0"/>
          <w:numId w:val="13"/>
        </w:numPr>
        <w:spacing w:line="276" w:lineRule="auto"/>
        <w:ind w:hanging="720"/>
        <w:rPr>
          <w:rFonts w:ascii="Verdana" w:hAnsi="Verdana" w:cs="Arial"/>
          <w:sz w:val="20"/>
        </w:rPr>
      </w:pPr>
      <w:proofErr w:type="gramStart"/>
      <w:r w:rsidRPr="00A62ED8">
        <w:rPr>
          <w:rFonts w:ascii="Verdana" w:hAnsi="Verdana"/>
          <w:sz w:val="20"/>
        </w:rPr>
        <w:t>la</w:t>
      </w:r>
      <w:proofErr w:type="gramEnd"/>
      <w:r w:rsidRPr="00A62ED8">
        <w:rPr>
          <w:rFonts w:ascii="Verdana" w:hAnsi="Verdana"/>
          <w:sz w:val="20"/>
        </w:rPr>
        <w:t xml:space="preserve"> date à laquelle l'engrais a quitté l'exploitation de l'agriculteur;</w:t>
      </w:r>
    </w:p>
    <w:p w14:paraId="3D4D2333" w14:textId="51B73757" w:rsidR="002844CB" w:rsidRPr="00A62ED8" w:rsidRDefault="002844CB" w:rsidP="00A813CB">
      <w:pPr>
        <w:pStyle w:val="ListParagraph"/>
        <w:numPr>
          <w:ilvl w:val="0"/>
          <w:numId w:val="13"/>
        </w:numPr>
        <w:spacing w:line="276" w:lineRule="auto"/>
        <w:ind w:hanging="720"/>
        <w:rPr>
          <w:rFonts w:ascii="Verdana" w:hAnsi="Verdana" w:cs="Arial"/>
          <w:sz w:val="20"/>
        </w:rPr>
      </w:pPr>
      <w:proofErr w:type="gramStart"/>
      <w:r w:rsidRPr="00A62ED8">
        <w:rPr>
          <w:rFonts w:ascii="Verdana" w:hAnsi="Verdana"/>
          <w:sz w:val="20"/>
        </w:rPr>
        <w:t>l'identification</w:t>
      </w:r>
      <w:proofErr w:type="gramEnd"/>
      <w:r w:rsidRPr="00A62ED8">
        <w:rPr>
          <w:rFonts w:ascii="Verdana" w:hAnsi="Verdana"/>
          <w:sz w:val="20"/>
        </w:rPr>
        <w:t xml:space="preserve"> de l'exploitation ou de la ferme à laquelle l'engrais a été transféré.</w:t>
      </w:r>
    </w:p>
    <w:p w14:paraId="534C26E8" w14:textId="77777777" w:rsidR="002844CB" w:rsidRPr="00A62ED8" w:rsidRDefault="002844CB" w:rsidP="007C6B1F">
      <w:pPr>
        <w:spacing w:line="276" w:lineRule="auto"/>
        <w:rPr>
          <w:rFonts w:ascii="Verdana" w:hAnsi="Verdana" w:cs="Arial"/>
          <w:sz w:val="20"/>
        </w:rPr>
      </w:pPr>
    </w:p>
    <w:bookmarkEnd w:id="16"/>
    <w:p w14:paraId="2937932A" w14:textId="45D85110" w:rsidR="0075662F" w:rsidRPr="00A62ED8" w:rsidRDefault="005B2F7B" w:rsidP="0075662F">
      <w:pPr>
        <w:spacing w:line="276" w:lineRule="auto"/>
        <w:ind w:firstLine="708"/>
        <w:rPr>
          <w:rFonts w:ascii="Verdana" w:hAnsi="Verdana" w:cs="Arial"/>
          <w:sz w:val="20"/>
        </w:rPr>
      </w:pPr>
      <w:r w:rsidRPr="00A62ED8">
        <w:rPr>
          <w:rFonts w:ascii="Verdana" w:hAnsi="Verdana"/>
          <w:sz w:val="20"/>
        </w:rPr>
        <w:t>L'agriculteur qui applique ou fait appliquer de l'engrais sur une parcelle agricole n'appartenant pas à son exploitation doit consigner les informations mentionnées au paragraphe 2, point 2, dans le registre d'utilisation de la parcelle en question. Dès que les informations contenues dans la demande unique pour l'année en question identifient l'agriculteur à qui appartient la parcelle en question, les informations enregistrées seront transmises par la banque du fumier à l'agriculteur en question et seront visibles par ce dernier dans le registre d'utilisation de la parcelle en question.</w:t>
      </w:r>
    </w:p>
    <w:p w14:paraId="3AD2657F" w14:textId="77777777" w:rsidR="00A17C02" w:rsidRPr="00A62ED8" w:rsidRDefault="00A17C02" w:rsidP="007C6B1F">
      <w:pPr>
        <w:spacing w:line="276" w:lineRule="auto"/>
        <w:rPr>
          <w:rFonts w:ascii="Verdana" w:hAnsi="Verdana" w:cs="Arial"/>
          <w:sz w:val="20"/>
        </w:rPr>
      </w:pPr>
    </w:p>
    <w:p w14:paraId="253AA1A7" w14:textId="63A7F35A" w:rsidR="002844CB" w:rsidRPr="00A62ED8" w:rsidRDefault="002844CB" w:rsidP="00A813CB">
      <w:pPr>
        <w:spacing w:line="276" w:lineRule="auto"/>
        <w:ind w:firstLine="708"/>
        <w:rPr>
          <w:rFonts w:ascii="Verdana" w:hAnsi="Verdana" w:cs="Arial"/>
          <w:sz w:val="20"/>
        </w:rPr>
      </w:pPr>
      <w:r w:rsidRPr="00A62ED8">
        <w:rPr>
          <w:rFonts w:ascii="Verdana" w:hAnsi="Verdana"/>
          <w:sz w:val="20"/>
        </w:rPr>
        <w:t xml:space="preserve">Aux fins du présent paragraphe, un transfert d'engrais entre différents exploitants appartenant au même agriculteur n'est pas considéré comme un transfert d'engrais à un tiers. </w:t>
      </w:r>
    </w:p>
    <w:p w14:paraId="55585B55" w14:textId="77777777" w:rsidR="002844CB" w:rsidRPr="00A62ED8" w:rsidRDefault="002844CB" w:rsidP="007C6B1F">
      <w:pPr>
        <w:spacing w:line="276" w:lineRule="auto"/>
        <w:rPr>
          <w:rFonts w:ascii="Verdana" w:hAnsi="Verdana" w:cs="Arial"/>
          <w:sz w:val="20"/>
        </w:rPr>
      </w:pPr>
    </w:p>
    <w:p w14:paraId="76DCB543" w14:textId="27CAEB91" w:rsidR="002844CB" w:rsidRPr="00A62ED8" w:rsidRDefault="002844CB" w:rsidP="007C6B1F">
      <w:pPr>
        <w:spacing w:line="276" w:lineRule="auto"/>
        <w:rPr>
          <w:rFonts w:ascii="Verdana" w:hAnsi="Verdana" w:cs="Arial"/>
          <w:sz w:val="20"/>
        </w:rPr>
      </w:pPr>
      <w:r w:rsidRPr="00A62ED8">
        <w:rPr>
          <w:rFonts w:ascii="Verdana" w:hAnsi="Verdana"/>
          <w:sz w:val="20"/>
        </w:rPr>
        <w:tab/>
        <w:t>Le nom et l'adresse de l'agriculteur ou de l'exploitant concerné ainsi que son numéro sont indiqués pour l'identification de l'entreprise ou de l'exploitation d'où l'engrais a été transféré, comme indiqué au paragraphe 3, point 4, et pour l'identification de l'exploitation ou de l'exploitation à laquelle l'engrais a été transféré, comme indiqué au paragraphe 4, point 4. Si l'agriculteur ou l'exploitant en question n'a pas de numéro d'agriculteur ou d'exploitant, le numéro d'entreprise de l'agriculteur ou de l'exploitant en question est inscrit dans le registre</w:t>
      </w:r>
      <w:r w:rsidR="003D5005">
        <w:rPr>
          <w:rFonts w:ascii="Verdana" w:hAnsi="Verdana"/>
          <w:sz w:val="20"/>
        </w:rPr>
        <w:t>.</w:t>
      </w:r>
      <w:r w:rsidRPr="00A62ED8">
        <w:rPr>
          <w:rFonts w:ascii="Verdana" w:hAnsi="Verdana"/>
          <w:sz w:val="20"/>
        </w:rPr>
        <w:t>»</w:t>
      </w:r>
    </w:p>
    <w:p w14:paraId="31241109" w14:textId="1254E307" w:rsidR="007D16E6" w:rsidRPr="00A62ED8" w:rsidRDefault="007D16E6" w:rsidP="007C6B1F">
      <w:pPr>
        <w:spacing w:line="276" w:lineRule="auto"/>
        <w:rPr>
          <w:rFonts w:ascii="Verdana" w:hAnsi="Verdana" w:cs="Arial"/>
          <w:sz w:val="20"/>
        </w:rPr>
      </w:pPr>
    </w:p>
    <w:p w14:paraId="4D15D777" w14:textId="452A7446" w:rsidR="002844CB" w:rsidRPr="00A62ED8" w:rsidRDefault="002844CB" w:rsidP="007C6B1F">
      <w:pPr>
        <w:spacing w:line="276" w:lineRule="auto"/>
        <w:rPr>
          <w:rFonts w:ascii="Verdana" w:hAnsi="Verdana" w:cs="Arial"/>
          <w:sz w:val="20"/>
        </w:rPr>
      </w:pPr>
      <w:r w:rsidRPr="00A62ED8">
        <w:rPr>
          <w:rFonts w:ascii="Verdana" w:hAnsi="Verdana"/>
          <w:b/>
          <w:sz w:val="20"/>
        </w:rPr>
        <w:t>Article 4.</w:t>
      </w:r>
      <w:r w:rsidRPr="00A62ED8">
        <w:rPr>
          <w:rFonts w:ascii="Verdana" w:hAnsi="Verdana"/>
          <w:sz w:val="20"/>
        </w:rPr>
        <w:t xml:space="preserve"> Au chapitre 4 du même décret, tel que modifié par le décret du Gouvernement flamand du 22 décembre 2017, une section 5, composée de l'article 4.5.1, est ajoutée comme suit: </w:t>
      </w:r>
    </w:p>
    <w:p w14:paraId="59F7C666" w14:textId="77777777" w:rsidR="002844CB" w:rsidRPr="00A62ED8" w:rsidRDefault="002844CB" w:rsidP="007C6B1F">
      <w:pPr>
        <w:spacing w:line="276" w:lineRule="auto"/>
        <w:rPr>
          <w:rFonts w:ascii="Verdana" w:hAnsi="Verdana" w:cs="Arial"/>
          <w:sz w:val="20"/>
        </w:rPr>
      </w:pPr>
    </w:p>
    <w:p w14:paraId="711CE403" w14:textId="3E1D938D" w:rsidR="002844CB" w:rsidRPr="00A62ED8" w:rsidRDefault="002844CB" w:rsidP="008725FF">
      <w:pPr>
        <w:spacing w:line="276" w:lineRule="auto"/>
        <w:rPr>
          <w:rFonts w:ascii="Verdana" w:hAnsi="Verdana" w:cs="Arial"/>
          <w:sz w:val="20"/>
        </w:rPr>
      </w:pPr>
      <w:r w:rsidRPr="00A62ED8">
        <w:rPr>
          <w:rFonts w:ascii="Verdana" w:hAnsi="Verdana"/>
          <w:sz w:val="20"/>
        </w:rPr>
        <w:t xml:space="preserve">«Section 5. Normes de fertilisation </w:t>
      </w:r>
    </w:p>
    <w:p w14:paraId="5A42363B" w14:textId="39276826" w:rsidR="006754CD" w:rsidRPr="00A62ED8" w:rsidRDefault="006754CD" w:rsidP="007C6B1F">
      <w:pPr>
        <w:spacing w:line="276" w:lineRule="auto"/>
        <w:rPr>
          <w:rFonts w:ascii="Verdana" w:hAnsi="Verdana" w:cs="Arial"/>
          <w:sz w:val="20"/>
        </w:rPr>
      </w:pPr>
    </w:p>
    <w:p w14:paraId="560905D4" w14:textId="3D06D86D" w:rsidR="006754CD" w:rsidRPr="00A62ED8" w:rsidRDefault="006754CD" w:rsidP="007C6B1F">
      <w:pPr>
        <w:spacing w:line="276" w:lineRule="auto"/>
        <w:rPr>
          <w:rFonts w:ascii="Verdana" w:hAnsi="Verdana" w:cs="Arial"/>
          <w:sz w:val="20"/>
        </w:rPr>
      </w:pPr>
      <w:r w:rsidRPr="00A62ED8">
        <w:rPr>
          <w:rFonts w:ascii="Verdana" w:hAnsi="Verdana"/>
          <w:sz w:val="20"/>
        </w:rPr>
        <w:lastRenderedPageBreak/>
        <w:t>Article 4.5.1. Aux fins de l'application du décret du 22 décembre 2006 sur le fumier et de ses décrets d'application, l'agriculteur à qui la parcelle en question appartient est responsable de la fertilisation de cette parcelle.</w:t>
      </w:r>
      <w:r w:rsidRPr="00A62ED8">
        <w:rPr>
          <w:rFonts w:ascii="Verdana" w:hAnsi="Verdana"/>
          <w:sz w:val="20"/>
        </w:rPr>
        <w:br/>
      </w:r>
    </w:p>
    <w:p w14:paraId="687F92A7" w14:textId="3AB6C0A0" w:rsidR="003D711A" w:rsidRPr="00A62ED8" w:rsidRDefault="006754CD" w:rsidP="00E92F7C">
      <w:pPr>
        <w:spacing w:line="276" w:lineRule="auto"/>
        <w:ind w:firstLine="708"/>
        <w:rPr>
          <w:rFonts w:ascii="Verdana" w:eastAsiaTheme="minorHAnsi" w:hAnsi="Verdana"/>
          <w:sz w:val="20"/>
        </w:rPr>
      </w:pPr>
      <w:r w:rsidRPr="00A62ED8">
        <w:rPr>
          <w:rFonts w:ascii="Verdana" w:hAnsi="Verdana"/>
          <w:sz w:val="20"/>
        </w:rPr>
        <w:t xml:space="preserve">L'agriculteur qui, au cours d'une année, utilise une parcelle agricole qui n'appartient pas à son exploitation ne doit pas appliquer d'engrais sur cette parcelle agricole, sauf s'il est autorisé, </w:t>
      </w:r>
      <w:bookmarkStart w:id="18" w:name="_Hlk34086970"/>
      <w:r w:rsidRPr="00A62ED8">
        <w:rPr>
          <w:rFonts w:ascii="Verdana" w:hAnsi="Verdana"/>
          <w:sz w:val="20"/>
        </w:rPr>
        <w:t>par l'agriculteur propriétaire de l’exploitation à laquelle appartient la parcelle en question</w:t>
      </w:r>
      <w:bookmarkEnd w:id="18"/>
      <w:r w:rsidRPr="00A62ED8">
        <w:rPr>
          <w:rFonts w:ascii="Verdana" w:hAnsi="Verdana"/>
          <w:sz w:val="20"/>
        </w:rPr>
        <w:t>à appliquer ou à faire appliquer des engrais. Les engrais appliqués avec le consentement de l'agriculteur dont l'exploitation appartient à la parcelle agricole</w:t>
      </w:r>
      <w:bookmarkStart w:id="19" w:name="_Hlk34087164"/>
      <w:r w:rsidRPr="00A62ED8">
        <w:rPr>
          <w:rFonts w:ascii="Verdana" w:hAnsi="Verdana"/>
          <w:sz w:val="20"/>
        </w:rPr>
        <w:t>,</w:t>
      </w:r>
      <w:bookmarkEnd w:id="19"/>
      <w:r w:rsidRPr="00A62ED8">
        <w:rPr>
          <w:rFonts w:ascii="Verdana" w:hAnsi="Verdana"/>
          <w:sz w:val="20"/>
        </w:rPr>
        <w:t xml:space="preserve"> sont considérés comme des engrais fournis à l'agriculteur dont l'exploitation appartient à la parcelle en question. Les engrais dont il ne peut être démontré qu'ils ont été appliqués avec le consentement de l'agriculteur dont l'exploitation appartient à la parcelle agricole ne sont pas considérés comme des engrais fournis à l'agriculteur dont l'exploitation appartient à la parcelle en question. Ces engrais sont considérés comme ayant été appliqués en violation des dispositions du décret sur le lisier par l'agriculteur qui applique l'engrais sur une parcelle de terre n'appartenant pas à son exploitation. </w:t>
      </w:r>
    </w:p>
    <w:p w14:paraId="0F8A7B4A" w14:textId="77777777" w:rsidR="006754CD" w:rsidRPr="00A62ED8" w:rsidRDefault="006754CD" w:rsidP="007C6B1F">
      <w:pPr>
        <w:spacing w:line="276" w:lineRule="auto"/>
        <w:rPr>
          <w:rFonts w:ascii="Verdana" w:hAnsi="Verdana" w:cs="Arial"/>
          <w:sz w:val="20"/>
        </w:rPr>
      </w:pPr>
    </w:p>
    <w:p w14:paraId="3A3DA314" w14:textId="79E492DB" w:rsidR="004E5F3F" w:rsidRPr="00A62ED8" w:rsidRDefault="006754CD" w:rsidP="00A813CB">
      <w:pPr>
        <w:spacing w:line="276" w:lineRule="auto"/>
        <w:ind w:firstLine="708"/>
        <w:rPr>
          <w:rFonts w:ascii="Verdana" w:hAnsi="Verdana" w:cs="Arial"/>
          <w:sz w:val="20"/>
        </w:rPr>
      </w:pPr>
      <w:r w:rsidRPr="00A62ED8">
        <w:rPr>
          <w:rFonts w:ascii="Verdana" w:hAnsi="Verdana"/>
          <w:sz w:val="20"/>
        </w:rPr>
        <w:t xml:space="preserve">Le ministre peut fixer des règles plus détaillées concernant le consentement visé au deuxième alinéa.» </w:t>
      </w:r>
    </w:p>
    <w:p w14:paraId="63B79431" w14:textId="14BD05D4" w:rsidR="00B95DB8" w:rsidRPr="00A62ED8" w:rsidRDefault="00B95DB8" w:rsidP="00B95DB8">
      <w:pPr>
        <w:spacing w:line="276" w:lineRule="auto"/>
        <w:rPr>
          <w:rFonts w:ascii="Verdana" w:hAnsi="Verdana" w:cs="Arial"/>
          <w:sz w:val="20"/>
        </w:rPr>
      </w:pPr>
    </w:p>
    <w:p w14:paraId="13A38D4B" w14:textId="08BB8CF5" w:rsidR="00B95DB8" w:rsidRPr="00A62ED8" w:rsidRDefault="00B95DB8" w:rsidP="00B95DB8">
      <w:pPr>
        <w:spacing w:line="276" w:lineRule="auto"/>
        <w:rPr>
          <w:rFonts w:ascii="Verdana" w:hAnsi="Verdana" w:cs="Arial"/>
          <w:sz w:val="20"/>
        </w:rPr>
      </w:pPr>
      <w:r w:rsidRPr="00A62ED8">
        <w:rPr>
          <w:rFonts w:ascii="Verdana" w:hAnsi="Verdana"/>
          <w:b/>
          <w:sz w:val="20"/>
        </w:rPr>
        <w:t>Article 5.</w:t>
      </w:r>
      <w:r w:rsidRPr="00A62ED8">
        <w:rPr>
          <w:rFonts w:ascii="Verdana" w:hAnsi="Verdana"/>
          <w:sz w:val="20"/>
        </w:rPr>
        <w:t xml:space="preserve"> Dans le VLAREME du 28 octobre 2016, modifié en dernier lieu par le décret du gouvernement flamand du 29 mai 2020, un article 13.1.7 est inséré, qui est libellé comme suit:</w:t>
      </w:r>
    </w:p>
    <w:p w14:paraId="32954A51" w14:textId="5DE3FB72" w:rsidR="00B95DB8" w:rsidRPr="00A62ED8" w:rsidRDefault="00B95DB8" w:rsidP="00B95DB8">
      <w:pPr>
        <w:spacing w:line="276" w:lineRule="auto"/>
        <w:rPr>
          <w:rFonts w:ascii="Verdana" w:hAnsi="Verdana" w:cs="Arial"/>
          <w:sz w:val="20"/>
        </w:rPr>
      </w:pPr>
    </w:p>
    <w:p w14:paraId="4676339C" w14:textId="211F666A" w:rsidR="005B2048" w:rsidRPr="00A62ED8" w:rsidRDefault="0056707D" w:rsidP="00005160">
      <w:pPr>
        <w:spacing w:line="276" w:lineRule="auto"/>
        <w:rPr>
          <w:rFonts w:ascii="Verdana" w:hAnsi="Verdana" w:cs="Arial"/>
          <w:sz w:val="20"/>
        </w:rPr>
      </w:pPr>
      <w:r w:rsidRPr="00A62ED8">
        <w:rPr>
          <w:rFonts w:ascii="Verdana" w:hAnsi="Verdana"/>
          <w:sz w:val="20"/>
        </w:rPr>
        <w:t xml:space="preserve">«Art. 13.1.7. </w:t>
      </w:r>
      <w:bookmarkStart w:id="20" w:name="_Hlk50979976"/>
      <w:r w:rsidRPr="00A62ED8">
        <w:rPr>
          <w:rFonts w:ascii="Verdana" w:hAnsi="Verdana"/>
          <w:sz w:val="20"/>
        </w:rPr>
        <w:t xml:space="preserve">Paragraphe 1. Par dérogation à l'article 2.2.1.4, paragraphe 3, de la présente décision, en 2021, </w:t>
      </w:r>
      <w:bookmarkStart w:id="21" w:name="_Hlk50987520"/>
      <w:r w:rsidRPr="00A62ED8">
        <w:rPr>
          <w:rFonts w:ascii="Verdana" w:hAnsi="Verdana"/>
          <w:sz w:val="20"/>
        </w:rPr>
        <w:t xml:space="preserve"> le registre visé à l'article 2.2.3.1, </w:t>
      </w:r>
      <w:bookmarkEnd w:id="20"/>
      <w:bookmarkEnd w:id="21"/>
      <w:r w:rsidRPr="00A62ED8">
        <w:rPr>
          <w:rFonts w:ascii="Verdana" w:hAnsi="Verdana"/>
          <w:sz w:val="20"/>
        </w:rPr>
        <w:t xml:space="preserve"> au plus tard le trentième jour après le jour où les faits à consigner dans le registre ont eu lieu, peut être rempli via le guichet internet, à condition que l'intéressé, au plus tard le septième jour après le jour où les faits à consigner dans le registre ont eu lieu, jusqu'au jour où ces faits sont consignés dans le registre mis à disposition via le guichet Internet, conserve les informations à consigner dans le registre sur papier ou sous forme numérique. </w:t>
      </w:r>
    </w:p>
    <w:p w14:paraId="39A42721" w14:textId="697DE824" w:rsidR="005B2048" w:rsidRPr="00A62ED8" w:rsidRDefault="005B2048" w:rsidP="000E2D80">
      <w:pPr>
        <w:spacing w:line="276" w:lineRule="auto"/>
        <w:rPr>
          <w:rFonts w:ascii="Verdana" w:hAnsi="Verdana" w:cs="Arial"/>
          <w:sz w:val="20"/>
        </w:rPr>
      </w:pPr>
    </w:p>
    <w:p w14:paraId="6B557AD8" w14:textId="5A66F405" w:rsidR="00F3730F" w:rsidRPr="00A62ED8" w:rsidRDefault="00F3730F" w:rsidP="00F3730F">
      <w:pPr>
        <w:spacing w:line="276" w:lineRule="auto"/>
        <w:ind w:firstLine="708"/>
        <w:rPr>
          <w:rFonts w:ascii="Verdana" w:hAnsi="Verdana" w:cs="Arial"/>
          <w:sz w:val="20"/>
        </w:rPr>
      </w:pPr>
      <w:r w:rsidRPr="00A62ED8">
        <w:rPr>
          <w:rFonts w:ascii="Verdana" w:hAnsi="Verdana"/>
          <w:sz w:val="20"/>
        </w:rPr>
        <w:t>En 2021, par dérogation au troisième alinéa de l'article 2.2.1.4 du présent décret, les délais suivants s'appliquent pour la réalisation du registre visé à l'article 2.2.4.1:</w:t>
      </w:r>
    </w:p>
    <w:p w14:paraId="045D335F" w14:textId="5B2F3A5B" w:rsidR="00E75755" w:rsidRPr="00A62ED8" w:rsidRDefault="006115B8" w:rsidP="00E75755">
      <w:pPr>
        <w:spacing w:line="276" w:lineRule="auto"/>
        <w:ind w:left="708" w:hanging="708"/>
        <w:rPr>
          <w:rFonts w:ascii="Verdana" w:hAnsi="Verdana" w:cs="Arial"/>
          <w:sz w:val="20"/>
        </w:rPr>
      </w:pPr>
      <w:bookmarkStart w:id="22" w:name="_Hlk67040883"/>
      <w:r w:rsidRPr="00A62ED8">
        <w:rPr>
          <w:rFonts w:ascii="Verdana" w:hAnsi="Verdana"/>
          <w:sz w:val="20"/>
        </w:rPr>
        <w:t xml:space="preserve">1° </w:t>
      </w:r>
      <w:r w:rsidR="003D5005">
        <w:rPr>
          <w:rFonts w:ascii="Verdana" w:hAnsi="Verdana"/>
          <w:sz w:val="20"/>
        </w:rPr>
        <w:tab/>
      </w:r>
      <w:r w:rsidRPr="00A62ED8">
        <w:rPr>
          <w:rFonts w:ascii="Verdana" w:hAnsi="Verdana"/>
          <w:sz w:val="20"/>
        </w:rPr>
        <w:t>l'agriculteur qui est tenu de tenir un registre d'engraissement conformément aux dispositions de l'article 2.2.4.1 peut remplir le registre du commerce visé à l’article 2.2.4.1, paragraphe 3, au plus tard le trentième jour suivant le jour où les faits à consigner dans le registre ont eu lieu;</w:t>
      </w:r>
      <w:bookmarkEnd w:id="22"/>
    </w:p>
    <w:p w14:paraId="1A748E4F" w14:textId="3DDEA514" w:rsidR="00F3730F" w:rsidRPr="00A62ED8" w:rsidRDefault="00E75755" w:rsidP="00BB70EC">
      <w:pPr>
        <w:spacing w:line="276" w:lineRule="auto"/>
        <w:ind w:left="709" w:hanging="709"/>
        <w:rPr>
          <w:rFonts w:ascii="Verdana" w:hAnsi="Verdana" w:cs="Arial"/>
          <w:sz w:val="20"/>
        </w:rPr>
      </w:pPr>
      <w:r w:rsidRPr="00A62ED8">
        <w:rPr>
          <w:rFonts w:ascii="Verdana" w:hAnsi="Verdana"/>
          <w:sz w:val="20"/>
        </w:rPr>
        <w:t xml:space="preserve">2° </w:t>
      </w:r>
      <w:r w:rsidR="003D5005">
        <w:rPr>
          <w:rFonts w:ascii="Verdana" w:hAnsi="Verdana"/>
          <w:sz w:val="20"/>
        </w:rPr>
        <w:tab/>
      </w:r>
      <w:r w:rsidRPr="00A62ED8">
        <w:rPr>
          <w:rFonts w:ascii="Verdana" w:hAnsi="Verdana"/>
          <w:sz w:val="20"/>
        </w:rPr>
        <w:t>l'agriculteur qui est tenu de tenir un registre d'engraissement conformément aux dispositions de l'article 2.2.4.1 peut remplir le registre décrit à l’article 2.2.4.1, paragraphe 2, au plus tard le trentième jour suivant le jour où les événements à consigner dans le registre ont eu lieu si l'agriculteur remplit toutes les conditions suivantes:</w:t>
      </w:r>
    </w:p>
    <w:p w14:paraId="5FB8A324" w14:textId="77777777" w:rsidR="00F3730F" w:rsidRPr="00A62ED8" w:rsidRDefault="00F3730F" w:rsidP="00F3730F">
      <w:pPr>
        <w:pStyle w:val="ListParagraph"/>
        <w:numPr>
          <w:ilvl w:val="0"/>
          <w:numId w:val="19"/>
        </w:numPr>
        <w:spacing w:line="276" w:lineRule="auto"/>
        <w:ind w:left="1134" w:hanging="425"/>
        <w:rPr>
          <w:rFonts w:ascii="Verdana" w:hAnsi="Verdana" w:cs="Arial"/>
          <w:sz w:val="20"/>
        </w:rPr>
      </w:pPr>
      <w:proofErr w:type="gramStart"/>
      <w:r w:rsidRPr="00A62ED8">
        <w:rPr>
          <w:rFonts w:ascii="Verdana" w:hAnsi="Verdana"/>
          <w:sz w:val="20"/>
        </w:rPr>
        <w:t>aucune</w:t>
      </w:r>
      <w:proofErr w:type="gramEnd"/>
      <w:r w:rsidRPr="00A62ED8">
        <w:rPr>
          <w:rFonts w:ascii="Verdana" w:hAnsi="Verdana"/>
          <w:sz w:val="20"/>
        </w:rPr>
        <w:t xml:space="preserve"> culture ornementale, aucune variété d'arbre, aucun légume du groupe I, aucun légume du groupe II et aucune fraise ne sont cultivés </w:t>
      </w:r>
      <w:r w:rsidRPr="00A62ED8">
        <w:rPr>
          <w:rFonts w:ascii="Verdana" w:hAnsi="Verdana"/>
          <w:sz w:val="20"/>
        </w:rPr>
        <w:lastRenderedPageBreak/>
        <w:t>sur la surface agricole de l'exploitation de l'agriculteur concerné, sauf en milieu de culture;</w:t>
      </w:r>
    </w:p>
    <w:p w14:paraId="49579144" w14:textId="77777777" w:rsidR="00F3730F" w:rsidRPr="00A62ED8" w:rsidRDefault="00F3730F" w:rsidP="00F3730F">
      <w:pPr>
        <w:pStyle w:val="ListParagraph"/>
        <w:numPr>
          <w:ilvl w:val="0"/>
          <w:numId w:val="19"/>
        </w:numPr>
        <w:spacing w:line="276" w:lineRule="auto"/>
        <w:ind w:left="1134" w:hanging="425"/>
        <w:rPr>
          <w:rFonts w:ascii="Verdana" w:hAnsi="Verdana" w:cs="Arial"/>
          <w:sz w:val="20"/>
        </w:rPr>
      </w:pPr>
      <w:proofErr w:type="gramStart"/>
      <w:r w:rsidRPr="00A62ED8">
        <w:rPr>
          <w:rFonts w:ascii="Verdana" w:hAnsi="Verdana"/>
          <w:sz w:val="20"/>
        </w:rPr>
        <w:t>l'agriculteur</w:t>
      </w:r>
      <w:proofErr w:type="gramEnd"/>
      <w:r w:rsidRPr="00A62ED8">
        <w:rPr>
          <w:rFonts w:ascii="Verdana" w:hAnsi="Verdana"/>
          <w:sz w:val="20"/>
        </w:rPr>
        <w:t xml:space="preserve"> veille à ce que, à partir du septième jour suivant le jour où les faits à consigner dans le registre ont eu lieu, jusqu'au jour où ces faits sont consignés dans le registre mis à disposition par le guichet internet, il conserve un enregistrement papier ou numérique des données à consigner dans le registre. </w:t>
      </w:r>
    </w:p>
    <w:p w14:paraId="3F6CBAD7" w14:textId="77777777" w:rsidR="00F3730F" w:rsidRPr="00A62ED8" w:rsidRDefault="00F3730F" w:rsidP="00F3730F">
      <w:pPr>
        <w:spacing w:line="276" w:lineRule="auto"/>
        <w:rPr>
          <w:rFonts w:ascii="Verdana" w:hAnsi="Verdana" w:cs="Arial"/>
          <w:sz w:val="20"/>
        </w:rPr>
      </w:pPr>
    </w:p>
    <w:p w14:paraId="4C7D9155" w14:textId="74A3B54C" w:rsidR="000E2D80" w:rsidRPr="00A62ED8" w:rsidRDefault="00715431" w:rsidP="00F52412">
      <w:pPr>
        <w:spacing w:line="276" w:lineRule="auto"/>
        <w:ind w:firstLine="708"/>
        <w:rPr>
          <w:rFonts w:ascii="Verdana" w:hAnsi="Verdana" w:cs="Arial"/>
          <w:sz w:val="20"/>
        </w:rPr>
      </w:pPr>
      <w:r w:rsidRPr="00A62ED8">
        <w:rPr>
          <w:rFonts w:ascii="Verdana" w:hAnsi="Verdana"/>
          <w:sz w:val="20"/>
        </w:rPr>
        <w:t>En 2022, par dérogation au troisième alinéa de l'article 2.2.1.4 du présent décret, les délais suivants s'appliquent pour la réalisation du registre visé à l'article 2.2.4.1:</w:t>
      </w:r>
    </w:p>
    <w:p w14:paraId="5EB8AB9F" w14:textId="216FB8F3" w:rsidR="006115B8" w:rsidRPr="00A62ED8" w:rsidRDefault="00BB70EC" w:rsidP="00BB70EC">
      <w:pPr>
        <w:spacing w:line="276" w:lineRule="auto"/>
        <w:ind w:left="709" w:hanging="709"/>
        <w:rPr>
          <w:rFonts w:ascii="Verdana" w:hAnsi="Verdana" w:cs="Arial"/>
          <w:sz w:val="20"/>
        </w:rPr>
      </w:pPr>
      <w:r w:rsidRPr="00A62ED8">
        <w:rPr>
          <w:rFonts w:ascii="Verdana" w:hAnsi="Verdana"/>
          <w:sz w:val="20"/>
        </w:rPr>
        <w:t xml:space="preserve">1° </w:t>
      </w:r>
      <w:r w:rsidR="003D5005">
        <w:rPr>
          <w:rFonts w:ascii="Verdana" w:hAnsi="Verdana"/>
          <w:sz w:val="20"/>
        </w:rPr>
        <w:tab/>
      </w:r>
      <w:r w:rsidRPr="00A62ED8">
        <w:rPr>
          <w:rFonts w:ascii="Verdana" w:hAnsi="Verdana"/>
          <w:sz w:val="20"/>
        </w:rPr>
        <w:t xml:space="preserve">l’agriculteur tenu de tenir un registre des engrais conformément aux dispositions de l’article 2.2.4.1 peut compléter le registre du commerce visé à l’article 2.2.4.1, paragraphe 3, au plus tard le quinzième jour suivant celui où les faits à inscrire dans le registre ont eu lieu ; </w:t>
      </w:r>
      <w:bookmarkStart w:id="23" w:name="_Hlk67041705"/>
    </w:p>
    <w:bookmarkEnd w:id="23"/>
    <w:p w14:paraId="507BF74B" w14:textId="5616FD18" w:rsidR="00381A8A" w:rsidRPr="00A62ED8" w:rsidRDefault="00BB70EC" w:rsidP="00BB70EC">
      <w:pPr>
        <w:spacing w:line="276" w:lineRule="auto"/>
        <w:ind w:left="709" w:hanging="709"/>
        <w:rPr>
          <w:rFonts w:ascii="Verdana" w:hAnsi="Verdana" w:cs="Arial"/>
          <w:sz w:val="20"/>
        </w:rPr>
      </w:pPr>
      <w:r w:rsidRPr="00A62ED8">
        <w:rPr>
          <w:rFonts w:ascii="Verdana" w:hAnsi="Verdana"/>
          <w:sz w:val="20"/>
        </w:rPr>
        <w:t xml:space="preserve">2° </w:t>
      </w:r>
      <w:r w:rsidR="003D5005">
        <w:rPr>
          <w:rFonts w:ascii="Verdana" w:hAnsi="Verdana"/>
          <w:sz w:val="20"/>
        </w:rPr>
        <w:tab/>
      </w:r>
      <w:r w:rsidRPr="00A62ED8">
        <w:rPr>
          <w:rFonts w:ascii="Verdana" w:hAnsi="Verdana"/>
          <w:sz w:val="20"/>
        </w:rPr>
        <w:t xml:space="preserve">l'agriculteur qui est tenu de tenir un registre d'engraissement conformément aux dispositions de l'article 2.2.4.1 peut </w:t>
      </w:r>
      <w:bookmarkStart w:id="24" w:name="_Hlk50985432"/>
      <w:r w:rsidRPr="00A62ED8">
        <w:rPr>
          <w:rFonts w:ascii="Verdana" w:hAnsi="Verdana"/>
          <w:sz w:val="20"/>
        </w:rPr>
        <w:t xml:space="preserve">remplir le registre décrit à l’article 2.2.4.1, paragraphe 2, au plus tard le trentième jour suivant le jour où les événements à consigner dans le registre ont eu lieu si l'agriculteur </w:t>
      </w:r>
      <w:bookmarkEnd w:id="24"/>
      <w:r w:rsidRPr="00A62ED8">
        <w:rPr>
          <w:rFonts w:ascii="Verdana" w:hAnsi="Verdana"/>
          <w:sz w:val="20"/>
        </w:rPr>
        <w:t>remplit toutes les conditions suivantes :</w:t>
      </w:r>
    </w:p>
    <w:p w14:paraId="7E660D13" w14:textId="77777777" w:rsidR="00DB34EE" w:rsidRPr="00A62ED8" w:rsidRDefault="00381A8A" w:rsidP="00DB34EE">
      <w:pPr>
        <w:pStyle w:val="ListParagraph"/>
        <w:numPr>
          <w:ilvl w:val="0"/>
          <w:numId w:val="24"/>
        </w:numPr>
        <w:spacing w:line="276" w:lineRule="auto"/>
        <w:ind w:left="1134" w:hanging="425"/>
        <w:rPr>
          <w:rFonts w:ascii="Verdana" w:hAnsi="Verdana" w:cs="Arial"/>
          <w:sz w:val="20"/>
        </w:rPr>
      </w:pPr>
      <w:proofErr w:type="gramStart"/>
      <w:r w:rsidRPr="00A62ED8">
        <w:rPr>
          <w:rFonts w:ascii="Verdana" w:hAnsi="Verdana"/>
          <w:sz w:val="20"/>
        </w:rPr>
        <w:t>aucune</w:t>
      </w:r>
      <w:proofErr w:type="gramEnd"/>
      <w:r w:rsidRPr="00A62ED8">
        <w:rPr>
          <w:rFonts w:ascii="Verdana" w:hAnsi="Verdana"/>
          <w:sz w:val="20"/>
        </w:rPr>
        <w:t xml:space="preserve"> culture ornementale, aucune variété d'arbre, aucun légume du groupe I, aucun légume du groupe II et aucune fraise ne sont cultivés sur la surface agricole de l'exploitation de l'agriculteur concerné, sauf en milieu de culture;</w:t>
      </w:r>
      <w:bookmarkStart w:id="25" w:name="_Hlk50986182"/>
    </w:p>
    <w:p w14:paraId="7B753CCC" w14:textId="77777777" w:rsidR="005243C0" w:rsidRPr="00A62ED8" w:rsidRDefault="00DB34EE" w:rsidP="00F52412">
      <w:pPr>
        <w:pStyle w:val="ListParagraph"/>
        <w:numPr>
          <w:ilvl w:val="0"/>
          <w:numId w:val="24"/>
        </w:numPr>
        <w:spacing w:line="276" w:lineRule="auto"/>
        <w:ind w:left="1134" w:hanging="425"/>
        <w:rPr>
          <w:rFonts w:ascii="Verdana" w:hAnsi="Verdana" w:cs="Arial"/>
          <w:sz w:val="20"/>
        </w:rPr>
      </w:pPr>
      <w:proofErr w:type="gramStart"/>
      <w:r w:rsidRPr="00A62ED8">
        <w:rPr>
          <w:rFonts w:ascii="Verdana" w:hAnsi="Verdana"/>
          <w:sz w:val="20"/>
        </w:rPr>
        <w:t>les</w:t>
      </w:r>
      <w:proofErr w:type="gramEnd"/>
      <w:r w:rsidRPr="00A62ED8">
        <w:rPr>
          <w:rFonts w:ascii="Verdana" w:hAnsi="Verdana"/>
          <w:sz w:val="20"/>
        </w:rPr>
        <w:t xml:space="preserve"> différentes opérations faisant partie de l'exploitation de l'agriculteur concerné n'utilisent en commun, à aucun moment de l'année civile en question, une superficie agricole ou un milieu de culture supérieur à 5 hectares;</w:t>
      </w:r>
    </w:p>
    <w:p w14:paraId="7546C152" w14:textId="4CA8B704" w:rsidR="001C53F1" w:rsidRPr="00A62ED8" w:rsidRDefault="00381A8A" w:rsidP="00F52412">
      <w:pPr>
        <w:pStyle w:val="ListParagraph"/>
        <w:numPr>
          <w:ilvl w:val="0"/>
          <w:numId w:val="24"/>
        </w:numPr>
        <w:spacing w:line="276" w:lineRule="auto"/>
        <w:ind w:left="1134" w:hanging="425"/>
        <w:rPr>
          <w:rFonts w:ascii="Verdana" w:hAnsi="Verdana" w:cs="Arial"/>
          <w:sz w:val="20"/>
        </w:rPr>
      </w:pPr>
      <w:proofErr w:type="gramStart"/>
      <w:r w:rsidRPr="00A62ED8">
        <w:rPr>
          <w:rFonts w:ascii="Verdana" w:hAnsi="Verdana"/>
          <w:sz w:val="20"/>
        </w:rPr>
        <w:t>l'agriculteur</w:t>
      </w:r>
      <w:proofErr w:type="gramEnd"/>
      <w:r w:rsidRPr="00A62ED8">
        <w:rPr>
          <w:rFonts w:ascii="Verdana" w:hAnsi="Verdana"/>
          <w:sz w:val="20"/>
        </w:rPr>
        <w:t xml:space="preserve"> veille à ce que, à partir du septième jour suivant le jour où les faits à consigner dans le registre ont eu lieu, jusqu'au jour où ces faits sont consignés dans le registre mis à disposition par le guichet Internet, il conserve un enregistrement papier ou numérique des données à consigner dans le registre.</w:t>
      </w:r>
      <w:bookmarkEnd w:id="25"/>
      <w:r w:rsidRPr="00A62ED8">
        <w:rPr>
          <w:rFonts w:ascii="Verdana" w:hAnsi="Verdana"/>
          <w:sz w:val="20"/>
        </w:rPr>
        <w:t xml:space="preserve"> </w:t>
      </w:r>
    </w:p>
    <w:p w14:paraId="7F81EB5E" w14:textId="088ECEEB" w:rsidR="003E3087" w:rsidRPr="00A62ED8" w:rsidRDefault="003E3087" w:rsidP="003E3087">
      <w:pPr>
        <w:spacing w:line="276" w:lineRule="auto"/>
        <w:rPr>
          <w:rFonts w:ascii="Verdana" w:hAnsi="Verdana" w:cs="Arial"/>
          <w:sz w:val="20"/>
        </w:rPr>
      </w:pPr>
    </w:p>
    <w:p w14:paraId="4A452C03" w14:textId="51E8843D" w:rsidR="003E3087" w:rsidRPr="00A62ED8" w:rsidRDefault="003E3087" w:rsidP="003E3087">
      <w:pPr>
        <w:spacing w:line="276" w:lineRule="auto"/>
        <w:rPr>
          <w:rFonts w:ascii="Verdana" w:hAnsi="Verdana" w:cs="Arial"/>
          <w:sz w:val="20"/>
        </w:rPr>
      </w:pPr>
      <w:r w:rsidRPr="00A62ED8">
        <w:rPr>
          <w:rFonts w:ascii="Verdana" w:hAnsi="Verdana"/>
          <w:sz w:val="20"/>
        </w:rPr>
        <w:t>Paragraphe 2. Contrairement au paragraphe 1 et à l’article 2.2.1.4, troisième et huitième alinéa, de ce décret, le registre visé à l'article 2.2.3.1 a été achevé en 2021 au plus tard le 15 mai 2021 pour les faits à inscrire dans le registre qui ont eu lieu entre le 1er janvier 2021 et le 15 avril 2021.</w:t>
      </w:r>
      <w:r w:rsidR="003D5005" w:rsidRPr="00A62ED8">
        <w:rPr>
          <w:rFonts w:ascii="Verdana" w:hAnsi="Verdana"/>
          <w:sz w:val="20"/>
        </w:rPr>
        <w:t>»</w:t>
      </w:r>
    </w:p>
    <w:p w14:paraId="1C6697AA" w14:textId="77777777" w:rsidR="003E3087" w:rsidRPr="00A62ED8" w:rsidRDefault="003E3087" w:rsidP="003E3087">
      <w:pPr>
        <w:spacing w:line="276" w:lineRule="auto"/>
        <w:rPr>
          <w:rFonts w:ascii="Verdana" w:hAnsi="Verdana" w:cs="Arial"/>
          <w:sz w:val="20"/>
        </w:rPr>
      </w:pPr>
    </w:p>
    <w:p w14:paraId="4468F587" w14:textId="688B63CA" w:rsidR="002E6C50" w:rsidRPr="00A62ED8" w:rsidRDefault="00BD47A4">
      <w:pPr>
        <w:spacing w:after="160" w:line="259" w:lineRule="auto"/>
        <w:rPr>
          <w:rFonts w:ascii="Verdana" w:hAnsi="Verdana" w:cs="Arial"/>
          <w:b/>
          <w:sz w:val="20"/>
        </w:rPr>
      </w:pPr>
      <w:r w:rsidRPr="00A62ED8">
        <w:rPr>
          <w:rFonts w:ascii="Verdana" w:hAnsi="Verdana"/>
          <w:b/>
          <w:sz w:val="20"/>
        </w:rPr>
        <w:t>Article 6.</w:t>
      </w:r>
      <w:r w:rsidRPr="00A62ED8">
        <w:rPr>
          <w:rFonts w:ascii="Verdana" w:hAnsi="Verdana"/>
          <w:sz w:val="20"/>
        </w:rPr>
        <w:t xml:space="preserve"> Le présent arrêté entre en vigueur le 15 avril 2021.</w:t>
      </w:r>
      <w:bookmarkStart w:id="26" w:name="_Hlk34145382"/>
    </w:p>
    <w:p w14:paraId="77A7E3DD" w14:textId="698FF664" w:rsidR="00B50B1E" w:rsidRPr="00A62ED8" w:rsidRDefault="00B50B1E" w:rsidP="002E6C50">
      <w:pPr>
        <w:spacing w:after="160" w:line="259" w:lineRule="auto"/>
        <w:rPr>
          <w:rFonts w:ascii="Verdana" w:hAnsi="Verdana" w:cs="Arial"/>
          <w:sz w:val="20"/>
        </w:rPr>
      </w:pPr>
      <w:r w:rsidRPr="00A62ED8">
        <w:rPr>
          <w:rFonts w:ascii="Verdana" w:hAnsi="Verdana"/>
          <w:b/>
          <w:sz w:val="20"/>
        </w:rPr>
        <w:t>Article 7.</w:t>
      </w:r>
      <w:r w:rsidRPr="00A62ED8">
        <w:rPr>
          <w:rFonts w:ascii="Verdana" w:hAnsi="Verdana"/>
          <w:sz w:val="20"/>
        </w:rPr>
        <w:t xml:space="preserve"> Le Ministre flamand de</w:t>
      </w:r>
      <w:bookmarkStart w:id="27" w:name="_Hlk24106771"/>
      <w:r w:rsidRPr="00A62ED8">
        <w:rPr>
          <w:rFonts w:ascii="Verdana" w:hAnsi="Verdana"/>
          <w:sz w:val="20"/>
        </w:rPr>
        <w:t xml:space="preserve"> l'environnement et de la nature est responsable de l'application de ce décret. </w:t>
      </w:r>
      <w:bookmarkEnd w:id="27"/>
    </w:p>
    <w:bookmarkEnd w:id="26"/>
    <w:p w14:paraId="7EDD8DEB" w14:textId="77777777" w:rsidR="00B50B1E" w:rsidRPr="00A62ED8" w:rsidRDefault="00B50B1E" w:rsidP="007C6B1F">
      <w:pPr>
        <w:spacing w:line="276" w:lineRule="auto"/>
        <w:rPr>
          <w:rFonts w:ascii="Verdana" w:hAnsi="Verdana" w:cs="Arial"/>
          <w:sz w:val="20"/>
        </w:rPr>
      </w:pPr>
    </w:p>
    <w:p w14:paraId="149A5B4C" w14:textId="77777777" w:rsidR="00B50B1E" w:rsidRPr="00A62ED8" w:rsidRDefault="00B50B1E" w:rsidP="007C6B1F">
      <w:pPr>
        <w:spacing w:line="276" w:lineRule="auto"/>
        <w:rPr>
          <w:rFonts w:ascii="Verdana" w:hAnsi="Verdana" w:cs="Arial"/>
          <w:sz w:val="20"/>
        </w:rPr>
      </w:pPr>
    </w:p>
    <w:p w14:paraId="00AD2DE2" w14:textId="77777777" w:rsidR="00B50B1E" w:rsidRPr="00A62ED8" w:rsidRDefault="00B50B1E" w:rsidP="007C6B1F">
      <w:pPr>
        <w:spacing w:line="276" w:lineRule="auto"/>
        <w:rPr>
          <w:rFonts w:ascii="Verdana" w:hAnsi="Verdana" w:cs="Arial"/>
          <w:sz w:val="20"/>
        </w:rPr>
      </w:pPr>
      <w:r w:rsidRPr="00A62ED8">
        <w:rPr>
          <w:rFonts w:ascii="Verdana" w:hAnsi="Verdana"/>
          <w:sz w:val="20"/>
        </w:rPr>
        <w:t>Bruxelles, ... (date).</w:t>
      </w:r>
    </w:p>
    <w:p w14:paraId="0EC5DE38" w14:textId="77777777" w:rsidR="00B50B1E" w:rsidRPr="00A62ED8" w:rsidRDefault="00B50B1E" w:rsidP="007C6B1F">
      <w:pPr>
        <w:spacing w:line="276" w:lineRule="auto"/>
        <w:rPr>
          <w:rFonts w:ascii="Verdana" w:hAnsi="Verdana" w:cs="Arial"/>
          <w:sz w:val="20"/>
        </w:rPr>
      </w:pPr>
    </w:p>
    <w:p w14:paraId="57EAB6C7" w14:textId="77777777" w:rsidR="00B50B1E" w:rsidRPr="00A62ED8" w:rsidRDefault="00B50B1E" w:rsidP="007C6B1F">
      <w:pPr>
        <w:spacing w:line="276" w:lineRule="auto"/>
        <w:rPr>
          <w:rFonts w:ascii="Verdana" w:hAnsi="Verdana" w:cs="Arial"/>
          <w:sz w:val="20"/>
        </w:rPr>
      </w:pPr>
    </w:p>
    <w:p w14:paraId="6272CA9E" w14:textId="77777777" w:rsidR="00B50B1E" w:rsidRPr="00A62ED8" w:rsidRDefault="00B50B1E" w:rsidP="007C6B1F">
      <w:pPr>
        <w:spacing w:line="276" w:lineRule="auto"/>
        <w:jc w:val="center"/>
        <w:rPr>
          <w:rFonts w:ascii="Verdana" w:hAnsi="Verdana" w:cs="Arial"/>
          <w:sz w:val="20"/>
        </w:rPr>
      </w:pPr>
      <w:r w:rsidRPr="00A62ED8">
        <w:rPr>
          <w:rFonts w:ascii="Verdana" w:hAnsi="Verdana"/>
          <w:sz w:val="20"/>
        </w:rPr>
        <w:t>Le ministre-président du Gouvernement flamand,</w:t>
      </w:r>
    </w:p>
    <w:p w14:paraId="68D3FB25" w14:textId="77777777" w:rsidR="00B50B1E" w:rsidRPr="00A62ED8" w:rsidRDefault="00B50B1E" w:rsidP="007C6B1F">
      <w:pPr>
        <w:spacing w:line="276" w:lineRule="auto"/>
        <w:jc w:val="center"/>
        <w:rPr>
          <w:rFonts w:ascii="Verdana" w:hAnsi="Verdana" w:cs="Arial"/>
          <w:sz w:val="20"/>
        </w:rPr>
      </w:pPr>
    </w:p>
    <w:p w14:paraId="27569BED" w14:textId="77777777" w:rsidR="00B50B1E" w:rsidRPr="00A62ED8" w:rsidRDefault="00B50B1E" w:rsidP="007C6B1F">
      <w:pPr>
        <w:spacing w:line="276" w:lineRule="auto"/>
        <w:jc w:val="center"/>
        <w:rPr>
          <w:rFonts w:ascii="Verdana" w:hAnsi="Verdana" w:cs="Arial"/>
          <w:sz w:val="20"/>
        </w:rPr>
      </w:pPr>
    </w:p>
    <w:p w14:paraId="40A892A3" w14:textId="77777777" w:rsidR="00B50B1E" w:rsidRPr="00A62ED8" w:rsidRDefault="00B50B1E" w:rsidP="007C6B1F">
      <w:pPr>
        <w:spacing w:line="276" w:lineRule="auto"/>
        <w:jc w:val="center"/>
        <w:rPr>
          <w:rFonts w:ascii="Verdana" w:hAnsi="Verdana" w:cs="Arial"/>
          <w:sz w:val="20"/>
        </w:rPr>
      </w:pPr>
    </w:p>
    <w:p w14:paraId="267655B1" w14:textId="77777777" w:rsidR="00B50B1E" w:rsidRPr="00A62ED8" w:rsidRDefault="00B50B1E" w:rsidP="00EF5217">
      <w:pPr>
        <w:spacing w:line="276" w:lineRule="auto"/>
        <w:rPr>
          <w:rFonts w:ascii="Verdana" w:hAnsi="Verdana" w:cs="Arial"/>
          <w:sz w:val="20"/>
        </w:rPr>
      </w:pPr>
    </w:p>
    <w:p w14:paraId="24C2251E" w14:textId="77777777" w:rsidR="00B50B1E" w:rsidRPr="00A62ED8" w:rsidRDefault="00B50B1E" w:rsidP="007C6B1F">
      <w:pPr>
        <w:spacing w:line="276" w:lineRule="auto"/>
        <w:jc w:val="center"/>
        <w:rPr>
          <w:rFonts w:ascii="Verdana" w:hAnsi="Verdana" w:cs="Arial"/>
          <w:sz w:val="20"/>
        </w:rPr>
      </w:pPr>
    </w:p>
    <w:p w14:paraId="4716C41E" w14:textId="7D3B562B" w:rsidR="00B50B1E" w:rsidRPr="00A62ED8" w:rsidRDefault="00542F4F" w:rsidP="007C6B1F">
      <w:pPr>
        <w:spacing w:line="276" w:lineRule="auto"/>
        <w:jc w:val="center"/>
        <w:rPr>
          <w:rFonts w:ascii="Verdana" w:hAnsi="Verdana" w:cs="Arial"/>
          <w:sz w:val="20"/>
        </w:rPr>
      </w:pPr>
      <w:r w:rsidRPr="00A62ED8">
        <w:rPr>
          <w:rFonts w:ascii="Verdana" w:hAnsi="Verdana"/>
          <w:sz w:val="20"/>
        </w:rPr>
        <w:t>Jan JAMBON</w:t>
      </w:r>
    </w:p>
    <w:p w14:paraId="71E51D49" w14:textId="77777777" w:rsidR="00542F4F" w:rsidRPr="00A62ED8" w:rsidRDefault="00542F4F" w:rsidP="007C6B1F">
      <w:pPr>
        <w:spacing w:line="276" w:lineRule="auto"/>
        <w:jc w:val="center"/>
        <w:rPr>
          <w:rFonts w:ascii="Verdana" w:hAnsi="Verdana" w:cs="Arial"/>
          <w:sz w:val="20"/>
        </w:rPr>
      </w:pPr>
    </w:p>
    <w:p w14:paraId="4F6E9308" w14:textId="77777777" w:rsidR="00B50B1E" w:rsidRPr="00A62ED8" w:rsidRDefault="00B50B1E" w:rsidP="007C6B1F">
      <w:pPr>
        <w:spacing w:line="276" w:lineRule="auto"/>
        <w:jc w:val="center"/>
        <w:rPr>
          <w:rFonts w:ascii="Verdana" w:hAnsi="Verdana" w:cs="Arial"/>
          <w:sz w:val="20"/>
        </w:rPr>
      </w:pPr>
    </w:p>
    <w:p w14:paraId="6DBAA7BE" w14:textId="578DE90E" w:rsidR="00542F4F" w:rsidRPr="00A62ED8" w:rsidRDefault="00B50B1E" w:rsidP="007C6B1F">
      <w:pPr>
        <w:spacing w:line="276" w:lineRule="auto"/>
        <w:jc w:val="center"/>
        <w:rPr>
          <w:rFonts w:ascii="Verdana" w:hAnsi="Verdana" w:cs="Arial"/>
          <w:sz w:val="20"/>
        </w:rPr>
      </w:pPr>
      <w:r w:rsidRPr="00A62ED8">
        <w:rPr>
          <w:rFonts w:ascii="Verdana" w:hAnsi="Verdana"/>
          <w:sz w:val="20"/>
        </w:rPr>
        <w:t>La ministre flamande de la justice et du maintien, de l'environnement, de l'énergie et du tourisme,</w:t>
      </w:r>
    </w:p>
    <w:p w14:paraId="321AF453" w14:textId="473595A5" w:rsidR="00B50B1E" w:rsidRPr="00A62ED8" w:rsidRDefault="00B50B1E" w:rsidP="007C6B1F">
      <w:pPr>
        <w:spacing w:line="276" w:lineRule="auto"/>
        <w:jc w:val="center"/>
        <w:rPr>
          <w:rFonts w:ascii="Verdana" w:hAnsi="Verdana" w:cs="Arial"/>
          <w:sz w:val="20"/>
        </w:rPr>
      </w:pPr>
    </w:p>
    <w:p w14:paraId="4F1BEAFE" w14:textId="77777777" w:rsidR="00B50B1E" w:rsidRPr="00A62ED8" w:rsidRDefault="00B50B1E" w:rsidP="007C6B1F">
      <w:pPr>
        <w:spacing w:line="276" w:lineRule="auto"/>
        <w:jc w:val="center"/>
        <w:rPr>
          <w:rFonts w:ascii="Verdana" w:hAnsi="Verdana" w:cs="Arial"/>
          <w:sz w:val="20"/>
        </w:rPr>
      </w:pPr>
    </w:p>
    <w:p w14:paraId="7D13001D" w14:textId="77777777" w:rsidR="00B50B1E" w:rsidRPr="00A62ED8" w:rsidRDefault="00B50B1E" w:rsidP="007C6B1F">
      <w:pPr>
        <w:spacing w:line="276" w:lineRule="auto"/>
        <w:jc w:val="center"/>
        <w:rPr>
          <w:rFonts w:ascii="Verdana" w:hAnsi="Verdana" w:cs="Arial"/>
          <w:sz w:val="20"/>
        </w:rPr>
      </w:pPr>
    </w:p>
    <w:p w14:paraId="5CF863AD" w14:textId="77777777" w:rsidR="00B50B1E" w:rsidRPr="00A62ED8" w:rsidRDefault="00B50B1E" w:rsidP="007C6B1F">
      <w:pPr>
        <w:spacing w:line="276" w:lineRule="auto"/>
        <w:jc w:val="center"/>
        <w:rPr>
          <w:rFonts w:ascii="Verdana" w:hAnsi="Verdana" w:cs="Arial"/>
          <w:sz w:val="20"/>
        </w:rPr>
      </w:pPr>
    </w:p>
    <w:p w14:paraId="4014C987" w14:textId="77777777" w:rsidR="00B50B1E" w:rsidRPr="00A62ED8" w:rsidRDefault="00B50B1E" w:rsidP="007C6B1F">
      <w:pPr>
        <w:spacing w:line="276" w:lineRule="auto"/>
        <w:jc w:val="center"/>
        <w:rPr>
          <w:rFonts w:ascii="Verdana" w:hAnsi="Verdana" w:cs="Arial"/>
          <w:sz w:val="20"/>
        </w:rPr>
      </w:pPr>
    </w:p>
    <w:p w14:paraId="7884062C" w14:textId="77777777" w:rsidR="00B50B1E" w:rsidRPr="00A62ED8" w:rsidRDefault="00B50B1E" w:rsidP="007C6B1F">
      <w:pPr>
        <w:spacing w:line="276" w:lineRule="auto"/>
        <w:jc w:val="center"/>
        <w:rPr>
          <w:rFonts w:ascii="Verdana" w:hAnsi="Verdana" w:cs="Arial"/>
          <w:sz w:val="20"/>
        </w:rPr>
      </w:pPr>
    </w:p>
    <w:p w14:paraId="7BEDC6C8" w14:textId="6DE71EAA" w:rsidR="00B50B1E" w:rsidRPr="00A62ED8" w:rsidRDefault="00542F4F" w:rsidP="007C6B1F">
      <w:pPr>
        <w:spacing w:line="276" w:lineRule="auto"/>
        <w:jc w:val="center"/>
        <w:rPr>
          <w:rFonts w:ascii="Verdana" w:hAnsi="Verdana" w:cs="Arial"/>
          <w:sz w:val="20"/>
        </w:rPr>
      </w:pPr>
      <w:r w:rsidRPr="00A62ED8">
        <w:rPr>
          <w:rFonts w:ascii="Verdana" w:hAnsi="Verdana"/>
          <w:sz w:val="20"/>
        </w:rPr>
        <w:t>Zuhal DEMIR</w:t>
      </w:r>
    </w:p>
    <w:sectPr w:rsidR="00B50B1E" w:rsidRPr="00A62ED8" w:rsidSect="007D1712">
      <w:headerReference w:type="even" r:id="rId12"/>
      <w:headerReference w:type="default" r:id="rId13"/>
      <w:footerReference w:type="even" r:id="rId14"/>
      <w:footerReference w:type="default" r:id="rId15"/>
      <w:headerReference w:type="first" r:id="rId16"/>
      <w:footerReference w:type="first" r:id="rId17"/>
      <w:pgSz w:w="11906" w:h="16838"/>
      <w:pgMar w:top="1247" w:right="1814" w:bottom="1247" w:left="181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36980" w14:textId="77777777" w:rsidR="00C74817" w:rsidRDefault="00C74817" w:rsidP="00B50B1E">
      <w:pPr>
        <w:spacing w:line="240" w:lineRule="auto"/>
      </w:pPr>
      <w:r>
        <w:separator/>
      </w:r>
    </w:p>
  </w:endnote>
  <w:endnote w:type="continuationSeparator" w:id="0">
    <w:p w14:paraId="378DF0CE" w14:textId="77777777" w:rsidR="00C74817" w:rsidRDefault="00C74817" w:rsidP="00B50B1E">
      <w:pPr>
        <w:spacing w:line="240" w:lineRule="auto"/>
      </w:pPr>
      <w:r>
        <w:continuationSeparator/>
      </w:r>
    </w:p>
  </w:endnote>
  <w:endnote w:type="continuationNotice" w:id="1">
    <w:p w14:paraId="6F2D93B0" w14:textId="77777777" w:rsidR="00C74817" w:rsidRDefault="00C7481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landersArtSans-Regular">
    <w:altName w:val="Calibri"/>
    <w:charset w:val="00"/>
    <w:family w:val="auto"/>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FlandersArtSans-Bold">
    <w:altName w:val="Calibri"/>
    <w:charset w:val="00"/>
    <w:family w:val="auto"/>
    <w:pitch w:val="variable"/>
    <w:sig w:usb0="00000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FlandersArtSerif-Bold">
    <w:altName w:val="Calibri"/>
    <w:charset w:val="00"/>
    <w:family w:val="auto"/>
    <w:pitch w:val="variable"/>
    <w:sig w:usb0="00000007" w:usb1="00000000" w:usb2="00000000" w:usb3="00000000" w:csb0="00000093" w:csb1="00000000"/>
  </w:font>
  <w:font w:name="FlandersArtSerif-Regular">
    <w:charset w:val="00"/>
    <w:family w:val="auto"/>
    <w:pitch w:val="variable"/>
    <w:sig w:usb0="00000007" w:usb1="00000000" w:usb2="00000000" w:usb3="00000000" w:csb0="00000093" w:csb1="00000000"/>
  </w:font>
  <w:font w:name="FlandersArtSerif-Medium">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7BA10" w14:textId="77777777" w:rsidR="00D83C2D" w:rsidRDefault="00D83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2976565"/>
      <w:docPartObj>
        <w:docPartGallery w:val="Page Numbers (Bottom of Page)"/>
        <w:docPartUnique/>
      </w:docPartObj>
    </w:sdtPr>
    <w:sdtEndPr>
      <w:rPr>
        <w:rFonts w:ascii="Verdana" w:hAnsi="Verdana"/>
        <w:sz w:val="18"/>
        <w:szCs w:val="18"/>
      </w:rPr>
    </w:sdtEndPr>
    <w:sdtContent>
      <w:sdt>
        <w:sdtPr>
          <w:rPr>
            <w:rFonts w:ascii="Verdana" w:hAnsi="Verdana"/>
            <w:sz w:val="18"/>
            <w:szCs w:val="18"/>
          </w:rPr>
          <w:id w:val="-1769616900"/>
          <w:docPartObj>
            <w:docPartGallery w:val="Page Numbers (Top of Page)"/>
            <w:docPartUnique/>
          </w:docPartObj>
        </w:sdtPr>
        <w:sdtEndPr/>
        <w:sdtContent>
          <w:p w14:paraId="416AAB96" w14:textId="0F067766" w:rsidR="00C132FF" w:rsidRDefault="00C132FF" w:rsidP="00423DC6">
            <w:pPr>
              <w:pStyle w:val="Footer"/>
              <w:jc w:val="right"/>
            </w:pPr>
            <w:r>
              <w:rPr>
                <w:rFonts w:ascii="Verdana" w:hAnsi="Verdana"/>
                <w:sz w:val="18"/>
              </w:rPr>
              <w:t xml:space="preserve">Page </w:t>
            </w:r>
            <w:r w:rsidRPr="00B50B1E">
              <w:rPr>
                <w:rFonts w:ascii="Verdana" w:hAnsi="Verdana"/>
                <w:sz w:val="18"/>
              </w:rPr>
              <w:fldChar w:fldCharType="begin"/>
            </w:r>
            <w:r w:rsidRPr="00B50B1E">
              <w:rPr>
                <w:rFonts w:ascii="Verdana" w:hAnsi="Verdana"/>
                <w:sz w:val="18"/>
              </w:rPr>
              <w:instrText>PAGE</w:instrText>
            </w:r>
            <w:r w:rsidRPr="00B50B1E">
              <w:rPr>
                <w:rFonts w:ascii="Verdana" w:hAnsi="Verdana"/>
                <w:sz w:val="18"/>
              </w:rPr>
              <w:fldChar w:fldCharType="separate"/>
            </w:r>
            <w:r w:rsidRPr="00B50B1E">
              <w:rPr>
                <w:rFonts w:ascii="Verdana" w:hAnsi="Verdana"/>
                <w:sz w:val="18"/>
              </w:rPr>
              <w:t>2</w:t>
            </w:r>
            <w:r w:rsidRPr="00B50B1E">
              <w:rPr>
                <w:rFonts w:ascii="Verdana" w:hAnsi="Verdana"/>
                <w:sz w:val="18"/>
              </w:rPr>
              <w:fldChar w:fldCharType="end"/>
            </w:r>
            <w:r>
              <w:rPr>
                <w:rFonts w:ascii="Verdana" w:hAnsi="Verdana"/>
                <w:sz w:val="18"/>
              </w:rPr>
              <w:t xml:space="preserve"> sur </w:t>
            </w:r>
            <w:r w:rsidRPr="00B50B1E">
              <w:rPr>
                <w:rFonts w:ascii="Verdana" w:hAnsi="Verdana"/>
                <w:sz w:val="18"/>
              </w:rPr>
              <w:fldChar w:fldCharType="begin"/>
            </w:r>
            <w:r w:rsidRPr="00B50B1E">
              <w:rPr>
                <w:rFonts w:ascii="Verdana" w:hAnsi="Verdana"/>
                <w:sz w:val="18"/>
              </w:rPr>
              <w:instrText>NUMPAGES</w:instrText>
            </w:r>
            <w:r w:rsidRPr="00B50B1E">
              <w:rPr>
                <w:rFonts w:ascii="Verdana" w:hAnsi="Verdana"/>
                <w:sz w:val="18"/>
              </w:rPr>
              <w:fldChar w:fldCharType="separate"/>
            </w:r>
            <w:r w:rsidRPr="00B50B1E">
              <w:rPr>
                <w:rFonts w:ascii="Verdana" w:hAnsi="Verdana"/>
                <w:sz w:val="18"/>
              </w:rPr>
              <w:t>2</w:t>
            </w:r>
            <w:r w:rsidRPr="00B50B1E">
              <w:rPr>
                <w:rFonts w:ascii="Verdana" w:hAnsi="Verdana"/>
                <w:sz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81576" w14:textId="77777777" w:rsidR="00D83C2D" w:rsidRDefault="00D83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B2712" w14:textId="77777777" w:rsidR="00C74817" w:rsidRDefault="00C74817" w:rsidP="00B50B1E">
      <w:pPr>
        <w:spacing w:line="240" w:lineRule="auto"/>
      </w:pPr>
      <w:r>
        <w:separator/>
      </w:r>
    </w:p>
  </w:footnote>
  <w:footnote w:type="continuationSeparator" w:id="0">
    <w:p w14:paraId="66231B65" w14:textId="77777777" w:rsidR="00C74817" w:rsidRDefault="00C74817" w:rsidP="00B50B1E">
      <w:pPr>
        <w:spacing w:line="240" w:lineRule="auto"/>
      </w:pPr>
      <w:r>
        <w:continuationSeparator/>
      </w:r>
    </w:p>
  </w:footnote>
  <w:footnote w:type="continuationNotice" w:id="1">
    <w:p w14:paraId="62C1D20F" w14:textId="77777777" w:rsidR="00C74817" w:rsidRDefault="00C7481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339D3" w14:textId="77777777" w:rsidR="00D83C2D" w:rsidRDefault="00D83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886D1" w14:textId="77777777" w:rsidR="00D83C2D" w:rsidRDefault="00D83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9885F" w14:textId="77777777" w:rsidR="00D83C2D" w:rsidRDefault="00D83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76369"/>
    <w:multiLevelType w:val="hybridMultilevel"/>
    <w:tmpl w:val="F11A0EC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66203E1"/>
    <w:multiLevelType w:val="hybridMultilevel"/>
    <w:tmpl w:val="DAB25D0A"/>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96F239C"/>
    <w:multiLevelType w:val="hybridMultilevel"/>
    <w:tmpl w:val="C17090C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E3D7935"/>
    <w:multiLevelType w:val="hybridMultilevel"/>
    <w:tmpl w:val="880EDFF8"/>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FB10CBF"/>
    <w:multiLevelType w:val="hybridMultilevel"/>
    <w:tmpl w:val="3DD69E0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12255E2"/>
    <w:multiLevelType w:val="hybridMultilevel"/>
    <w:tmpl w:val="1826E824"/>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154502A"/>
    <w:multiLevelType w:val="hybridMultilevel"/>
    <w:tmpl w:val="668208F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262B0906"/>
    <w:multiLevelType w:val="hybridMultilevel"/>
    <w:tmpl w:val="A62ED89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2CBF6386"/>
    <w:multiLevelType w:val="hybridMultilevel"/>
    <w:tmpl w:val="B86808F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1A53720"/>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5EC5B72"/>
    <w:multiLevelType w:val="hybridMultilevel"/>
    <w:tmpl w:val="ED38FEA2"/>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403C7ACC"/>
    <w:multiLevelType w:val="hybridMultilevel"/>
    <w:tmpl w:val="23FE39E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404677BA"/>
    <w:multiLevelType w:val="hybridMultilevel"/>
    <w:tmpl w:val="17183F26"/>
    <w:lvl w:ilvl="0" w:tplc="C8AAC1AE">
      <w:start w:val="1"/>
      <w:numFmt w:val="lowerLetter"/>
      <w:lvlText w:val="%1)"/>
      <w:lvlJc w:val="left"/>
      <w:pPr>
        <w:ind w:left="1035" w:hanging="360"/>
      </w:pPr>
      <w:rPr>
        <w:rFonts w:hint="default"/>
      </w:rPr>
    </w:lvl>
    <w:lvl w:ilvl="1" w:tplc="08130019" w:tentative="1">
      <w:start w:val="1"/>
      <w:numFmt w:val="lowerLetter"/>
      <w:lvlText w:val="%2."/>
      <w:lvlJc w:val="left"/>
      <w:pPr>
        <w:ind w:left="1755" w:hanging="360"/>
      </w:pPr>
    </w:lvl>
    <w:lvl w:ilvl="2" w:tplc="0813001B" w:tentative="1">
      <w:start w:val="1"/>
      <w:numFmt w:val="lowerRoman"/>
      <w:lvlText w:val="%3."/>
      <w:lvlJc w:val="right"/>
      <w:pPr>
        <w:ind w:left="2475" w:hanging="180"/>
      </w:pPr>
    </w:lvl>
    <w:lvl w:ilvl="3" w:tplc="0813000F" w:tentative="1">
      <w:start w:val="1"/>
      <w:numFmt w:val="decimal"/>
      <w:lvlText w:val="%4."/>
      <w:lvlJc w:val="left"/>
      <w:pPr>
        <w:ind w:left="3195" w:hanging="360"/>
      </w:pPr>
    </w:lvl>
    <w:lvl w:ilvl="4" w:tplc="08130019" w:tentative="1">
      <w:start w:val="1"/>
      <w:numFmt w:val="lowerLetter"/>
      <w:lvlText w:val="%5."/>
      <w:lvlJc w:val="left"/>
      <w:pPr>
        <w:ind w:left="3915" w:hanging="360"/>
      </w:pPr>
    </w:lvl>
    <w:lvl w:ilvl="5" w:tplc="0813001B" w:tentative="1">
      <w:start w:val="1"/>
      <w:numFmt w:val="lowerRoman"/>
      <w:lvlText w:val="%6."/>
      <w:lvlJc w:val="right"/>
      <w:pPr>
        <w:ind w:left="4635" w:hanging="180"/>
      </w:pPr>
    </w:lvl>
    <w:lvl w:ilvl="6" w:tplc="0813000F" w:tentative="1">
      <w:start w:val="1"/>
      <w:numFmt w:val="decimal"/>
      <w:lvlText w:val="%7."/>
      <w:lvlJc w:val="left"/>
      <w:pPr>
        <w:ind w:left="5355" w:hanging="360"/>
      </w:pPr>
    </w:lvl>
    <w:lvl w:ilvl="7" w:tplc="08130019" w:tentative="1">
      <w:start w:val="1"/>
      <w:numFmt w:val="lowerLetter"/>
      <w:lvlText w:val="%8."/>
      <w:lvlJc w:val="left"/>
      <w:pPr>
        <w:ind w:left="6075" w:hanging="360"/>
      </w:pPr>
    </w:lvl>
    <w:lvl w:ilvl="8" w:tplc="0813001B" w:tentative="1">
      <w:start w:val="1"/>
      <w:numFmt w:val="lowerRoman"/>
      <w:lvlText w:val="%9."/>
      <w:lvlJc w:val="right"/>
      <w:pPr>
        <w:ind w:left="6795" w:hanging="180"/>
      </w:pPr>
    </w:lvl>
  </w:abstractNum>
  <w:abstractNum w:abstractNumId="13" w15:restartNumberingAfterBreak="0">
    <w:nsid w:val="460A1E2A"/>
    <w:multiLevelType w:val="hybridMultilevel"/>
    <w:tmpl w:val="E2B86EC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48633133"/>
    <w:multiLevelType w:val="hybridMultilevel"/>
    <w:tmpl w:val="87D22858"/>
    <w:lvl w:ilvl="0" w:tplc="159A1BFE">
      <w:start w:val="1"/>
      <w:numFmt w:val="lowerLetter"/>
      <w:lvlText w:val="%1)"/>
      <w:lvlJc w:val="left"/>
      <w:pPr>
        <w:ind w:left="1035" w:hanging="360"/>
      </w:pPr>
      <w:rPr>
        <w:rFonts w:hint="default"/>
        <w:b w:val="0"/>
      </w:rPr>
    </w:lvl>
    <w:lvl w:ilvl="1" w:tplc="08130019" w:tentative="1">
      <w:start w:val="1"/>
      <w:numFmt w:val="lowerLetter"/>
      <w:lvlText w:val="%2."/>
      <w:lvlJc w:val="left"/>
      <w:pPr>
        <w:ind w:left="1755" w:hanging="360"/>
      </w:pPr>
    </w:lvl>
    <w:lvl w:ilvl="2" w:tplc="0813001B" w:tentative="1">
      <w:start w:val="1"/>
      <w:numFmt w:val="lowerRoman"/>
      <w:lvlText w:val="%3."/>
      <w:lvlJc w:val="right"/>
      <w:pPr>
        <w:ind w:left="2475" w:hanging="180"/>
      </w:pPr>
    </w:lvl>
    <w:lvl w:ilvl="3" w:tplc="0813000F" w:tentative="1">
      <w:start w:val="1"/>
      <w:numFmt w:val="decimal"/>
      <w:lvlText w:val="%4."/>
      <w:lvlJc w:val="left"/>
      <w:pPr>
        <w:ind w:left="3195" w:hanging="360"/>
      </w:pPr>
    </w:lvl>
    <w:lvl w:ilvl="4" w:tplc="08130019" w:tentative="1">
      <w:start w:val="1"/>
      <w:numFmt w:val="lowerLetter"/>
      <w:lvlText w:val="%5."/>
      <w:lvlJc w:val="left"/>
      <w:pPr>
        <w:ind w:left="3915" w:hanging="360"/>
      </w:pPr>
    </w:lvl>
    <w:lvl w:ilvl="5" w:tplc="0813001B" w:tentative="1">
      <w:start w:val="1"/>
      <w:numFmt w:val="lowerRoman"/>
      <w:lvlText w:val="%6."/>
      <w:lvlJc w:val="right"/>
      <w:pPr>
        <w:ind w:left="4635" w:hanging="180"/>
      </w:pPr>
    </w:lvl>
    <w:lvl w:ilvl="6" w:tplc="0813000F" w:tentative="1">
      <w:start w:val="1"/>
      <w:numFmt w:val="decimal"/>
      <w:lvlText w:val="%7."/>
      <w:lvlJc w:val="left"/>
      <w:pPr>
        <w:ind w:left="5355" w:hanging="360"/>
      </w:pPr>
    </w:lvl>
    <w:lvl w:ilvl="7" w:tplc="08130019" w:tentative="1">
      <w:start w:val="1"/>
      <w:numFmt w:val="lowerLetter"/>
      <w:lvlText w:val="%8."/>
      <w:lvlJc w:val="left"/>
      <w:pPr>
        <w:ind w:left="6075" w:hanging="360"/>
      </w:pPr>
    </w:lvl>
    <w:lvl w:ilvl="8" w:tplc="0813001B" w:tentative="1">
      <w:start w:val="1"/>
      <w:numFmt w:val="lowerRoman"/>
      <w:lvlText w:val="%9."/>
      <w:lvlJc w:val="right"/>
      <w:pPr>
        <w:ind w:left="6795" w:hanging="180"/>
      </w:pPr>
    </w:lvl>
  </w:abstractNum>
  <w:abstractNum w:abstractNumId="15" w15:restartNumberingAfterBreak="0">
    <w:nsid w:val="4B886802"/>
    <w:multiLevelType w:val="hybridMultilevel"/>
    <w:tmpl w:val="EF8A451C"/>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4BC642F8"/>
    <w:multiLevelType w:val="hybridMultilevel"/>
    <w:tmpl w:val="880EDFF8"/>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53570527"/>
    <w:multiLevelType w:val="hybridMultilevel"/>
    <w:tmpl w:val="94980896"/>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59611E85"/>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5B2611A7"/>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652A4738"/>
    <w:multiLevelType w:val="hybridMultilevel"/>
    <w:tmpl w:val="00E21BC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66C863B2"/>
    <w:multiLevelType w:val="hybridMultilevel"/>
    <w:tmpl w:val="C82E252E"/>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698C67D3"/>
    <w:multiLevelType w:val="multilevel"/>
    <w:tmpl w:val="25E07B8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152" w:hanging="115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lvlText w:val="%1.%2.%3.%4.%5.%6.%7"/>
      <w:lvlJc w:val="left"/>
      <w:pPr>
        <w:ind w:left="1296" w:hanging="129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6CE2624B"/>
    <w:multiLevelType w:val="hybridMultilevel"/>
    <w:tmpl w:val="517C633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706C1E68"/>
    <w:multiLevelType w:val="hybridMultilevel"/>
    <w:tmpl w:val="466AA58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22"/>
  </w:num>
  <w:num w:numId="2">
    <w:abstractNumId w:val="12"/>
  </w:num>
  <w:num w:numId="3">
    <w:abstractNumId w:val="14"/>
  </w:num>
  <w:num w:numId="4">
    <w:abstractNumId w:val="20"/>
  </w:num>
  <w:num w:numId="5">
    <w:abstractNumId w:val="10"/>
  </w:num>
  <w:num w:numId="6">
    <w:abstractNumId w:val="5"/>
  </w:num>
  <w:num w:numId="7">
    <w:abstractNumId w:val="24"/>
  </w:num>
  <w:num w:numId="8">
    <w:abstractNumId w:val="17"/>
  </w:num>
  <w:num w:numId="9">
    <w:abstractNumId w:val="15"/>
  </w:num>
  <w:num w:numId="10">
    <w:abstractNumId w:val="11"/>
  </w:num>
  <w:num w:numId="11">
    <w:abstractNumId w:val="0"/>
  </w:num>
  <w:num w:numId="12">
    <w:abstractNumId w:val="23"/>
  </w:num>
  <w:num w:numId="13">
    <w:abstractNumId w:val="8"/>
  </w:num>
  <w:num w:numId="14">
    <w:abstractNumId w:val="1"/>
  </w:num>
  <w:num w:numId="15">
    <w:abstractNumId w:val="7"/>
  </w:num>
  <w:num w:numId="16">
    <w:abstractNumId w:val="4"/>
  </w:num>
  <w:num w:numId="17">
    <w:abstractNumId w:val="2"/>
  </w:num>
  <w:num w:numId="18">
    <w:abstractNumId w:val="13"/>
  </w:num>
  <w:num w:numId="19">
    <w:abstractNumId w:val="18"/>
  </w:num>
  <w:num w:numId="20">
    <w:abstractNumId w:val="21"/>
  </w:num>
  <w:num w:numId="21">
    <w:abstractNumId w:val="6"/>
  </w:num>
  <w:num w:numId="22">
    <w:abstractNumId w:val="3"/>
  </w:num>
  <w:num w:numId="23">
    <w:abstractNumId w:val="16"/>
  </w:num>
  <w:num w:numId="24">
    <w:abstractNumId w:val="19"/>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B1E"/>
    <w:rsid w:val="00000384"/>
    <w:rsid w:val="00000A56"/>
    <w:rsid w:val="0000236C"/>
    <w:rsid w:val="00004A1D"/>
    <w:rsid w:val="00005160"/>
    <w:rsid w:val="0000579A"/>
    <w:rsid w:val="00005DD5"/>
    <w:rsid w:val="000107A2"/>
    <w:rsid w:val="00010E98"/>
    <w:rsid w:val="00012189"/>
    <w:rsid w:val="00013391"/>
    <w:rsid w:val="00013F4D"/>
    <w:rsid w:val="00014088"/>
    <w:rsid w:val="00016B8E"/>
    <w:rsid w:val="000172B3"/>
    <w:rsid w:val="00017325"/>
    <w:rsid w:val="00020256"/>
    <w:rsid w:val="00020C7D"/>
    <w:rsid w:val="00020CE9"/>
    <w:rsid w:val="00023EB1"/>
    <w:rsid w:val="00027778"/>
    <w:rsid w:val="0003030E"/>
    <w:rsid w:val="00030BB3"/>
    <w:rsid w:val="0003257F"/>
    <w:rsid w:val="0003268A"/>
    <w:rsid w:val="00036B33"/>
    <w:rsid w:val="0004685C"/>
    <w:rsid w:val="0005129B"/>
    <w:rsid w:val="00053082"/>
    <w:rsid w:val="000544FE"/>
    <w:rsid w:val="00054E93"/>
    <w:rsid w:val="000622A5"/>
    <w:rsid w:val="0006527F"/>
    <w:rsid w:val="000702AA"/>
    <w:rsid w:val="00071087"/>
    <w:rsid w:val="0007144D"/>
    <w:rsid w:val="00071BCB"/>
    <w:rsid w:val="00074CB8"/>
    <w:rsid w:val="000776BA"/>
    <w:rsid w:val="00080EB4"/>
    <w:rsid w:val="00082A07"/>
    <w:rsid w:val="00085BDB"/>
    <w:rsid w:val="0008743C"/>
    <w:rsid w:val="00091009"/>
    <w:rsid w:val="00096C99"/>
    <w:rsid w:val="00097755"/>
    <w:rsid w:val="000A083E"/>
    <w:rsid w:val="000A3F06"/>
    <w:rsid w:val="000A6729"/>
    <w:rsid w:val="000A714A"/>
    <w:rsid w:val="000B273C"/>
    <w:rsid w:val="000B40BA"/>
    <w:rsid w:val="000B5275"/>
    <w:rsid w:val="000B5604"/>
    <w:rsid w:val="000B6AB1"/>
    <w:rsid w:val="000C294A"/>
    <w:rsid w:val="000C4B04"/>
    <w:rsid w:val="000C7543"/>
    <w:rsid w:val="000D13CB"/>
    <w:rsid w:val="000D1CF9"/>
    <w:rsid w:val="000D201B"/>
    <w:rsid w:val="000D24AC"/>
    <w:rsid w:val="000E0628"/>
    <w:rsid w:val="000E1404"/>
    <w:rsid w:val="000E2D80"/>
    <w:rsid w:val="000E331B"/>
    <w:rsid w:val="000E48D4"/>
    <w:rsid w:val="000E6C8B"/>
    <w:rsid w:val="000F67D3"/>
    <w:rsid w:val="000F7181"/>
    <w:rsid w:val="000F7FA6"/>
    <w:rsid w:val="00102649"/>
    <w:rsid w:val="00102D0F"/>
    <w:rsid w:val="00105568"/>
    <w:rsid w:val="00111D79"/>
    <w:rsid w:val="00115A3C"/>
    <w:rsid w:val="00122BF6"/>
    <w:rsid w:val="001263A0"/>
    <w:rsid w:val="001273F7"/>
    <w:rsid w:val="00130859"/>
    <w:rsid w:val="001402A3"/>
    <w:rsid w:val="001409F2"/>
    <w:rsid w:val="0014108F"/>
    <w:rsid w:val="00143BF3"/>
    <w:rsid w:val="00144439"/>
    <w:rsid w:val="00146FC5"/>
    <w:rsid w:val="00147E69"/>
    <w:rsid w:val="00150529"/>
    <w:rsid w:val="00150B4F"/>
    <w:rsid w:val="0015191D"/>
    <w:rsid w:val="00154845"/>
    <w:rsid w:val="00155277"/>
    <w:rsid w:val="00161315"/>
    <w:rsid w:val="001615AE"/>
    <w:rsid w:val="00161616"/>
    <w:rsid w:val="00164685"/>
    <w:rsid w:val="0016546B"/>
    <w:rsid w:val="00166CFF"/>
    <w:rsid w:val="00167AB2"/>
    <w:rsid w:val="001701AB"/>
    <w:rsid w:val="00170FAA"/>
    <w:rsid w:val="001734B3"/>
    <w:rsid w:val="00174A9D"/>
    <w:rsid w:val="00174FF2"/>
    <w:rsid w:val="00175968"/>
    <w:rsid w:val="00181126"/>
    <w:rsid w:val="001821F0"/>
    <w:rsid w:val="00184420"/>
    <w:rsid w:val="0018507A"/>
    <w:rsid w:val="00187EB3"/>
    <w:rsid w:val="0019097C"/>
    <w:rsid w:val="0019261B"/>
    <w:rsid w:val="0019433F"/>
    <w:rsid w:val="001950E6"/>
    <w:rsid w:val="00197468"/>
    <w:rsid w:val="001A472E"/>
    <w:rsid w:val="001A4E58"/>
    <w:rsid w:val="001A5698"/>
    <w:rsid w:val="001B3659"/>
    <w:rsid w:val="001C2A54"/>
    <w:rsid w:val="001C5306"/>
    <w:rsid w:val="001C53F1"/>
    <w:rsid w:val="001C7323"/>
    <w:rsid w:val="001D7FF4"/>
    <w:rsid w:val="001E5EF3"/>
    <w:rsid w:val="001E6BB5"/>
    <w:rsid w:val="001E7E69"/>
    <w:rsid w:val="001F3F07"/>
    <w:rsid w:val="001F77E1"/>
    <w:rsid w:val="00200DD4"/>
    <w:rsid w:val="002013D5"/>
    <w:rsid w:val="00203214"/>
    <w:rsid w:val="002073E9"/>
    <w:rsid w:val="00212FEC"/>
    <w:rsid w:val="002152E2"/>
    <w:rsid w:val="00215468"/>
    <w:rsid w:val="002167B8"/>
    <w:rsid w:val="00220EA2"/>
    <w:rsid w:val="002217A2"/>
    <w:rsid w:val="002237BB"/>
    <w:rsid w:val="002246E0"/>
    <w:rsid w:val="0022568C"/>
    <w:rsid w:val="0022603F"/>
    <w:rsid w:val="002328D7"/>
    <w:rsid w:val="00233405"/>
    <w:rsid w:val="00236333"/>
    <w:rsid w:val="0023635C"/>
    <w:rsid w:val="002367EC"/>
    <w:rsid w:val="00240424"/>
    <w:rsid w:val="002430B0"/>
    <w:rsid w:val="00244232"/>
    <w:rsid w:val="00244719"/>
    <w:rsid w:val="002459FE"/>
    <w:rsid w:val="0025622F"/>
    <w:rsid w:val="00256626"/>
    <w:rsid w:val="002616DC"/>
    <w:rsid w:val="0026207F"/>
    <w:rsid w:val="002652BB"/>
    <w:rsid w:val="00265CA0"/>
    <w:rsid w:val="00265FD1"/>
    <w:rsid w:val="0026619D"/>
    <w:rsid w:val="002665FA"/>
    <w:rsid w:val="002673EC"/>
    <w:rsid w:val="0027212E"/>
    <w:rsid w:val="00272AE5"/>
    <w:rsid w:val="0027354D"/>
    <w:rsid w:val="002844CB"/>
    <w:rsid w:val="00287310"/>
    <w:rsid w:val="0029319E"/>
    <w:rsid w:val="00294348"/>
    <w:rsid w:val="00297B74"/>
    <w:rsid w:val="002A052A"/>
    <w:rsid w:val="002A37B2"/>
    <w:rsid w:val="002A43B4"/>
    <w:rsid w:val="002A6CA4"/>
    <w:rsid w:val="002B1354"/>
    <w:rsid w:val="002B3357"/>
    <w:rsid w:val="002B575D"/>
    <w:rsid w:val="002C0633"/>
    <w:rsid w:val="002C14FE"/>
    <w:rsid w:val="002C354F"/>
    <w:rsid w:val="002C3C84"/>
    <w:rsid w:val="002C7396"/>
    <w:rsid w:val="002D0770"/>
    <w:rsid w:val="002D0A28"/>
    <w:rsid w:val="002D63DE"/>
    <w:rsid w:val="002D67BE"/>
    <w:rsid w:val="002E4202"/>
    <w:rsid w:val="002E43BD"/>
    <w:rsid w:val="002E6C50"/>
    <w:rsid w:val="002E7572"/>
    <w:rsid w:val="002F1ED2"/>
    <w:rsid w:val="00300E74"/>
    <w:rsid w:val="00301200"/>
    <w:rsid w:val="00303FD5"/>
    <w:rsid w:val="0030793F"/>
    <w:rsid w:val="00307D6A"/>
    <w:rsid w:val="003154EE"/>
    <w:rsid w:val="0031588D"/>
    <w:rsid w:val="00315AE7"/>
    <w:rsid w:val="003170D5"/>
    <w:rsid w:val="00317C3E"/>
    <w:rsid w:val="00321E55"/>
    <w:rsid w:val="003307A7"/>
    <w:rsid w:val="00330A7A"/>
    <w:rsid w:val="00330C01"/>
    <w:rsid w:val="00331FCD"/>
    <w:rsid w:val="003328BA"/>
    <w:rsid w:val="00343261"/>
    <w:rsid w:val="00343FE5"/>
    <w:rsid w:val="00345704"/>
    <w:rsid w:val="0035236B"/>
    <w:rsid w:val="0035315E"/>
    <w:rsid w:val="00362A2A"/>
    <w:rsid w:val="00364FBF"/>
    <w:rsid w:val="003706D0"/>
    <w:rsid w:val="00371AB7"/>
    <w:rsid w:val="00371F62"/>
    <w:rsid w:val="003749BB"/>
    <w:rsid w:val="003801A8"/>
    <w:rsid w:val="00380946"/>
    <w:rsid w:val="00381A8A"/>
    <w:rsid w:val="00384E05"/>
    <w:rsid w:val="00385C15"/>
    <w:rsid w:val="0039127B"/>
    <w:rsid w:val="0039236B"/>
    <w:rsid w:val="00393FF7"/>
    <w:rsid w:val="003A580D"/>
    <w:rsid w:val="003A6D08"/>
    <w:rsid w:val="003A7A4B"/>
    <w:rsid w:val="003B1CDD"/>
    <w:rsid w:val="003C10C3"/>
    <w:rsid w:val="003C3572"/>
    <w:rsid w:val="003C4DC3"/>
    <w:rsid w:val="003C5578"/>
    <w:rsid w:val="003C68E9"/>
    <w:rsid w:val="003C7830"/>
    <w:rsid w:val="003D060B"/>
    <w:rsid w:val="003D0DE7"/>
    <w:rsid w:val="003D5005"/>
    <w:rsid w:val="003D711A"/>
    <w:rsid w:val="003D7844"/>
    <w:rsid w:val="003E179B"/>
    <w:rsid w:val="003E3087"/>
    <w:rsid w:val="003E3599"/>
    <w:rsid w:val="003E3E33"/>
    <w:rsid w:val="003E4E3E"/>
    <w:rsid w:val="003E6DF9"/>
    <w:rsid w:val="003F1995"/>
    <w:rsid w:val="003F3866"/>
    <w:rsid w:val="003F5EF5"/>
    <w:rsid w:val="003F6CCB"/>
    <w:rsid w:val="00414A03"/>
    <w:rsid w:val="00417220"/>
    <w:rsid w:val="00420DFA"/>
    <w:rsid w:val="00423DC6"/>
    <w:rsid w:val="00424F5B"/>
    <w:rsid w:val="004251AD"/>
    <w:rsid w:val="00425830"/>
    <w:rsid w:val="004271D8"/>
    <w:rsid w:val="004347AB"/>
    <w:rsid w:val="00435F95"/>
    <w:rsid w:val="00445AF6"/>
    <w:rsid w:val="0045218D"/>
    <w:rsid w:val="00453BFA"/>
    <w:rsid w:val="00454276"/>
    <w:rsid w:val="004564E3"/>
    <w:rsid w:val="00460837"/>
    <w:rsid w:val="00460F53"/>
    <w:rsid w:val="00461229"/>
    <w:rsid w:val="004622D2"/>
    <w:rsid w:val="00466035"/>
    <w:rsid w:val="00466954"/>
    <w:rsid w:val="00475ECD"/>
    <w:rsid w:val="00476ADF"/>
    <w:rsid w:val="0047712F"/>
    <w:rsid w:val="00491635"/>
    <w:rsid w:val="004918B8"/>
    <w:rsid w:val="00491FE5"/>
    <w:rsid w:val="00496190"/>
    <w:rsid w:val="004A1EAD"/>
    <w:rsid w:val="004A564D"/>
    <w:rsid w:val="004A750C"/>
    <w:rsid w:val="004B0DA0"/>
    <w:rsid w:val="004B2344"/>
    <w:rsid w:val="004B2AEC"/>
    <w:rsid w:val="004C6EF1"/>
    <w:rsid w:val="004D0DC3"/>
    <w:rsid w:val="004D0ECB"/>
    <w:rsid w:val="004D36A4"/>
    <w:rsid w:val="004D3E74"/>
    <w:rsid w:val="004D67C4"/>
    <w:rsid w:val="004D7E7E"/>
    <w:rsid w:val="004D7F8F"/>
    <w:rsid w:val="004E3D3D"/>
    <w:rsid w:val="004E5F3F"/>
    <w:rsid w:val="004E69E3"/>
    <w:rsid w:val="004F0355"/>
    <w:rsid w:val="004F15F6"/>
    <w:rsid w:val="004F2D8A"/>
    <w:rsid w:val="004F37B2"/>
    <w:rsid w:val="004F3DF3"/>
    <w:rsid w:val="004F46AF"/>
    <w:rsid w:val="004F6EC0"/>
    <w:rsid w:val="004F776B"/>
    <w:rsid w:val="005162CF"/>
    <w:rsid w:val="00516327"/>
    <w:rsid w:val="00520D14"/>
    <w:rsid w:val="005243C0"/>
    <w:rsid w:val="00525916"/>
    <w:rsid w:val="00531ABB"/>
    <w:rsid w:val="005412CB"/>
    <w:rsid w:val="005413F4"/>
    <w:rsid w:val="00541602"/>
    <w:rsid w:val="00541BD6"/>
    <w:rsid w:val="005425D7"/>
    <w:rsid w:val="00542F4F"/>
    <w:rsid w:val="00543086"/>
    <w:rsid w:val="00546FAE"/>
    <w:rsid w:val="00550F04"/>
    <w:rsid w:val="00551B64"/>
    <w:rsid w:val="00553799"/>
    <w:rsid w:val="00554636"/>
    <w:rsid w:val="005552DB"/>
    <w:rsid w:val="00556F85"/>
    <w:rsid w:val="00560177"/>
    <w:rsid w:val="0056707D"/>
    <w:rsid w:val="00567F2D"/>
    <w:rsid w:val="005719DC"/>
    <w:rsid w:val="00572022"/>
    <w:rsid w:val="0057232D"/>
    <w:rsid w:val="0058288F"/>
    <w:rsid w:val="005844EB"/>
    <w:rsid w:val="00584DE1"/>
    <w:rsid w:val="005913EA"/>
    <w:rsid w:val="0059398C"/>
    <w:rsid w:val="00594CFD"/>
    <w:rsid w:val="0059577D"/>
    <w:rsid w:val="00596FBE"/>
    <w:rsid w:val="005A3869"/>
    <w:rsid w:val="005A5162"/>
    <w:rsid w:val="005B2048"/>
    <w:rsid w:val="005B2F7B"/>
    <w:rsid w:val="005B408D"/>
    <w:rsid w:val="005B5079"/>
    <w:rsid w:val="005C28F0"/>
    <w:rsid w:val="005C34C8"/>
    <w:rsid w:val="005C49C3"/>
    <w:rsid w:val="005D6093"/>
    <w:rsid w:val="005E03EE"/>
    <w:rsid w:val="005E35E4"/>
    <w:rsid w:val="005E7A49"/>
    <w:rsid w:val="005E7F92"/>
    <w:rsid w:val="005F3073"/>
    <w:rsid w:val="005F7DEF"/>
    <w:rsid w:val="00601FB5"/>
    <w:rsid w:val="006055D3"/>
    <w:rsid w:val="00605BFA"/>
    <w:rsid w:val="006115B8"/>
    <w:rsid w:val="00611C1B"/>
    <w:rsid w:val="006136E4"/>
    <w:rsid w:val="00614649"/>
    <w:rsid w:val="0061586D"/>
    <w:rsid w:val="00615981"/>
    <w:rsid w:val="0061637A"/>
    <w:rsid w:val="006167EB"/>
    <w:rsid w:val="0061792F"/>
    <w:rsid w:val="0062432D"/>
    <w:rsid w:val="00624797"/>
    <w:rsid w:val="0063356C"/>
    <w:rsid w:val="00636A5D"/>
    <w:rsid w:val="00640DDC"/>
    <w:rsid w:val="0064559A"/>
    <w:rsid w:val="006459B5"/>
    <w:rsid w:val="0065351B"/>
    <w:rsid w:val="00657854"/>
    <w:rsid w:val="006668E1"/>
    <w:rsid w:val="00667641"/>
    <w:rsid w:val="006754CD"/>
    <w:rsid w:val="006757B5"/>
    <w:rsid w:val="006779C1"/>
    <w:rsid w:val="006851E5"/>
    <w:rsid w:val="00690361"/>
    <w:rsid w:val="00691814"/>
    <w:rsid w:val="0069524E"/>
    <w:rsid w:val="006A3EEC"/>
    <w:rsid w:val="006A4B99"/>
    <w:rsid w:val="006A610E"/>
    <w:rsid w:val="006B1A7D"/>
    <w:rsid w:val="006B23F2"/>
    <w:rsid w:val="006B30C4"/>
    <w:rsid w:val="006C74D9"/>
    <w:rsid w:val="006D25E2"/>
    <w:rsid w:val="006E0E76"/>
    <w:rsid w:val="006E2168"/>
    <w:rsid w:val="006E3266"/>
    <w:rsid w:val="006F7304"/>
    <w:rsid w:val="0070442E"/>
    <w:rsid w:val="00705804"/>
    <w:rsid w:val="0070731B"/>
    <w:rsid w:val="007104DC"/>
    <w:rsid w:val="00715431"/>
    <w:rsid w:val="00726E66"/>
    <w:rsid w:val="007274F5"/>
    <w:rsid w:val="007346BF"/>
    <w:rsid w:val="00740935"/>
    <w:rsid w:val="00741A0F"/>
    <w:rsid w:val="0074577E"/>
    <w:rsid w:val="00755EFB"/>
    <w:rsid w:val="007564D1"/>
    <w:rsid w:val="0075662F"/>
    <w:rsid w:val="00761C6C"/>
    <w:rsid w:val="00773BAC"/>
    <w:rsid w:val="00781477"/>
    <w:rsid w:val="0078245C"/>
    <w:rsid w:val="00782BFC"/>
    <w:rsid w:val="0078508C"/>
    <w:rsid w:val="00787C27"/>
    <w:rsid w:val="007938D5"/>
    <w:rsid w:val="007A0F98"/>
    <w:rsid w:val="007B25CE"/>
    <w:rsid w:val="007B29EF"/>
    <w:rsid w:val="007B5353"/>
    <w:rsid w:val="007B5878"/>
    <w:rsid w:val="007B6B17"/>
    <w:rsid w:val="007C1107"/>
    <w:rsid w:val="007C19A8"/>
    <w:rsid w:val="007C2A73"/>
    <w:rsid w:val="007C583B"/>
    <w:rsid w:val="007C5D1F"/>
    <w:rsid w:val="007C61F0"/>
    <w:rsid w:val="007C6B1F"/>
    <w:rsid w:val="007D0D9E"/>
    <w:rsid w:val="007D16E6"/>
    <w:rsid w:val="007D1712"/>
    <w:rsid w:val="007D4E61"/>
    <w:rsid w:val="007D52AF"/>
    <w:rsid w:val="007D6E08"/>
    <w:rsid w:val="007E35F9"/>
    <w:rsid w:val="007E4C21"/>
    <w:rsid w:val="007E4F00"/>
    <w:rsid w:val="007E55F0"/>
    <w:rsid w:val="007E6C6D"/>
    <w:rsid w:val="007F38D2"/>
    <w:rsid w:val="00800F01"/>
    <w:rsid w:val="00807BD0"/>
    <w:rsid w:val="00812C08"/>
    <w:rsid w:val="008149EB"/>
    <w:rsid w:val="008156EF"/>
    <w:rsid w:val="00815963"/>
    <w:rsid w:val="00822B9D"/>
    <w:rsid w:val="00822BFE"/>
    <w:rsid w:val="008230F5"/>
    <w:rsid w:val="00824856"/>
    <w:rsid w:val="00826924"/>
    <w:rsid w:val="00830E75"/>
    <w:rsid w:val="00832556"/>
    <w:rsid w:val="00836972"/>
    <w:rsid w:val="008438EF"/>
    <w:rsid w:val="00845119"/>
    <w:rsid w:val="008538EC"/>
    <w:rsid w:val="008627FF"/>
    <w:rsid w:val="00862891"/>
    <w:rsid w:val="00863845"/>
    <w:rsid w:val="008645B9"/>
    <w:rsid w:val="0086527F"/>
    <w:rsid w:val="008725FF"/>
    <w:rsid w:val="00874339"/>
    <w:rsid w:val="00881AB1"/>
    <w:rsid w:val="008824CA"/>
    <w:rsid w:val="008831D7"/>
    <w:rsid w:val="0088392E"/>
    <w:rsid w:val="00883B24"/>
    <w:rsid w:val="00884A6C"/>
    <w:rsid w:val="00892FA5"/>
    <w:rsid w:val="008950D0"/>
    <w:rsid w:val="008974D7"/>
    <w:rsid w:val="008A1CF6"/>
    <w:rsid w:val="008A5797"/>
    <w:rsid w:val="008A6A66"/>
    <w:rsid w:val="008B095D"/>
    <w:rsid w:val="008B787E"/>
    <w:rsid w:val="008C4041"/>
    <w:rsid w:val="008C64EA"/>
    <w:rsid w:val="008C6824"/>
    <w:rsid w:val="008D28F4"/>
    <w:rsid w:val="008D2AAF"/>
    <w:rsid w:val="008D536F"/>
    <w:rsid w:val="008D7F1E"/>
    <w:rsid w:val="008E1A53"/>
    <w:rsid w:val="008E29CC"/>
    <w:rsid w:val="008E2BD0"/>
    <w:rsid w:val="008E420D"/>
    <w:rsid w:val="008E4DF8"/>
    <w:rsid w:val="008E5061"/>
    <w:rsid w:val="008E5BDA"/>
    <w:rsid w:val="008E64B8"/>
    <w:rsid w:val="008E7534"/>
    <w:rsid w:val="008F1000"/>
    <w:rsid w:val="008F760A"/>
    <w:rsid w:val="008F76C6"/>
    <w:rsid w:val="008F7FA7"/>
    <w:rsid w:val="009002A9"/>
    <w:rsid w:val="0090117D"/>
    <w:rsid w:val="00902794"/>
    <w:rsid w:val="00910919"/>
    <w:rsid w:val="009117CB"/>
    <w:rsid w:val="00912468"/>
    <w:rsid w:val="0092173D"/>
    <w:rsid w:val="009223FA"/>
    <w:rsid w:val="00922A5A"/>
    <w:rsid w:val="00922EF2"/>
    <w:rsid w:val="00927B7A"/>
    <w:rsid w:val="00933712"/>
    <w:rsid w:val="009353C9"/>
    <w:rsid w:val="00937C48"/>
    <w:rsid w:val="00942148"/>
    <w:rsid w:val="009433C5"/>
    <w:rsid w:val="009439C5"/>
    <w:rsid w:val="00943C15"/>
    <w:rsid w:val="00952DF3"/>
    <w:rsid w:val="00957CDB"/>
    <w:rsid w:val="0096041C"/>
    <w:rsid w:val="00961CC0"/>
    <w:rsid w:val="00964402"/>
    <w:rsid w:val="00964B36"/>
    <w:rsid w:val="009657B5"/>
    <w:rsid w:val="00965D34"/>
    <w:rsid w:val="00966D2C"/>
    <w:rsid w:val="00967226"/>
    <w:rsid w:val="00970611"/>
    <w:rsid w:val="009738A6"/>
    <w:rsid w:val="00974BFC"/>
    <w:rsid w:val="00974DFD"/>
    <w:rsid w:val="0097554C"/>
    <w:rsid w:val="009764C6"/>
    <w:rsid w:val="009808A7"/>
    <w:rsid w:val="0098325C"/>
    <w:rsid w:val="00984210"/>
    <w:rsid w:val="009870A8"/>
    <w:rsid w:val="009910D3"/>
    <w:rsid w:val="00991B88"/>
    <w:rsid w:val="009A06AC"/>
    <w:rsid w:val="009A086C"/>
    <w:rsid w:val="009A1E1F"/>
    <w:rsid w:val="009B1330"/>
    <w:rsid w:val="009B7152"/>
    <w:rsid w:val="009B7A4B"/>
    <w:rsid w:val="009C2946"/>
    <w:rsid w:val="009C5138"/>
    <w:rsid w:val="009C77DC"/>
    <w:rsid w:val="009C7E4B"/>
    <w:rsid w:val="009D18B9"/>
    <w:rsid w:val="009D2074"/>
    <w:rsid w:val="009D24D8"/>
    <w:rsid w:val="009D3240"/>
    <w:rsid w:val="009E4DB8"/>
    <w:rsid w:val="009E509E"/>
    <w:rsid w:val="009E5951"/>
    <w:rsid w:val="009F279B"/>
    <w:rsid w:val="009F2F6E"/>
    <w:rsid w:val="009F4765"/>
    <w:rsid w:val="009F4C6C"/>
    <w:rsid w:val="009F68CB"/>
    <w:rsid w:val="009F761F"/>
    <w:rsid w:val="00A0123A"/>
    <w:rsid w:val="00A022F0"/>
    <w:rsid w:val="00A02B01"/>
    <w:rsid w:val="00A02CBF"/>
    <w:rsid w:val="00A03CE5"/>
    <w:rsid w:val="00A07BD7"/>
    <w:rsid w:val="00A07D2D"/>
    <w:rsid w:val="00A16231"/>
    <w:rsid w:val="00A16EFF"/>
    <w:rsid w:val="00A17C02"/>
    <w:rsid w:val="00A22744"/>
    <w:rsid w:val="00A23386"/>
    <w:rsid w:val="00A24448"/>
    <w:rsid w:val="00A3226D"/>
    <w:rsid w:val="00A433EC"/>
    <w:rsid w:val="00A438A6"/>
    <w:rsid w:val="00A454B8"/>
    <w:rsid w:val="00A47049"/>
    <w:rsid w:val="00A478D5"/>
    <w:rsid w:val="00A56214"/>
    <w:rsid w:val="00A57294"/>
    <w:rsid w:val="00A57B08"/>
    <w:rsid w:val="00A57DCE"/>
    <w:rsid w:val="00A62DFB"/>
    <w:rsid w:val="00A62ED8"/>
    <w:rsid w:val="00A63BF6"/>
    <w:rsid w:val="00A7287E"/>
    <w:rsid w:val="00A813CB"/>
    <w:rsid w:val="00A82D23"/>
    <w:rsid w:val="00A82D25"/>
    <w:rsid w:val="00A9150E"/>
    <w:rsid w:val="00A92127"/>
    <w:rsid w:val="00A932E5"/>
    <w:rsid w:val="00A94383"/>
    <w:rsid w:val="00A948BD"/>
    <w:rsid w:val="00A94C5D"/>
    <w:rsid w:val="00A94E60"/>
    <w:rsid w:val="00AA19BF"/>
    <w:rsid w:val="00AA2140"/>
    <w:rsid w:val="00AA3586"/>
    <w:rsid w:val="00AA5B9B"/>
    <w:rsid w:val="00AA6C0D"/>
    <w:rsid w:val="00AB0975"/>
    <w:rsid w:val="00AB209D"/>
    <w:rsid w:val="00AB248E"/>
    <w:rsid w:val="00AB363B"/>
    <w:rsid w:val="00AC2136"/>
    <w:rsid w:val="00AC4267"/>
    <w:rsid w:val="00AC6510"/>
    <w:rsid w:val="00AC6A25"/>
    <w:rsid w:val="00AD34E1"/>
    <w:rsid w:val="00AD3AA0"/>
    <w:rsid w:val="00AD4913"/>
    <w:rsid w:val="00AD5E4E"/>
    <w:rsid w:val="00AD5F18"/>
    <w:rsid w:val="00AD6857"/>
    <w:rsid w:val="00AE6B7A"/>
    <w:rsid w:val="00AE7307"/>
    <w:rsid w:val="00AF01AA"/>
    <w:rsid w:val="00AF4F1E"/>
    <w:rsid w:val="00AF5D35"/>
    <w:rsid w:val="00AF7EC7"/>
    <w:rsid w:val="00B05ACC"/>
    <w:rsid w:val="00B1541B"/>
    <w:rsid w:val="00B16083"/>
    <w:rsid w:val="00B2390D"/>
    <w:rsid w:val="00B27668"/>
    <w:rsid w:val="00B30EE9"/>
    <w:rsid w:val="00B31230"/>
    <w:rsid w:val="00B32ACE"/>
    <w:rsid w:val="00B335CB"/>
    <w:rsid w:val="00B3727C"/>
    <w:rsid w:val="00B37342"/>
    <w:rsid w:val="00B42718"/>
    <w:rsid w:val="00B443E9"/>
    <w:rsid w:val="00B45C7F"/>
    <w:rsid w:val="00B4790C"/>
    <w:rsid w:val="00B47F97"/>
    <w:rsid w:val="00B50B1E"/>
    <w:rsid w:val="00B51B2A"/>
    <w:rsid w:val="00B5702F"/>
    <w:rsid w:val="00B6190F"/>
    <w:rsid w:val="00B64C63"/>
    <w:rsid w:val="00B65BE7"/>
    <w:rsid w:val="00B73C7A"/>
    <w:rsid w:val="00B74142"/>
    <w:rsid w:val="00B7517A"/>
    <w:rsid w:val="00B752D0"/>
    <w:rsid w:val="00B76738"/>
    <w:rsid w:val="00B81F82"/>
    <w:rsid w:val="00B82EB6"/>
    <w:rsid w:val="00B83F1E"/>
    <w:rsid w:val="00B865DF"/>
    <w:rsid w:val="00B8687A"/>
    <w:rsid w:val="00B91192"/>
    <w:rsid w:val="00B91911"/>
    <w:rsid w:val="00B925F5"/>
    <w:rsid w:val="00B92981"/>
    <w:rsid w:val="00B95818"/>
    <w:rsid w:val="00B95DB8"/>
    <w:rsid w:val="00BA1B64"/>
    <w:rsid w:val="00BA20F4"/>
    <w:rsid w:val="00BA61F5"/>
    <w:rsid w:val="00BB31E4"/>
    <w:rsid w:val="00BB563A"/>
    <w:rsid w:val="00BB5BF4"/>
    <w:rsid w:val="00BB5D15"/>
    <w:rsid w:val="00BB6BB5"/>
    <w:rsid w:val="00BB70EC"/>
    <w:rsid w:val="00BC00BE"/>
    <w:rsid w:val="00BC1084"/>
    <w:rsid w:val="00BC27F3"/>
    <w:rsid w:val="00BC2829"/>
    <w:rsid w:val="00BD2830"/>
    <w:rsid w:val="00BD3751"/>
    <w:rsid w:val="00BD3923"/>
    <w:rsid w:val="00BD3E51"/>
    <w:rsid w:val="00BD47A4"/>
    <w:rsid w:val="00BE4512"/>
    <w:rsid w:val="00BE7B21"/>
    <w:rsid w:val="00BF1452"/>
    <w:rsid w:val="00BF1A73"/>
    <w:rsid w:val="00BF4CD3"/>
    <w:rsid w:val="00BF4EF5"/>
    <w:rsid w:val="00C00766"/>
    <w:rsid w:val="00C01228"/>
    <w:rsid w:val="00C05BC4"/>
    <w:rsid w:val="00C06209"/>
    <w:rsid w:val="00C132FF"/>
    <w:rsid w:val="00C13F78"/>
    <w:rsid w:val="00C14226"/>
    <w:rsid w:val="00C1668C"/>
    <w:rsid w:val="00C23736"/>
    <w:rsid w:val="00C23BAB"/>
    <w:rsid w:val="00C24EEA"/>
    <w:rsid w:val="00C252E8"/>
    <w:rsid w:val="00C320F9"/>
    <w:rsid w:val="00C336D0"/>
    <w:rsid w:val="00C34B8A"/>
    <w:rsid w:val="00C34F5C"/>
    <w:rsid w:val="00C40FCA"/>
    <w:rsid w:val="00C430E8"/>
    <w:rsid w:val="00C4337B"/>
    <w:rsid w:val="00C44879"/>
    <w:rsid w:val="00C50E7E"/>
    <w:rsid w:val="00C56139"/>
    <w:rsid w:val="00C60541"/>
    <w:rsid w:val="00C64BB1"/>
    <w:rsid w:val="00C67418"/>
    <w:rsid w:val="00C74817"/>
    <w:rsid w:val="00C74929"/>
    <w:rsid w:val="00C76B23"/>
    <w:rsid w:val="00C811AC"/>
    <w:rsid w:val="00C82A86"/>
    <w:rsid w:val="00C84DAF"/>
    <w:rsid w:val="00C9097F"/>
    <w:rsid w:val="00C913D7"/>
    <w:rsid w:val="00C92182"/>
    <w:rsid w:val="00C92FEA"/>
    <w:rsid w:val="00C96B38"/>
    <w:rsid w:val="00C97540"/>
    <w:rsid w:val="00CA10E6"/>
    <w:rsid w:val="00CB160C"/>
    <w:rsid w:val="00CB3C0C"/>
    <w:rsid w:val="00CB7290"/>
    <w:rsid w:val="00CC0343"/>
    <w:rsid w:val="00CC04F9"/>
    <w:rsid w:val="00CC27E2"/>
    <w:rsid w:val="00CC32C7"/>
    <w:rsid w:val="00CD36FC"/>
    <w:rsid w:val="00CD4B00"/>
    <w:rsid w:val="00CD54D1"/>
    <w:rsid w:val="00CE2BDF"/>
    <w:rsid w:val="00CE4B04"/>
    <w:rsid w:val="00CE4F56"/>
    <w:rsid w:val="00CE540B"/>
    <w:rsid w:val="00CE6F11"/>
    <w:rsid w:val="00CE7B57"/>
    <w:rsid w:val="00CF109F"/>
    <w:rsid w:val="00CF1C4A"/>
    <w:rsid w:val="00D00AE6"/>
    <w:rsid w:val="00D01996"/>
    <w:rsid w:val="00D030EE"/>
    <w:rsid w:val="00D03EE9"/>
    <w:rsid w:val="00D12BF2"/>
    <w:rsid w:val="00D12F7A"/>
    <w:rsid w:val="00D2110E"/>
    <w:rsid w:val="00D2370E"/>
    <w:rsid w:val="00D308E3"/>
    <w:rsid w:val="00D30972"/>
    <w:rsid w:val="00D36E6B"/>
    <w:rsid w:val="00D40820"/>
    <w:rsid w:val="00D42DF4"/>
    <w:rsid w:val="00D445EB"/>
    <w:rsid w:val="00D51A30"/>
    <w:rsid w:val="00D522AD"/>
    <w:rsid w:val="00D55480"/>
    <w:rsid w:val="00D55951"/>
    <w:rsid w:val="00D5622F"/>
    <w:rsid w:val="00D61E46"/>
    <w:rsid w:val="00D631B3"/>
    <w:rsid w:val="00D64465"/>
    <w:rsid w:val="00D64FAD"/>
    <w:rsid w:val="00D703D0"/>
    <w:rsid w:val="00D70D0B"/>
    <w:rsid w:val="00D766EE"/>
    <w:rsid w:val="00D83C2D"/>
    <w:rsid w:val="00D841F8"/>
    <w:rsid w:val="00D8431C"/>
    <w:rsid w:val="00D8642F"/>
    <w:rsid w:val="00D87DA2"/>
    <w:rsid w:val="00D90180"/>
    <w:rsid w:val="00D90777"/>
    <w:rsid w:val="00D90C31"/>
    <w:rsid w:val="00D90F97"/>
    <w:rsid w:val="00D923AB"/>
    <w:rsid w:val="00D94FF8"/>
    <w:rsid w:val="00D95BCF"/>
    <w:rsid w:val="00DA0013"/>
    <w:rsid w:val="00DA68D3"/>
    <w:rsid w:val="00DB0057"/>
    <w:rsid w:val="00DB34EE"/>
    <w:rsid w:val="00DB4A53"/>
    <w:rsid w:val="00DB77AE"/>
    <w:rsid w:val="00DC2D88"/>
    <w:rsid w:val="00DC59CF"/>
    <w:rsid w:val="00DC75EA"/>
    <w:rsid w:val="00DC773E"/>
    <w:rsid w:val="00DC7845"/>
    <w:rsid w:val="00DD0300"/>
    <w:rsid w:val="00DD38AE"/>
    <w:rsid w:val="00DD3E82"/>
    <w:rsid w:val="00DD3EF2"/>
    <w:rsid w:val="00DE059E"/>
    <w:rsid w:val="00DE32CA"/>
    <w:rsid w:val="00DE33CA"/>
    <w:rsid w:val="00DE70AC"/>
    <w:rsid w:val="00DE759B"/>
    <w:rsid w:val="00DF5FE5"/>
    <w:rsid w:val="00DF6681"/>
    <w:rsid w:val="00E013F0"/>
    <w:rsid w:val="00E018E7"/>
    <w:rsid w:val="00E025E4"/>
    <w:rsid w:val="00E1376C"/>
    <w:rsid w:val="00E20BC4"/>
    <w:rsid w:val="00E21A0C"/>
    <w:rsid w:val="00E25AD7"/>
    <w:rsid w:val="00E356E6"/>
    <w:rsid w:val="00E35BF0"/>
    <w:rsid w:val="00E36F01"/>
    <w:rsid w:val="00E3712E"/>
    <w:rsid w:val="00E42FDA"/>
    <w:rsid w:val="00E43263"/>
    <w:rsid w:val="00E44926"/>
    <w:rsid w:val="00E44B72"/>
    <w:rsid w:val="00E45894"/>
    <w:rsid w:val="00E520FB"/>
    <w:rsid w:val="00E5467A"/>
    <w:rsid w:val="00E57E16"/>
    <w:rsid w:val="00E6702E"/>
    <w:rsid w:val="00E712CE"/>
    <w:rsid w:val="00E75755"/>
    <w:rsid w:val="00E83788"/>
    <w:rsid w:val="00E85699"/>
    <w:rsid w:val="00E872C9"/>
    <w:rsid w:val="00E921F4"/>
    <w:rsid w:val="00E92F7C"/>
    <w:rsid w:val="00E96BBD"/>
    <w:rsid w:val="00EA582C"/>
    <w:rsid w:val="00EB0F67"/>
    <w:rsid w:val="00EB44AB"/>
    <w:rsid w:val="00EB6C69"/>
    <w:rsid w:val="00EC081A"/>
    <w:rsid w:val="00EC2637"/>
    <w:rsid w:val="00ED11E5"/>
    <w:rsid w:val="00ED24F6"/>
    <w:rsid w:val="00ED5DB7"/>
    <w:rsid w:val="00ED5E2F"/>
    <w:rsid w:val="00ED6BFA"/>
    <w:rsid w:val="00ED7812"/>
    <w:rsid w:val="00EE243C"/>
    <w:rsid w:val="00EE5BDB"/>
    <w:rsid w:val="00EE6FF6"/>
    <w:rsid w:val="00EF5217"/>
    <w:rsid w:val="00EF54DA"/>
    <w:rsid w:val="00F00743"/>
    <w:rsid w:val="00F020AA"/>
    <w:rsid w:val="00F039EB"/>
    <w:rsid w:val="00F0616A"/>
    <w:rsid w:val="00F06907"/>
    <w:rsid w:val="00F11C12"/>
    <w:rsid w:val="00F14E1F"/>
    <w:rsid w:val="00F209EA"/>
    <w:rsid w:val="00F217E4"/>
    <w:rsid w:val="00F254C7"/>
    <w:rsid w:val="00F25950"/>
    <w:rsid w:val="00F306DC"/>
    <w:rsid w:val="00F33D81"/>
    <w:rsid w:val="00F3730F"/>
    <w:rsid w:val="00F4064F"/>
    <w:rsid w:val="00F43428"/>
    <w:rsid w:val="00F43E72"/>
    <w:rsid w:val="00F51D19"/>
    <w:rsid w:val="00F52412"/>
    <w:rsid w:val="00F53B98"/>
    <w:rsid w:val="00F67522"/>
    <w:rsid w:val="00F75FA7"/>
    <w:rsid w:val="00F82B8A"/>
    <w:rsid w:val="00F903BB"/>
    <w:rsid w:val="00F9301D"/>
    <w:rsid w:val="00F95122"/>
    <w:rsid w:val="00F95B57"/>
    <w:rsid w:val="00F977A2"/>
    <w:rsid w:val="00F97ABB"/>
    <w:rsid w:val="00FA0FCA"/>
    <w:rsid w:val="00FA355D"/>
    <w:rsid w:val="00FA619D"/>
    <w:rsid w:val="00FB29EC"/>
    <w:rsid w:val="00FB4FF1"/>
    <w:rsid w:val="00FC4571"/>
    <w:rsid w:val="00FC4E8F"/>
    <w:rsid w:val="00FC55D4"/>
    <w:rsid w:val="00FC695E"/>
    <w:rsid w:val="00FD1500"/>
    <w:rsid w:val="00FD1FF5"/>
    <w:rsid w:val="00FD2783"/>
    <w:rsid w:val="00FD5005"/>
    <w:rsid w:val="00FE43D3"/>
    <w:rsid w:val="00FE77F4"/>
    <w:rsid w:val="00FE7D60"/>
    <w:rsid w:val="00FF77BD"/>
    <w:rsid w:val="017E4885"/>
    <w:rsid w:val="04F7C0A5"/>
    <w:rsid w:val="0BB30A20"/>
    <w:rsid w:val="2AEC30D1"/>
    <w:rsid w:val="2C278B7C"/>
    <w:rsid w:val="338E154D"/>
    <w:rsid w:val="3D5349F4"/>
    <w:rsid w:val="44B0BEC5"/>
    <w:rsid w:val="4730AAD9"/>
    <w:rsid w:val="49569AEE"/>
    <w:rsid w:val="5DE44DAC"/>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815AE"/>
  <w15:chartTrackingRefBased/>
  <w15:docId w15:val="{994CBBCD-5487-4352-9F12-E9174B75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B1E"/>
    <w:pPr>
      <w:spacing w:after="0" w:line="270" w:lineRule="exact"/>
    </w:pPr>
    <w:rPr>
      <w:rFonts w:ascii="FlandersArtSans-Regular" w:eastAsia="Times" w:hAnsi="FlandersArtSans-Regular" w:cs="Times New Roman"/>
      <w:szCs w:val="20"/>
      <w:lang w:eastAsia="nl-BE"/>
    </w:rPr>
  </w:style>
  <w:style w:type="paragraph" w:styleId="Heading1">
    <w:name w:val="heading 1"/>
    <w:basedOn w:val="Normal"/>
    <w:next w:val="Normal"/>
    <w:link w:val="Heading1Char"/>
    <w:uiPriority w:val="9"/>
    <w:qFormat/>
    <w:rsid w:val="00B50B1E"/>
    <w:pPr>
      <w:keepNext/>
      <w:keepLines/>
      <w:numPr>
        <w:numId w:val="1"/>
      </w:numPr>
      <w:spacing w:before="480"/>
      <w:contextualSpacing/>
      <w:outlineLvl w:val="0"/>
    </w:pPr>
    <w:rPr>
      <w:rFonts w:ascii="FlandersArtSans-Bold" w:eastAsiaTheme="majorEastAsia" w:hAnsi="FlandersArtSans-Bold" w:cstheme="majorBidi"/>
      <w:bCs/>
      <w:caps/>
      <w:color w:val="3C3D3C"/>
      <w:sz w:val="36"/>
      <w:szCs w:val="28"/>
      <w:lang w:eastAsia="en-US"/>
    </w:rPr>
  </w:style>
  <w:style w:type="paragraph" w:styleId="Heading2">
    <w:name w:val="heading 2"/>
    <w:basedOn w:val="Normal"/>
    <w:next w:val="Normal"/>
    <w:link w:val="Heading2Char"/>
    <w:uiPriority w:val="9"/>
    <w:unhideWhenUsed/>
    <w:qFormat/>
    <w:rsid w:val="00B50B1E"/>
    <w:pPr>
      <w:keepNext/>
      <w:keepLines/>
      <w:numPr>
        <w:ilvl w:val="1"/>
        <w:numId w:val="1"/>
      </w:numPr>
      <w:spacing w:before="200"/>
      <w:contextualSpacing/>
      <w:outlineLvl w:val="1"/>
    </w:pPr>
    <w:rPr>
      <w:rFonts w:eastAsiaTheme="majorEastAsia" w:cstheme="majorBidi"/>
      <w:bCs/>
      <w:color w:val="000000" w:themeColor="text1"/>
      <w:sz w:val="32"/>
      <w:szCs w:val="26"/>
      <w:u w:val="dotted"/>
      <w:lang w:eastAsia="en-US"/>
    </w:rPr>
  </w:style>
  <w:style w:type="paragraph" w:styleId="Heading3">
    <w:name w:val="heading 3"/>
    <w:basedOn w:val="Normal"/>
    <w:next w:val="Normal"/>
    <w:link w:val="Heading3Char"/>
    <w:uiPriority w:val="9"/>
    <w:unhideWhenUsed/>
    <w:qFormat/>
    <w:rsid w:val="00B50B1E"/>
    <w:pPr>
      <w:keepNext/>
      <w:keepLines/>
      <w:numPr>
        <w:ilvl w:val="2"/>
        <w:numId w:val="1"/>
      </w:numPr>
      <w:spacing w:before="200"/>
      <w:contextualSpacing/>
      <w:outlineLvl w:val="2"/>
    </w:pPr>
    <w:rPr>
      <w:rFonts w:ascii="FlandersArtSerif-Bold" w:eastAsiaTheme="majorEastAsia" w:hAnsi="FlandersArtSerif-Bold" w:cstheme="majorBidi"/>
      <w:bCs/>
      <w:color w:val="9B9DA0"/>
      <w:sz w:val="24"/>
      <w:lang w:eastAsia="en-US"/>
    </w:rPr>
  </w:style>
  <w:style w:type="paragraph" w:styleId="Heading4">
    <w:name w:val="heading 4"/>
    <w:basedOn w:val="Normal"/>
    <w:next w:val="Normal"/>
    <w:link w:val="Heading4Char"/>
    <w:uiPriority w:val="9"/>
    <w:unhideWhenUsed/>
    <w:qFormat/>
    <w:rsid w:val="00B50B1E"/>
    <w:pPr>
      <w:keepNext/>
      <w:keepLines/>
      <w:numPr>
        <w:ilvl w:val="3"/>
        <w:numId w:val="1"/>
      </w:numPr>
      <w:spacing w:before="200"/>
      <w:contextualSpacing/>
      <w:outlineLvl w:val="3"/>
    </w:pPr>
    <w:rPr>
      <w:rFonts w:ascii="FlandersArtSerif-Bold" w:eastAsiaTheme="majorEastAsia" w:hAnsi="FlandersArtSerif-Bold" w:cstheme="majorBidi"/>
      <w:bCs/>
      <w:iCs/>
      <w:color w:val="000000" w:themeColor="text1"/>
      <w:u w:val="single"/>
      <w:lang w:eastAsia="en-US"/>
    </w:rPr>
  </w:style>
  <w:style w:type="paragraph" w:styleId="Heading5">
    <w:name w:val="heading 5"/>
    <w:basedOn w:val="Normal"/>
    <w:next w:val="Normal"/>
    <w:link w:val="Heading5Char"/>
    <w:uiPriority w:val="9"/>
    <w:unhideWhenUsed/>
    <w:qFormat/>
    <w:rsid w:val="00B50B1E"/>
    <w:pPr>
      <w:keepNext/>
      <w:keepLines/>
      <w:numPr>
        <w:ilvl w:val="4"/>
        <w:numId w:val="1"/>
      </w:numPr>
      <w:spacing w:before="200"/>
      <w:contextualSpacing/>
      <w:outlineLvl w:val="4"/>
    </w:pPr>
    <w:rPr>
      <w:rFonts w:eastAsiaTheme="majorEastAsia" w:cstheme="majorBidi"/>
      <w:color w:val="171717" w:themeColor="background2" w:themeShade="1A"/>
      <w:lang w:eastAsia="en-US"/>
    </w:rPr>
  </w:style>
  <w:style w:type="paragraph" w:styleId="Heading6">
    <w:name w:val="heading 6"/>
    <w:basedOn w:val="Normal"/>
    <w:next w:val="Normal"/>
    <w:link w:val="Heading6Char"/>
    <w:uiPriority w:val="9"/>
    <w:unhideWhenUsed/>
    <w:qFormat/>
    <w:rsid w:val="00B50B1E"/>
    <w:pPr>
      <w:keepNext/>
      <w:keepLines/>
      <w:numPr>
        <w:ilvl w:val="5"/>
        <w:numId w:val="1"/>
      </w:numPr>
      <w:spacing w:before="200"/>
      <w:contextualSpacing/>
      <w:outlineLvl w:val="5"/>
    </w:pPr>
    <w:rPr>
      <w:rFonts w:ascii="FlandersArtSerif-Regular" w:eastAsiaTheme="majorEastAsia" w:hAnsi="FlandersArtSerif-Regular" w:cstheme="majorBidi"/>
      <w:iCs/>
      <w:color w:val="171717" w:themeColor="background2" w:themeShade="1A"/>
      <w:lang w:eastAsia="en-US"/>
    </w:rPr>
  </w:style>
  <w:style w:type="paragraph" w:styleId="Heading7">
    <w:name w:val="heading 7"/>
    <w:basedOn w:val="Normal"/>
    <w:next w:val="Normal"/>
    <w:link w:val="Heading7Char"/>
    <w:uiPriority w:val="9"/>
    <w:unhideWhenUsed/>
    <w:qFormat/>
    <w:rsid w:val="00B50B1E"/>
    <w:pPr>
      <w:keepNext/>
      <w:keepLines/>
      <w:numPr>
        <w:ilvl w:val="6"/>
        <w:numId w:val="1"/>
      </w:numPr>
      <w:spacing w:before="200"/>
      <w:contextualSpacing/>
      <w:outlineLvl w:val="6"/>
    </w:pPr>
    <w:rPr>
      <w:rFonts w:ascii="FlandersArtSerif-Medium" w:eastAsiaTheme="majorEastAsia" w:hAnsi="FlandersArtSerif-Medium" w:cstheme="majorBidi"/>
      <w:iCs/>
      <w:color w:val="9B9DA0"/>
      <w:lang w:eastAsia="en-US"/>
    </w:rPr>
  </w:style>
  <w:style w:type="paragraph" w:styleId="Heading8">
    <w:name w:val="heading 8"/>
    <w:basedOn w:val="Normal"/>
    <w:next w:val="Normal"/>
    <w:link w:val="Heading8Char"/>
    <w:uiPriority w:val="9"/>
    <w:unhideWhenUsed/>
    <w:qFormat/>
    <w:rsid w:val="00B50B1E"/>
    <w:pPr>
      <w:keepNext/>
      <w:keepLines/>
      <w:numPr>
        <w:ilvl w:val="7"/>
        <w:numId w:val="1"/>
      </w:numPr>
      <w:spacing w:before="200"/>
      <w:contextualSpacing/>
      <w:outlineLvl w:val="7"/>
    </w:pPr>
    <w:rPr>
      <w:rFonts w:asciiTheme="majorHAnsi" w:eastAsiaTheme="majorEastAsia" w:hAnsiTheme="majorHAnsi" w:cstheme="majorBidi"/>
      <w:color w:val="404040" w:themeColor="text1" w:themeTint="BF"/>
      <w:sz w:val="20"/>
      <w:lang w:eastAsia="en-US"/>
    </w:rPr>
  </w:style>
  <w:style w:type="paragraph" w:styleId="Heading9">
    <w:name w:val="heading 9"/>
    <w:basedOn w:val="Normal"/>
    <w:next w:val="Normal"/>
    <w:link w:val="Heading9Char"/>
    <w:uiPriority w:val="9"/>
    <w:unhideWhenUsed/>
    <w:qFormat/>
    <w:rsid w:val="00B50B1E"/>
    <w:pPr>
      <w:keepNext/>
      <w:keepLines/>
      <w:numPr>
        <w:ilvl w:val="8"/>
        <w:numId w:val="1"/>
      </w:numPr>
      <w:spacing w:before="200"/>
      <w:contextualSpacing/>
      <w:outlineLvl w:val="8"/>
    </w:pPr>
    <w:rPr>
      <w:rFonts w:asciiTheme="majorHAnsi" w:eastAsiaTheme="majorEastAsia" w:hAnsiTheme="majorHAnsi" w:cstheme="majorBidi"/>
      <w:i/>
      <w:iCs/>
      <w:color w:val="404040" w:themeColor="text1" w:themeTint="BF"/>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B1E"/>
    <w:rPr>
      <w:rFonts w:ascii="FlandersArtSans-Bold" w:eastAsiaTheme="majorEastAsia" w:hAnsi="FlandersArtSans-Bold" w:cstheme="majorBidi"/>
      <w:bCs/>
      <w:caps/>
      <w:color w:val="3C3D3C"/>
      <w:sz w:val="36"/>
      <w:szCs w:val="28"/>
    </w:rPr>
  </w:style>
  <w:style w:type="character" w:customStyle="1" w:styleId="Heading2Char">
    <w:name w:val="Heading 2 Char"/>
    <w:basedOn w:val="DefaultParagraphFont"/>
    <w:link w:val="Heading2"/>
    <w:uiPriority w:val="9"/>
    <w:rsid w:val="00B50B1E"/>
    <w:rPr>
      <w:rFonts w:ascii="FlandersArtSans-Regular" w:eastAsiaTheme="majorEastAsia" w:hAnsi="FlandersArtSans-Regular" w:cstheme="majorBidi"/>
      <w:bCs/>
      <w:color w:val="000000" w:themeColor="text1"/>
      <w:sz w:val="32"/>
      <w:szCs w:val="26"/>
      <w:u w:val="dotted"/>
    </w:rPr>
  </w:style>
  <w:style w:type="character" w:customStyle="1" w:styleId="Heading3Char">
    <w:name w:val="Heading 3 Char"/>
    <w:basedOn w:val="DefaultParagraphFont"/>
    <w:link w:val="Heading3"/>
    <w:uiPriority w:val="9"/>
    <w:rsid w:val="00B50B1E"/>
    <w:rPr>
      <w:rFonts w:ascii="FlandersArtSerif-Bold" w:eastAsiaTheme="majorEastAsia" w:hAnsi="FlandersArtSerif-Bold" w:cstheme="majorBidi"/>
      <w:bCs/>
      <w:color w:val="9B9DA0"/>
      <w:sz w:val="24"/>
      <w:szCs w:val="20"/>
    </w:rPr>
  </w:style>
  <w:style w:type="character" w:customStyle="1" w:styleId="Heading4Char">
    <w:name w:val="Heading 4 Char"/>
    <w:basedOn w:val="DefaultParagraphFont"/>
    <w:link w:val="Heading4"/>
    <w:uiPriority w:val="9"/>
    <w:rsid w:val="00B50B1E"/>
    <w:rPr>
      <w:rFonts w:ascii="FlandersArtSerif-Bold" w:eastAsiaTheme="majorEastAsia" w:hAnsi="FlandersArtSerif-Bold" w:cstheme="majorBidi"/>
      <w:bCs/>
      <w:iCs/>
      <w:color w:val="000000" w:themeColor="text1"/>
      <w:szCs w:val="20"/>
      <w:u w:val="single"/>
    </w:rPr>
  </w:style>
  <w:style w:type="character" w:customStyle="1" w:styleId="Heading5Char">
    <w:name w:val="Heading 5 Char"/>
    <w:basedOn w:val="DefaultParagraphFont"/>
    <w:link w:val="Heading5"/>
    <w:uiPriority w:val="9"/>
    <w:rsid w:val="00B50B1E"/>
    <w:rPr>
      <w:rFonts w:ascii="FlandersArtSans-Regular" w:eastAsiaTheme="majorEastAsia" w:hAnsi="FlandersArtSans-Regular" w:cstheme="majorBidi"/>
      <w:color w:val="171717" w:themeColor="background2" w:themeShade="1A"/>
      <w:szCs w:val="20"/>
    </w:rPr>
  </w:style>
  <w:style w:type="character" w:customStyle="1" w:styleId="Heading6Char">
    <w:name w:val="Heading 6 Char"/>
    <w:basedOn w:val="DefaultParagraphFont"/>
    <w:link w:val="Heading6"/>
    <w:uiPriority w:val="9"/>
    <w:rsid w:val="00B50B1E"/>
    <w:rPr>
      <w:rFonts w:ascii="FlandersArtSerif-Regular" w:eastAsiaTheme="majorEastAsia" w:hAnsi="FlandersArtSerif-Regular" w:cstheme="majorBidi"/>
      <w:iCs/>
      <w:color w:val="171717" w:themeColor="background2" w:themeShade="1A"/>
      <w:szCs w:val="20"/>
    </w:rPr>
  </w:style>
  <w:style w:type="character" w:customStyle="1" w:styleId="Heading7Char">
    <w:name w:val="Heading 7 Char"/>
    <w:basedOn w:val="DefaultParagraphFont"/>
    <w:link w:val="Heading7"/>
    <w:uiPriority w:val="9"/>
    <w:rsid w:val="00B50B1E"/>
    <w:rPr>
      <w:rFonts w:ascii="FlandersArtSerif-Medium" w:eastAsiaTheme="majorEastAsia" w:hAnsi="FlandersArtSerif-Medium" w:cstheme="majorBidi"/>
      <w:iCs/>
      <w:color w:val="9B9DA0"/>
      <w:szCs w:val="20"/>
    </w:rPr>
  </w:style>
  <w:style w:type="character" w:customStyle="1" w:styleId="Heading8Char">
    <w:name w:val="Heading 8 Char"/>
    <w:basedOn w:val="DefaultParagraphFont"/>
    <w:link w:val="Heading8"/>
    <w:uiPriority w:val="9"/>
    <w:rsid w:val="00B50B1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B50B1E"/>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B50B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B1E"/>
    <w:rPr>
      <w:rFonts w:ascii="Segoe UI" w:eastAsia="Times" w:hAnsi="Segoe UI" w:cs="Segoe UI"/>
      <w:sz w:val="18"/>
      <w:szCs w:val="18"/>
      <w:lang w:val="fr-FR" w:eastAsia="nl-BE"/>
    </w:rPr>
  </w:style>
  <w:style w:type="paragraph" w:styleId="Header">
    <w:name w:val="header"/>
    <w:basedOn w:val="Normal"/>
    <w:link w:val="HeaderChar"/>
    <w:unhideWhenUsed/>
    <w:rsid w:val="00B50B1E"/>
    <w:pPr>
      <w:tabs>
        <w:tab w:val="center" w:pos="4536"/>
        <w:tab w:val="right" w:pos="9072"/>
      </w:tabs>
      <w:spacing w:line="240" w:lineRule="auto"/>
    </w:pPr>
  </w:style>
  <w:style w:type="character" w:customStyle="1" w:styleId="HeaderChar">
    <w:name w:val="Header Char"/>
    <w:basedOn w:val="DefaultParagraphFont"/>
    <w:link w:val="Header"/>
    <w:rsid w:val="00B50B1E"/>
    <w:rPr>
      <w:rFonts w:ascii="FlandersArtSans-Regular" w:eastAsia="Times" w:hAnsi="FlandersArtSans-Regular" w:cs="Times New Roman"/>
      <w:szCs w:val="20"/>
      <w:lang w:val="fr-FR" w:eastAsia="nl-BE"/>
    </w:rPr>
  </w:style>
  <w:style w:type="paragraph" w:styleId="Footer">
    <w:name w:val="footer"/>
    <w:basedOn w:val="Normal"/>
    <w:link w:val="FooterChar"/>
    <w:uiPriority w:val="99"/>
    <w:unhideWhenUsed/>
    <w:rsid w:val="00B50B1E"/>
    <w:pPr>
      <w:tabs>
        <w:tab w:val="center" w:pos="4536"/>
        <w:tab w:val="right" w:pos="9072"/>
      </w:tabs>
      <w:spacing w:line="240" w:lineRule="auto"/>
    </w:pPr>
  </w:style>
  <w:style w:type="character" w:customStyle="1" w:styleId="FooterChar">
    <w:name w:val="Footer Char"/>
    <w:basedOn w:val="DefaultParagraphFont"/>
    <w:link w:val="Footer"/>
    <w:uiPriority w:val="99"/>
    <w:rsid w:val="00B50B1E"/>
    <w:rPr>
      <w:rFonts w:ascii="FlandersArtSans-Regular" w:eastAsia="Times" w:hAnsi="FlandersArtSans-Regular" w:cs="Times New Roman"/>
      <w:szCs w:val="20"/>
      <w:lang w:val="fr-FR" w:eastAsia="nl-BE"/>
    </w:rPr>
  </w:style>
  <w:style w:type="character" w:styleId="CommentReference">
    <w:name w:val="annotation reference"/>
    <w:basedOn w:val="DefaultParagraphFont"/>
    <w:uiPriority w:val="99"/>
    <w:semiHidden/>
    <w:unhideWhenUsed/>
    <w:rsid w:val="00170FAA"/>
    <w:rPr>
      <w:sz w:val="16"/>
      <w:szCs w:val="16"/>
    </w:rPr>
  </w:style>
  <w:style w:type="paragraph" w:styleId="CommentText">
    <w:name w:val="annotation text"/>
    <w:basedOn w:val="Normal"/>
    <w:link w:val="CommentTextChar"/>
    <w:uiPriority w:val="99"/>
    <w:unhideWhenUsed/>
    <w:rsid w:val="00170FAA"/>
    <w:pPr>
      <w:spacing w:line="240" w:lineRule="auto"/>
    </w:pPr>
    <w:rPr>
      <w:sz w:val="20"/>
    </w:rPr>
  </w:style>
  <w:style w:type="character" w:customStyle="1" w:styleId="CommentTextChar">
    <w:name w:val="Comment Text Char"/>
    <w:basedOn w:val="DefaultParagraphFont"/>
    <w:link w:val="CommentText"/>
    <w:uiPriority w:val="99"/>
    <w:rsid w:val="00170FAA"/>
    <w:rPr>
      <w:rFonts w:ascii="FlandersArtSans-Regular" w:eastAsia="Times" w:hAnsi="FlandersArtSans-Regular" w:cs="Times New Roman"/>
      <w:sz w:val="20"/>
      <w:szCs w:val="20"/>
      <w:lang w:eastAsia="nl-BE"/>
    </w:rPr>
  </w:style>
  <w:style w:type="paragraph" w:styleId="CommentSubject">
    <w:name w:val="annotation subject"/>
    <w:basedOn w:val="CommentText"/>
    <w:next w:val="CommentText"/>
    <w:link w:val="CommentSubjectChar"/>
    <w:uiPriority w:val="99"/>
    <w:semiHidden/>
    <w:unhideWhenUsed/>
    <w:rsid w:val="00170FAA"/>
    <w:rPr>
      <w:b/>
      <w:bCs/>
    </w:rPr>
  </w:style>
  <w:style w:type="character" w:customStyle="1" w:styleId="CommentSubjectChar">
    <w:name w:val="Comment Subject Char"/>
    <w:basedOn w:val="CommentTextChar"/>
    <w:link w:val="CommentSubject"/>
    <w:uiPriority w:val="99"/>
    <w:semiHidden/>
    <w:rsid w:val="00170FAA"/>
    <w:rPr>
      <w:rFonts w:ascii="FlandersArtSans-Regular" w:eastAsia="Times" w:hAnsi="FlandersArtSans-Regular" w:cs="Times New Roman"/>
      <w:b/>
      <w:bCs/>
      <w:sz w:val="20"/>
      <w:szCs w:val="20"/>
      <w:lang w:eastAsia="nl-BE"/>
    </w:rPr>
  </w:style>
  <w:style w:type="paragraph" w:styleId="ListParagraph">
    <w:name w:val="List Paragraph"/>
    <w:basedOn w:val="Normal"/>
    <w:uiPriority w:val="34"/>
    <w:qFormat/>
    <w:rsid w:val="00423DC6"/>
    <w:pPr>
      <w:ind w:left="720"/>
      <w:contextualSpacing/>
    </w:pPr>
  </w:style>
  <w:style w:type="character" w:styleId="Hyperlink">
    <w:name w:val="Hyperlink"/>
    <w:basedOn w:val="DefaultParagraphFont"/>
    <w:rsid w:val="00423DC6"/>
    <w:rPr>
      <w:color w:val="0000FF"/>
      <w:u w:val="single"/>
    </w:rPr>
  </w:style>
  <w:style w:type="character" w:styleId="FollowedHyperlink">
    <w:name w:val="FollowedHyperlink"/>
    <w:basedOn w:val="DefaultParagraphFont"/>
    <w:uiPriority w:val="99"/>
    <w:semiHidden/>
    <w:unhideWhenUsed/>
    <w:rsid w:val="00423DC6"/>
    <w:rPr>
      <w:color w:val="954F72" w:themeColor="followedHyperlink"/>
      <w:u w:val="single"/>
    </w:rPr>
  </w:style>
  <w:style w:type="character" w:styleId="UnresolvedMention">
    <w:name w:val="Unresolved Mention"/>
    <w:basedOn w:val="DefaultParagraphFont"/>
    <w:uiPriority w:val="99"/>
    <w:unhideWhenUsed/>
    <w:rsid w:val="005C34C8"/>
    <w:rPr>
      <w:color w:val="605E5C"/>
      <w:shd w:val="clear" w:color="auto" w:fill="E1DFDD"/>
    </w:rPr>
  </w:style>
  <w:style w:type="paragraph" w:styleId="Revision">
    <w:name w:val="Revision"/>
    <w:hidden/>
    <w:uiPriority w:val="99"/>
    <w:semiHidden/>
    <w:rsid w:val="00D923AB"/>
    <w:pPr>
      <w:spacing w:after="0" w:line="240" w:lineRule="auto"/>
    </w:pPr>
    <w:rPr>
      <w:rFonts w:ascii="FlandersArtSans-Regular" w:eastAsia="Times" w:hAnsi="FlandersArtSans-Regular" w:cs="Times New Roman"/>
      <w:szCs w:val="20"/>
      <w:lang w:eastAsia="nl-BE"/>
    </w:rPr>
  </w:style>
  <w:style w:type="character" w:styleId="Mention">
    <w:name w:val="Mention"/>
    <w:basedOn w:val="DefaultParagraphFont"/>
    <w:uiPriority w:val="99"/>
    <w:unhideWhenUsed/>
    <w:rsid w:val="008C404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20823">
      <w:bodyDiv w:val="1"/>
      <w:marLeft w:val="0"/>
      <w:marRight w:val="0"/>
      <w:marTop w:val="0"/>
      <w:marBottom w:val="0"/>
      <w:divBdr>
        <w:top w:val="none" w:sz="0" w:space="0" w:color="auto"/>
        <w:left w:val="none" w:sz="0" w:space="0" w:color="auto"/>
        <w:bottom w:val="none" w:sz="0" w:space="0" w:color="auto"/>
        <w:right w:val="none" w:sz="0" w:space="0" w:color="auto"/>
      </w:divBdr>
    </w:div>
    <w:div w:id="183174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216F35AF2CB9468CD9A6F9808E74AF" ma:contentTypeVersion="13" ma:contentTypeDescription="Een nieuw document maken." ma:contentTypeScope="" ma:versionID="ca164e848c4fad5da276762f41258f4d">
  <xsd:schema xmlns:xsd="http://www.w3.org/2001/XMLSchema" xmlns:xs="http://www.w3.org/2001/XMLSchema" xmlns:p="http://schemas.microsoft.com/office/2006/metadata/properties" xmlns:ns2="03d5240a-782c-4048-8313-d01b5d6ab2a6" xmlns:ns3="ceeae0c4-f3ff-4153-af2f-582bafa5e89e" targetNamespace="http://schemas.microsoft.com/office/2006/metadata/properties" ma:root="true" ma:fieldsID="65f0ac419ea59745c8cf4e78d3a84f2f" ns2:_="" ns3:_="">
    <xsd:import namespace="03d5240a-782c-4048-8313-d01b5d6ab2a6"/>
    <xsd:import namespace="ceeae0c4-f3ff-4153-af2f-582bafa5e8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d5240a-782c-4048-8313-d01b5d6ab2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eae0c4-f3ff-4153-af2f-582bafa5e89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19DD54-2686-4B25-BA18-00EA26AE4543}">
  <ds:schemaRefs>
    <ds:schemaRef ds:uri="http://schemas.openxmlformats.org/officeDocument/2006/bibliography"/>
  </ds:schemaRefs>
</ds:datastoreItem>
</file>

<file path=customXml/itemProps2.xml><?xml version="1.0" encoding="utf-8"?>
<ds:datastoreItem xmlns:ds="http://schemas.openxmlformats.org/officeDocument/2006/customXml" ds:itemID="{CDC0D4DB-8383-4D0E-A88A-6FF7B4FCF769}">
  <ds:schemaRefs>
    <ds:schemaRef ds:uri="http://schemas.microsoft.com/sharepoint/v3/contenttype/forms"/>
  </ds:schemaRefs>
</ds:datastoreItem>
</file>

<file path=customXml/itemProps3.xml><?xml version="1.0" encoding="utf-8"?>
<ds:datastoreItem xmlns:ds="http://schemas.openxmlformats.org/officeDocument/2006/customXml" ds:itemID="{491B8FEA-79F6-4552-B7DE-02C7CD454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d5240a-782c-4048-8313-d01b5d6ab2a6"/>
    <ds:schemaRef ds:uri="ceeae0c4-f3ff-4153-af2f-582bafa5e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081DE2-23A0-48E0-851B-E5D3A54CA0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2801</Words>
  <Characters>15969</Characters>
  <Application>Microsoft Office Word</Application>
  <DocSecurity>0</DocSecurity>
  <Lines>133</Lines>
  <Paragraphs>37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Wetgevingstechnisch advies (Steketee Björn)</dc:creator>
  <cp:keywords/>
  <dc:description/>
  <cp:lastModifiedBy>Dimitris Dimitriadis</cp:lastModifiedBy>
  <cp:revision>4</cp:revision>
  <cp:lastPrinted>2020-03-08T02:41:00Z</cp:lastPrinted>
  <dcterms:created xsi:type="dcterms:W3CDTF">2021-12-20T15:40:00Z</dcterms:created>
  <dcterms:modified xsi:type="dcterms:W3CDTF">2021-12-21T12:54:00Z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0x0101002E216F35AF2CB9468CD9A6F9808E74AF</vt:lpwstr>
  </property>
</Properties>
</file>