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89E71" w14:textId="77777777" w:rsidR="001423CC" w:rsidRDefault="0054044C">
      <w:pPr>
        <w:spacing w:line="240" w:lineRule="auto"/>
        <w:rPr>
          <w:rFonts w:ascii="Noto Sans" w:eastAsia="LegacySanITCBoo" w:hAnsi="Noto Sans" w:cs="Noto Sans"/>
          <w:b/>
          <w:color w:val="000000"/>
        </w:rPr>
      </w:pPr>
      <w:r>
        <w:rPr>
          <w:rFonts w:ascii="Noto Sans" w:hAnsi="Noto Sans"/>
          <w:b/>
          <w:color w:val="000000"/>
        </w:rPr>
        <w:t>PROJEKT USTAWY O ZMIANIE USTAWY NR 8/2014 Z DNIA 1 SIERPNIA O GRACH I GRACH HAZARDOWYCH NA BALEARACH</w:t>
      </w:r>
    </w:p>
    <w:p w14:paraId="59331A35" w14:textId="77777777" w:rsidR="001423CC" w:rsidRDefault="001423CC">
      <w:pPr>
        <w:spacing w:line="240" w:lineRule="auto"/>
        <w:rPr>
          <w:rFonts w:ascii="Noto Sans" w:eastAsia="LegacySanITCBoo" w:hAnsi="Noto Sans" w:cs="Noto Sans"/>
          <w:b/>
          <w:color w:val="000000"/>
          <w:lang w:val="es-ES"/>
        </w:rPr>
      </w:pPr>
    </w:p>
    <w:p w14:paraId="18815632" w14:textId="77777777" w:rsidR="001423CC" w:rsidRDefault="0054044C">
      <w:pPr>
        <w:spacing w:line="240" w:lineRule="auto"/>
        <w:rPr>
          <w:rFonts w:ascii="Noto Sans" w:eastAsia="LegacySanITCBoo" w:hAnsi="Noto Sans" w:cs="Noto Sans"/>
          <w:b/>
          <w:color w:val="000000"/>
        </w:rPr>
      </w:pPr>
      <w:r>
        <w:rPr>
          <w:rFonts w:ascii="Noto Sans" w:hAnsi="Noto Sans"/>
          <w:b/>
          <w:color w:val="000000"/>
        </w:rPr>
        <w:t>SPIS TREŚCI</w:t>
      </w:r>
    </w:p>
    <w:p w14:paraId="34D48811" w14:textId="77777777" w:rsidR="001423CC" w:rsidRDefault="0054044C">
      <w:pPr>
        <w:spacing w:line="240" w:lineRule="auto"/>
        <w:rPr>
          <w:rFonts w:ascii="Noto Sans" w:eastAsia="LegacySanITCBoo" w:hAnsi="Noto Sans" w:cs="Noto Sans"/>
          <w:b/>
          <w:color w:val="000000"/>
        </w:rPr>
      </w:pPr>
      <w:r>
        <w:rPr>
          <w:rFonts w:ascii="Noto Sans" w:hAnsi="Noto Sans"/>
          <w:b/>
          <w:color w:val="000000"/>
        </w:rPr>
        <w:t>UZASADNIENIE</w:t>
      </w:r>
    </w:p>
    <w:p w14:paraId="5874CE17" w14:textId="77777777" w:rsidR="001423CC" w:rsidRDefault="0054044C">
      <w:pPr>
        <w:spacing w:line="240" w:lineRule="auto"/>
        <w:rPr>
          <w:rFonts w:ascii="Noto Sans" w:eastAsia="LegacySanITCBoo" w:hAnsi="Noto Sans" w:cs="Noto Sans"/>
          <w:b/>
          <w:color w:val="000000"/>
        </w:rPr>
      </w:pPr>
      <w:r>
        <w:rPr>
          <w:rFonts w:ascii="Noto Sans" w:hAnsi="Noto Sans"/>
          <w:b/>
          <w:color w:val="000000"/>
        </w:rPr>
        <w:t>POJEDYNCZY ARTYKUŁ. Zmiana ustawy nr 8/2014 z dnia 1 sierpnia o grach i grach hazardowych na Balearach</w:t>
      </w:r>
    </w:p>
    <w:p w14:paraId="14132100" w14:textId="77777777" w:rsidR="001423CC" w:rsidRDefault="0054044C">
      <w:pPr>
        <w:spacing w:line="240" w:lineRule="auto"/>
        <w:rPr>
          <w:rFonts w:ascii="Noto Sans" w:eastAsia="LegacySanITCBoo" w:hAnsi="Noto Sans" w:cs="Noto Sans"/>
          <w:b/>
          <w:color w:val="000000"/>
        </w:rPr>
      </w:pPr>
      <w:r>
        <w:rPr>
          <w:rFonts w:ascii="Noto Sans" w:hAnsi="Noto Sans"/>
          <w:b/>
          <w:color w:val="000000"/>
        </w:rPr>
        <w:t>POJEDYNCZY DODATKOWY PRZEPIS. Zmiana rozporządzenia w sprawie gier w kasynach Wspólnoty Autonomicznej Baleary, zatwierdzona dekretem 41/2017 z dnia 25 sierpnia</w:t>
      </w:r>
    </w:p>
    <w:p w14:paraId="3CE5ABE8" w14:textId="77777777" w:rsidR="001423CC" w:rsidRDefault="0054044C">
      <w:pPr>
        <w:spacing w:line="240" w:lineRule="auto"/>
        <w:rPr>
          <w:rFonts w:ascii="Noto Sans" w:eastAsia="LegacySanITCBoo" w:hAnsi="Noto Sans" w:cs="Noto Sans"/>
          <w:b/>
          <w:color w:val="000000"/>
        </w:rPr>
      </w:pPr>
      <w:r>
        <w:rPr>
          <w:rFonts w:ascii="Noto Sans" w:hAnsi="Noto Sans"/>
          <w:b/>
          <w:color w:val="000000"/>
        </w:rPr>
        <w:t>PIERWSZY PRZEPIS PRZEJŚCIOWY. Znaki i elementy pokrywające zewnętrzne przednie powierzchnie obiektów oferujących usługi hazardowe</w:t>
      </w:r>
    </w:p>
    <w:p w14:paraId="5200B1E1" w14:textId="77777777" w:rsidR="001423CC" w:rsidRDefault="0054044C">
      <w:pPr>
        <w:spacing w:line="240" w:lineRule="auto"/>
        <w:rPr>
          <w:rFonts w:ascii="Noto Sans" w:eastAsia="LegacySanITCBoo" w:hAnsi="Noto Sans" w:cs="Noto Sans"/>
          <w:b/>
          <w:color w:val="000000"/>
        </w:rPr>
      </w:pPr>
      <w:r>
        <w:rPr>
          <w:rFonts w:ascii="Noto Sans" w:hAnsi="Noto Sans"/>
          <w:b/>
          <w:color w:val="000000"/>
        </w:rPr>
        <w:t>DRUGI PRZEPIS PRZEJŚCIOWY. Dostosowanie komunikatów na ekranach automatów do gier typu B</w:t>
      </w:r>
    </w:p>
    <w:p w14:paraId="7FB4F354" w14:textId="77777777" w:rsidR="001423CC" w:rsidRDefault="0054044C">
      <w:pPr>
        <w:rPr>
          <w:rFonts w:ascii="Noto Sans" w:eastAsia="LegacySanITCBoo" w:hAnsi="Noto Sans" w:cs="Noto Sans"/>
          <w:b/>
          <w:color w:val="000000"/>
        </w:rPr>
      </w:pPr>
      <w:r>
        <w:rPr>
          <w:rFonts w:ascii="Noto Sans" w:hAnsi="Noto Sans"/>
          <w:b/>
          <w:color w:val="000000"/>
        </w:rPr>
        <w:t>POJEDYNCZY PRZEPIS KOŃCOWY. Wejście w życie</w:t>
      </w:r>
    </w:p>
    <w:p w14:paraId="5BE7E19D" w14:textId="77777777" w:rsidR="001423CC" w:rsidRDefault="001423CC">
      <w:pPr>
        <w:pageBreakBefore/>
        <w:rPr>
          <w:rFonts w:ascii="Noto Sans" w:eastAsia="LegacySanITCBoo" w:hAnsi="Noto Sans" w:cs="Noto Sans"/>
          <w:b/>
          <w:color w:val="000000"/>
          <w:lang w:val="es-ES"/>
        </w:rPr>
      </w:pPr>
    </w:p>
    <w:p w14:paraId="69C726DD" w14:textId="77777777" w:rsidR="001423CC" w:rsidRDefault="0054044C">
      <w:pPr>
        <w:rPr>
          <w:rFonts w:ascii="Noto Sans" w:eastAsia="LegacySanITCBoo" w:hAnsi="Noto Sans" w:cs="Noto Sans"/>
          <w:b/>
          <w:color w:val="000000"/>
        </w:rPr>
      </w:pPr>
      <w:r>
        <w:rPr>
          <w:rFonts w:ascii="Noto Sans" w:hAnsi="Noto Sans"/>
          <w:b/>
          <w:color w:val="000000"/>
        </w:rPr>
        <w:t>UZASADNIENIE</w:t>
      </w:r>
    </w:p>
    <w:p w14:paraId="182ADC88" w14:textId="77777777" w:rsidR="001423CC" w:rsidRDefault="001423CC">
      <w:pPr>
        <w:rPr>
          <w:rFonts w:ascii="Noto Sans" w:eastAsia="LegacySanITCBoo" w:hAnsi="Noto Sans" w:cs="Noto Sans"/>
          <w:b/>
          <w:color w:val="000000"/>
          <w:lang w:val="es-ES"/>
        </w:rPr>
      </w:pPr>
    </w:p>
    <w:p w14:paraId="3F5B04A1" w14:textId="77777777" w:rsidR="001423CC" w:rsidRDefault="0054044C">
      <w:pPr>
        <w:spacing w:line="240" w:lineRule="auto"/>
        <w:jc w:val="center"/>
        <w:rPr>
          <w:rFonts w:ascii="Noto Sans" w:eastAsia="LegacySanITCBoo" w:hAnsi="Noto Sans" w:cs="Noto Sans"/>
          <w:color w:val="000000"/>
        </w:rPr>
      </w:pPr>
      <w:r>
        <w:rPr>
          <w:rFonts w:ascii="Noto Sans" w:hAnsi="Noto Sans"/>
          <w:color w:val="000000"/>
        </w:rPr>
        <w:t>I</w:t>
      </w:r>
    </w:p>
    <w:p w14:paraId="21CD694F" w14:textId="77777777" w:rsidR="001423CC" w:rsidRDefault="0054044C">
      <w:pPr>
        <w:spacing w:line="240" w:lineRule="auto"/>
        <w:rPr>
          <w:rFonts w:ascii="Noto Sans" w:eastAsia="LegacySanITCBoo" w:hAnsi="Noto Sans" w:cs="Noto Sans"/>
          <w:color w:val="000000"/>
        </w:rPr>
      </w:pPr>
      <w:bookmarkStart w:id="0" w:name="_Hlk96691239"/>
      <w:r>
        <w:rPr>
          <w:rFonts w:ascii="Noto Sans" w:hAnsi="Noto Sans"/>
          <w:color w:val="000000"/>
        </w:rPr>
        <w:t>Artykuł 30.29 Statutu autonomii Balearów przyznaje naszej Wspólnocie Autonomicznej wyłączne kompetencje w odniesieniu do kasyn, gier i gier hazardowych, które nie wykraczają poza zakres terytorialny Balearów, z wyłączeniem wzajemnych zakładów sportowych i charytatywnych. Ponadto art. 30.12 przyznaje Wspólnocie Autonomicznej Baleary uprawnienia w zakresie promowania działalności sportowej i właściwego korzystania z wypoczynku. Art. 4 wspomnianej zasady stanowi, że Rada Zarządzająca jest uprawniona między innymi do zatwierdzania ogólnego planowania sektora, biorąc pod uwagę realia i społeczne skutki gier i gier hazardowych, ich skutki gospodarcze i podatkowe oraz potrzebę dywersyfikacji gier.</w:t>
      </w:r>
    </w:p>
    <w:p w14:paraId="604DC6DA" w14:textId="77777777" w:rsidR="001423CC" w:rsidRDefault="0054044C">
      <w:pPr>
        <w:spacing w:before="280" w:line="240" w:lineRule="auto"/>
        <w:rPr>
          <w:rFonts w:ascii="Noto Sans" w:eastAsia="LegacySanITCBoo" w:hAnsi="Noto Sans" w:cs="Noto Sans"/>
          <w:color w:val="000000"/>
        </w:rPr>
      </w:pPr>
      <w:r>
        <w:rPr>
          <w:rFonts w:ascii="Noto Sans" w:hAnsi="Noto Sans"/>
          <w:color w:val="000000"/>
        </w:rPr>
        <w:t>Dekret 11/2021 Prezydenta Balearów, który ustanawia uprawnienia i podstawową strukturę organizacyjną departamentów administracji Wspólnoty Autonomicznej Baleary, przyznaje Dyrekcji Generalnej ds. Handlu, Ministerstwu Transformacji Energetycznej, Sektorów Produkcyjnych i Pamięci Demokratycznej, kompetencje związane z kasynami, grami i grami hazardowymi.</w:t>
      </w:r>
      <w:bookmarkEnd w:id="0"/>
    </w:p>
    <w:p w14:paraId="22D27A28" w14:textId="77777777" w:rsidR="001423CC" w:rsidRDefault="0054044C">
      <w:pPr>
        <w:spacing w:before="280" w:line="240" w:lineRule="auto"/>
        <w:rPr>
          <w:rFonts w:ascii="Noto Sans" w:eastAsia="LegacySanITCBoo" w:hAnsi="Noto Sans" w:cs="Noto Sans"/>
          <w:color w:val="000000"/>
        </w:rPr>
      </w:pPr>
      <w:r>
        <w:rPr>
          <w:rFonts w:ascii="Noto Sans" w:hAnsi="Noto Sans"/>
          <w:color w:val="000000"/>
        </w:rPr>
        <w:t>W celu wdrożenia ustawy nr 8/2014 z dnia 1 sierpnia o grach i grach hazardowych na Balearach, której głównym celem jest ochrona grup znajdujących się w najtrudniejszej sytuacji oraz zapewnienie obywatelom maksymalnego bezpieczeństwa i ochrony prawnej, a także rozważenie potrzeby planowania lokalizacji salonów gier i specjalnych punktów bukmacherskich w odniesieniu do obiektów oświatowych, dekret 42/2017 z dnia 25 sierpnia zatwierdzający rozporządzenie w sprawie zakładów Wspólnoty Autonomicznej Balearów oraz dekret 42/2019, z dnia 24 maja przyjęto rozporządzenie zatwierdzające rozporządzenia w sprawie salonów gier we Wspólnocie Autonomicznej Balearów, które w odniesieniu do obu rodzajów obiektów zapewniały między innymi minimalną odległość od wstępu do obiektów edukacyjnych dla nieletnich, terenów wypoczynkowych dla dzieci i stałych ośrodków opieki nad nieletnimi. Jednocześnie ustawa 8/2014 z dnia 1 sierpnia o grach i grach hazardowych na Balearach zobowiązuje właścicieli obiektów do posiadania usługi kontroli i przyjmowania w celu ochrony grup znajdujących się w najtrudniejszej sytuacji, o których mowa powyżej.</w:t>
      </w:r>
    </w:p>
    <w:p w14:paraId="7FA505A7" w14:textId="77777777" w:rsidR="001423CC" w:rsidRDefault="0054044C">
      <w:pPr>
        <w:spacing w:before="280" w:line="240" w:lineRule="auto"/>
        <w:rPr>
          <w:rFonts w:ascii="Noto Sans" w:eastAsia="LegacySanITCBoo" w:hAnsi="Noto Sans" w:cs="Noto Sans"/>
          <w:color w:val="000000"/>
        </w:rPr>
      </w:pPr>
      <w:bookmarkStart w:id="1" w:name="_Hlk89427603"/>
      <w:bookmarkStart w:id="2" w:name="_Hlk96682288"/>
      <w:r>
        <w:rPr>
          <w:rFonts w:ascii="Noto Sans" w:hAnsi="Noto Sans"/>
          <w:color w:val="000000"/>
        </w:rPr>
        <w:t xml:space="preserve">Według raportu 2020 Online Gambler’s Report, przygotowanego przez Dyrekcję Generalną ds. Regulacji Gier przy Ministerstwie Spraw Konsumenckich, grupą </w:t>
      </w:r>
      <w:r>
        <w:rPr>
          <w:rFonts w:ascii="Noto Sans" w:hAnsi="Noto Sans"/>
          <w:color w:val="000000"/>
        </w:rPr>
        <w:lastRenderedPageBreak/>
        <w:t xml:space="preserve">wiekową z najbardziej aktywnymi graczami w dziedzinie online jest grupa w wieku od 18 do 35 lat, co oznacza, że dostęp do uniwersum gier następuje w okresie późnego dzieciństwa i dorastania. </w:t>
      </w:r>
      <w:bookmarkEnd w:id="1"/>
      <w:r>
        <w:rPr>
          <w:rFonts w:ascii="Noto Sans" w:hAnsi="Noto Sans"/>
          <w:color w:val="000000"/>
        </w:rPr>
        <w:t>Dlatego też, mając na uwadze dobro nieletnich, administracja publiczna musi stawiać na pierwszym miejscu ochronę młodszych osób, co podkreślono w preambule ustawy organicznej 8/2021, z dnia 4 czerwca, w sprawie kompleksowej ochrony dzieci i młodzieży przed przemocą: „Ochrona nieletnich jest obowiązkiem priorytetowym władz publicznych, uznanym w art. 39 hiszpańskiej konstytucji i w różnych traktatach międzynarodowych, wśród których wspomniana Konwencja o prawach dziecka, przyjęta przez Zgromadzenie Ogólne Narodów Zjednoczonych w dniu 20 listopada 1989 r. i ratyfikowana przez Hiszpanię w 1990 r.</w:t>
      </w:r>
      <w:bookmarkEnd w:id="2"/>
      <w:r>
        <w:rPr>
          <w:rFonts w:ascii="Noto Sans" w:hAnsi="Noto Sans"/>
          <w:color w:val="000000"/>
        </w:rPr>
        <w:t>”.</w:t>
      </w:r>
    </w:p>
    <w:p w14:paraId="78D6CF8D" w14:textId="77777777" w:rsidR="001423CC" w:rsidRDefault="001423CC">
      <w:pPr>
        <w:spacing w:before="280" w:line="240" w:lineRule="auto"/>
        <w:rPr>
          <w:rFonts w:ascii="Noto Sans" w:eastAsia="LegacySanITCBoo" w:hAnsi="Noto Sans" w:cs="Noto Sans"/>
          <w:color w:val="000000"/>
          <w:lang w:val="es-ES"/>
        </w:rPr>
      </w:pPr>
    </w:p>
    <w:p w14:paraId="63E54609" w14:textId="77777777" w:rsidR="001423CC" w:rsidRDefault="0054044C">
      <w:pPr>
        <w:spacing w:before="280" w:line="240" w:lineRule="auto"/>
        <w:jc w:val="center"/>
        <w:rPr>
          <w:rFonts w:ascii="Noto Sans" w:eastAsia="LegacySanITCBoo" w:hAnsi="Noto Sans" w:cs="Noto Sans"/>
          <w:color w:val="000000"/>
        </w:rPr>
      </w:pPr>
      <w:r>
        <w:rPr>
          <w:rFonts w:ascii="Noto Sans" w:hAnsi="Noto Sans"/>
          <w:color w:val="000000"/>
        </w:rPr>
        <w:t>II</w:t>
      </w:r>
    </w:p>
    <w:p w14:paraId="6DBCC42C" w14:textId="77777777" w:rsidR="001423CC" w:rsidRDefault="0054044C">
      <w:pPr>
        <w:spacing w:before="280" w:line="240" w:lineRule="auto"/>
      </w:pPr>
      <w:r>
        <w:rPr>
          <w:rFonts w:ascii="Noto Sans" w:hAnsi="Noto Sans"/>
          <w:color w:val="000000"/>
        </w:rPr>
        <w:t>Artykuł 5 ustawy 20/2013 z dnia 9 grudnia, o gwarancji jedności rynku, stanowi, że właściwe organy, które w ramach swoich kompetencji ustanawiają ograniczenia w dostępie do działalności gospodarczej lub jej wykonywaniu, zgodnie z przepisami art. 17 tej samej ustawy, uzasadniają swoją potrzebę ochroną nadrzędnego interesu publicznego spośród powodów objętych art. 3. ust. 11 ustawy 17/2009, z dnia 23 listopada, o swobodnym dostępie do usług i ich wykonywaniu, który definiuje „nadrzędny interes publiczny” jako powód określony i interpretowany przez orzecznictwo Trybunału Sprawiedliwości Wspólnot Europejskich, ograniczony m.in. do: porządku publicznego, bezpieczeństwa publicznego, zdrowia publicznego i zdrowia konsumentów oraz walki z oszustwami.</w:t>
      </w:r>
    </w:p>
    <w:p w14:paraId="7DBEC451" w14:textId="77777777" w:rsidR="001423CC" w:rsidRDefault="0054044C">
      <w:pPr>
        <w:spacing w:before="280" w:line="240" w:lineRule="auto"/>
        <w:rPr>
          <w:rFonts w:ascii="Noto Sans" w:eastAsia="LegacySanITCBoo" w:hAnsi="Noto Sans" w:cs="Noto Sans"/>
          <w:color w:val="000000"/>
        </w:rPr>
      </w:pPr>
      <w:bookmarkStart w:id="3" w:name="_Hlk89427641"/>
      <w:r>
        <w:rPr>
          <w:rFonts w:ascii="Noto Sans" w:hAnsi="Noto Sans"/>
          <w:color w:val="000000"/>
        </w:rPr>
        <w:t>Interwencje administracyjne w obszarze gier są częstsze niż w innych sektorach gospodarki, ponieważ opierają się na nadrzędnych względach interesu publicznego, takich jak porządek publiczny, zdrowie publiczne, bezpieczeństwo i ochrona praw hazardzistów. Powody te uzasadniają ustanowienie ograniczeń poprzez przyjęcie środków mających na celu racjonalizację podaży salonów gier na naszym terytorium poprzez ich planowanie.</w:t>
      </w:r>
      <w:bookmarkEnd w:id="3"/>
    </w:p>
    <w:p w14:paraId="1A7E4CD7" w14:textId="77777777" w:rsidR="001423CC" w:rsidRDefault="0054044C">
      <w:pPr>
        <w:spacing w:before="280" w:line="240" w:lineRule="auto"/>
        <w:rPr>
          <w:rFonts w:ascii="Noto Sans" w:eastAsia="LegacySanITCBoo" w:hAnsi="Noto Sans" w:cs="Noto Sans"/>
          <w:color w:val="000000"/>
        </w:rPr>
      </w:pPr>
      <w:bookmarkStart w:id="4" w:name="_Hlk96681923"/>
      <w:r>
        <w:rPr>
          <w:rFonts w:ascii="Noto Sans" w:hAnsi="Noto Sans"/>
          <w:color w:val="000000"/>
        </w:rPr>
        <w:t>Celem tego planowania jest uregulowanie udostępniania gier hazardowych zgodnie z polityką, która zapewnia bezpieczniejsze środowisko hazardowe i specjalną ochronę nieletnim i grupom szczególnie podatnym na ryzyko, nie zapominając o przestrzeganiu przez podmiot regulujący obowiązujących przepisów ogólnych i pewności prawa, aby zapobiec negatywnym skutkom zewnętrznym, do których może prowadzić działalność hazardowa, korygując dysfunkcje spowodowane niekontrolowanym rozwojem tego typu obiektów.</w:t>
      </w:r>
      <w:bookmarkEnd w:id="4"/>
    </w:p>
    <w:p w14:paraId="7A569FDB" w14:textId="77777777" w:rsidR="001423CC" w:rsidRDefault="0054044C">
      <w:pPr>
        <w:spacing w:before="280" w:line="240" w:lineRule="auto"/>
      </w:pPr>
      <w:bookmarkStart w:id="5" w:name="_Hlk96682362"/>
      <w:bookmarkStart w:id="6" w:name="_Hlk89427959"/>
      <w:r>
        <w:rPr>
          <w:rFonts w:ascii="Noto Sans" w:hAnsi="Noto Sans"/>
          <w:color w:val="000000"/>
        </w:rPr>
        <w:lastRenderedPageBreak/>
        <w:t>W ostatnich latach rząd Balearów dokładał znacznych starań, aby wzmocnić ochronę nieletnich w bezpiecznych i wysokiej jakości przestrzeniach wypoczynkowych. W dziedzinie gier hazardowych kierował się zasadami społeczno-sanitarnymi i rozważaniami, takimi jak zapobieganie uzależnieniom i wzmocnienie ochrony grup szczególnie podatnych na ryzyko, w szczególności w odpowiedzi na kryzys związany z COVID-19 i jego skutki społeczne i gospodarcze.</w:t>
      </w:r>
      <w:bookmarkEnd w:id="5"/>
      <w:bookmarkEnd w:id="6"/>
    </w:p>
    <w:p w14:paraId="683F86E6" w14:textId="77777777" w:rsidR="001423CC" w:rsidRDefault="0054044C">
      <w:pPr>
        <w:spacing w:before="280" w:line="240" w:lineRule="auto"/>
      </w:pPr>
      <w:r>
        <w:rPr>
          <w:rFonts w:ascii="Noto Sans" w:hAnsi="Noto Sans"/>
          <w:color w:val="000000"/>
        </w:rPr>
        <w:t xml:space="preserve">W 1992 roku Światowa Organizacja Zdrowia uznała hazard kompulsywny (uzależnienie od hazardu) za zaburzenie i uwzględniła go w swojej Międzynarodowej Klasyfikacji Chorób i Problemów Zdrowotnych. Kilka lat później w podręczniku </w:t>
      </w:r>
      <w:r>
        <w:rPr>
          <w:rFonts w:ascii="Noto Sans" w:hAnsi="Noto Sans"/>
          <w:i/>
          <w:color w:val="000000"/>
        </w:rPr>
        <w:t>Diagnostic and Statistical Manual of Mental (DSM),</w:t>
      </w:r>
      <w:r>
        <w:rPr>
          <w:rFonts w:ascii="Noto Sans" w:hAnsi="Noto Sans"/>
          <w:color w:val="000000"/>
        </w:rPr>
        <w:t xml:space="preserve"> opublikowanym przez Amerykańskie Towarzystwo Psychiatryczne i uznawanym na całym świecie za system klasyfikacji zaburzeń psychicznych zawierający opisy kategorii diagnostycznych, określono uzależnienie od hazardu jako prawdziwe uzależnienie bez substancji (w znaczeniu „substancji chemicznej”). Obecnie wiele badań klinicznych wskazuje, że jest to stan, który poważnie wpływa nie tylko na jednostkę, ale na całe jej otoczenie rodzinne, zawodowe i relacyjne z konsekwencjami ekonomicznymi i emocjonalnymi przewyższającymi możliwości osoby z objawami uzależnienia.</w:t>
      </w:r>
    </w:p>
    <w:p w14:paraId="68270696" w14:textId="77777777" w:rsidR="001423CC" w:rsidRDefault="0054044C">
      <w:pPr>
        <w:spacing w:before="280" w:line="240" w:lineRule="auto"/>
        <w:rPr>
          <w:rFonts w:ascii="Noto Sans" w:eastAsia="LegacySanITCBoo" w:hAnsi="Noto Sans" w:cs="Noto Sans"/>
          <w:color w:val="000000"/>
        </w:rPr>
      </w:pPr>
      <w:bookmarkStart w:id="7" w:name="_Hlk89427994"/>
      <w:bookmarkStart w:id="8" w:name="_Hlk97123127"/>
      <w:r>
        <w:rPr>
          <w:rFonts w:ascii="Noto Sans" w:hAnsi="Noto Sans"/>
          <w:color w:val="000000"/>
        </w:rPr>
        <w:t>Administracja Wspólnoty Autonomicznej Balearów uważa hazard z kompleksowej perspektywy społecznej odpowiedzialności za złożone zjawisko, w którym należy łączyć działania zapobiegawcze, podnoszenie świadomości, interwencję, kontrolę i naprawę negatywnych skutków, które mogą z niego wyniknąć.</w:t>
      </w:r>
      <w:bookmarkEnd w:id="7"/>
    </w:p>
    <w:p w14:paraId="3C348AF3" w14:textId="77777777" w:rsidR="001423CC" w:rsidRDefault="0054044C">
      <w:pPr>
        <w:spacing w:before="280" w:line="240" w:lineRule="auto"/>
        <w:rPr>
          <w:rFonts w:ascii="Noto Sans" w:eastAsia="LegacySanITCBoo" w:hAnsi="Noto Sans" w:cs="Noto Sans"/>
          <w:color w:val="000000"/>
        </w:rPr>
      </w:pPr>
      <w:r>
        <w:rPr>
          <w:rFonts w:ascii="Noto Sans" w:hAnsi="Noto Sans"/>
          <w:color w:val="000000"/>
        </w:rPr>
        <w:t>W celu niezwłocznego zareagowania na wspomniane wyżej względy interesu ogólnego, aktualne okoliczności oraz rosnący niepokój społeczny związany z możliwym uzależniającym działaniem tych zachowań, rząd skorzystał z mechanizmu ostrożnościowego polegającego na zawieszeniu wydawania nowych zezwoleń na otwieranie obiektów hazardowych (kasyn, salonów bingo, salonów gier, miejsc do urządzania zakładów bukmacherskich w salonach gier oraz specjalnych punktów bukmacherskich).</w:t>
      </w:r>
      <w:bookmarkEnd w:id="8"/>
    </w:p>
    <w:p w14:paraId="46C359AE" w14:textId="77777777" w:rsidR="001423CC" w:rsidRDefault="001423CC">
      <w:pPr>
        <w:spacing w:before="280" w:line="240" w:lineRule="auto"/>
        <w:rPr>
          <w:rFonts w:ascii="Noto Sans" w:eastAsia="LegacySanITCBoo" w:hAnsi="Noto Sans" w:cs="Noto Sans"/>
          <w:color w:val="000000"/>
          <w:lang w:val="es-ES"/>
        </w:rPr>
      </w:pPr>
    </w:p>
    <w:p w14:paraId="4F54340A" w14:textId="77777777" w:rsidR="001423CC" w:rsidRDefault="0054044C">
      <w:pPr>
        <w:spacing w:before="280" w:line="240" w:lineRule="auto"/>
        <w:jc w:val="center"/>
        <w:rPr>
          <w:rFonts w:ascii="Noto Sans" w:eastAsia="LegacySanITCBoo" w:hAnsi="Noto Sans" w:cs="Noto Sans"/>
          <w:color w:val="000000"/>
        </w:rPr>
      </w:pPr>
      <w:r>
        <w:rPr>
          <w:rFonts w:ascii="Noto Sans" w:hAnsi="Noto Sans"/>
          <w:color w:val="000000"/>
        </w:rPr>
        <w:t>III</w:t>
      </w:r>
    </w:p>
    <w:p w14:paraId="6C5D3693" w14:textId="77777777" w:rsidR="001423CC" w:rsidRDefault="0054044C">
      <w:pPr>
        <w:spacing w:before="280" w:line="240" w:lineRule="auto"/>
        <w:rPr>
          <w:rFonts w:ascii="Noto Sans" w:eastAsia="LegacySanITCBoo" w:hAnsi="Noto Sans" w:cs="Noto Sans"/>
          <w:color w:val="000000"/>
        </w:rPr>
      </w:pPr>
      <w:bookmarkStart w:id="9" w:name="_Hlk96682212"/>
      <w:r>
        <w:rPr>
          <w:rFonts w:ascii="Noto Sans" w:hAnsi="Noto Sans"/>
          <w:color w:val="000000"/>
        </w:rPr>
        <w:t xml:space="preserve">W ostatnich latach w aktywnej odpowiedzi na powstawanie na Balearach coraz większej liczby obiektów oferujących usługi hazardowe i zakłady bukmacherskie oraz opcji gier hazardowych w internecie różne sektory społeczeństwa obywatelskiego zmobilizowały się i wezwały regionalną i państwową administrację publiczną do wprowadzenia nowych ram regulacyjnych w celu ograniczenia tego mnożenia się, aby lepiej chronić nieletnich i szczególnie wrażliwe grupy ludności, </w:t>
      </w:r>
      <w:r>
        <w:rPr>
          <w:rFonts w:ascii="Noto Sans" w:hAnsi="Noto Sans"/>
          <w:color w:val="000000"/>
        </w:rPr>
        <w:lastRenderedPageBreak/>
        <w:t>takie jak osoby dotknięte problemami wynikającymi z nałogowego hazardu, które ponadto zgodziły się zarejestrować w ogólnym rejestrze osób wykluczonych z dostępu do gier hazardowych. W tym sensie niniejsza ustawa o zmianie ustawy o grach i grach hazardowych ma na celu uwzględnienie wszystkich tych względów społecznych i zdrowotnych oraz środków mających na celu uzupełnienie regulacji działalności hazardowej i złagodzenie jej negatywnych skutków zewnętrznych.</w:t>
      </w:r>
      <w:bookmarkEnd w:id="9"/>
    </w:p>
    <w:p w14:paraId="4F03A887" w14:textId="77777777" w:rsidR="001423CC" w:rsidRDefault="0054044C">
      <w:pPr>
        <w:spacing w:before="280" w:line="240" w:lineRule="auto"/>
        <w:rPr>
          <w:rFonts w:ascii="Noto Sans" w:eastAsia="LegacySanITCBoo" w:hAnsi="Noto Sans" w:cs="Noto Sans"/>
          <w:color w:val="000000"/>
        </w:rPr>
      </w:pPr>
      <w:bookmarkStart w:id="10" w:name="_Hlk97123796"/>
      <w:r>
        <w:rPr>
          <w:rFonts w:ascii="Noto Sans" w:hAnsi="Noto Sans"/>
          <w:color w:val="000000"/>
        </w:rPr>
        <w:t>Ta reforma prawna obejmuje przepisy mające na celu ograniczenie udzielania nowych zezwoleń na otwieranie salonów gier i/lub punktów bukmacherskich na terytorium Balearów.</w:t>
      </w:r>
      <w:bookmarkEnd w:id="10"/>
    </w:p>
    <w:p w14:paraId="5A651816" w14:textId="77777777" w:rsidR="001423CC" w:rsidRDefault="0054044C">
      <w:pPr>
        <w:spacing w:before="280" w:line="240" w:lineRule="auto"/>
        <w:rPr>
          <w:rFonts w:ascii="Noto Sans" w:eastAsia="LegacySanITCBoo" w:hAnsi="Noto Sans" w:cs="Noto Sans"/>
          <w:color w:val="000000"/>
        </w:rPr>
      </w:pPr>
      <w:bookmarkStart w:id="11" w:name="_Hlk96682236"/>
      <w:bookmarkStart w:id="12" w:name="_Hlk89428051"/>
      <w:r>
        <w:rPr>
          <w:rFonts w:ascii="Noto Sans" w:hAnsi="Noto Sans"/>
          <w:color w:val="000000"/>
        </w:rPr>
        <w:t>Salony gier i punkty bukmacherskie, które są autoryzowane na naszym terytorium, doświadczyły w ostatnich latach niezwykłego wzrostu i istnieje duża koncentracja na niektórych obszarach wysp, pomimo ograniczeń odległości między tego typu zakładami regulowanymi w wyżej wymienionych dekretach.</w:t>
      </w:r>
      <w:bookmarkEnd w:id="11"/>
    </w:p>
    <w:p w14:paraId="7359E40C" w14:textId="77777777" w:rsidR="001423CC" w:rsidRDefault="0054044C">
      <w:pPr>
        <w:spacing w:before="280" w:line="240" w:lineRule="auto"/>
        <w:rPr>
          <w:rFonts w:ascii="Noto Sans" w:eastAsia="LegacySanITCBoo" w:hAnsi="Noto Sans" w:cs="Noto Sans"/>
          <w:color w:val="000000"/>
        </w:rPr>
      </w:pPr>
      <w:bookmarkStart w:id="13" w:name="_Hlk96682258"/>
      <w:bookmarkEnd w:id="12"/>
      <w:r>
        <w:rPr>
          <w:rFonts w:ascii="Noto Sans" w:hAnsi="Noto Sans"/>
          <w:color w:val="000000"/>
        </w:rPr>
        <w:t>W odniesieniu do koncentracji tej klasy obiektów we Wspólnocie Autonomicznej Balearów stosunek ten wynosi 116,07 obiektów na milion mieszkańców, będąc trzecim terytorium regionalnym o najwyższej koncentracji podaży, oprócz tego, że wskaźnik ten jest o 40 punktów wyższy niż średnia państwowa jako całość. W związku z tym ma on na celu między innymi stopniowe doprowadzenie liczby salonów gier i specjalnych punktów bukmacherskich do liczby, która nie przekracza średniej liczby takich obiektów na mieszkańca w całej Hiszpanii. Ta średnia, która może być obliczana corocznie, będzie wynikać z oficjalnych danych dotyczących obowiązujących zezwoleń na prowadzenie salonów gier i określonych punktów bukmacherskich, zgodnie z sekcjami dotyczącymi salonów gier i specjalnych punktów bukmacherskich zatwierdzonych w ogólnym rejestrze gier hazardowych, oraz z liczby ludności zgodnie z oficjalnymi danymi ze zrewidowanego spisu ludności podanymi przez Krajowy Instytut Statystyczny (INE) w dniu 1 stycznia bieżącego roku.</w:t>
      </w:r>
    </w:p>
    <w:p w14:paraId="5A8E9B51" w14:textId="77777777" w:rsidR="001423CC" w:rsidRDefault="0054044C">
      <w:pPr>
        <w:spacing w:before="280" w:line="240" w:lineRule="auto"/>
        <w:rPr>
          <w:rFonts w:ascii="Noto Sans" w:eastAsia="LegacySanITCBoo" w:hAnsi="Noto Sans" w:cs="Noto Sans"/>
          <w:color w:val="000000"/>
        </w:rPr>
      </w:pPr>
      <w:r>
        <w:rPr>
          <w:rFonts w:ascii="Noto Sans" w:hAnsi="Noto Sans"/>
          <w:color w:val="000000"/>
        </w:rPr>
        <w:t>Należy zauważyć, że wiele z tych obiektów zostało otwartych w Palma, gminie Balearów charakteryzującej się dużą liczbą dzielnic szczególnie podatnych na ryzyko zgodnie ze raportem w sprawie rozwoju podatności na ryzyko w miastach w Hiszpanii w latach 2001–2011, Ministerstwa Transportu, Mobilności i Rozwoju Miast.</w:t>
      </w:r>
      <w:bookmarkEnd w:id="13"/>
    </w:p>
    <w:p w14:paraId="2BE94F1D" w14:textId="77777777" w:rsidR="001423CC" w:rsidRDefault="0054044C">
      <w:pPr>
        <w:spacing w:before="280" w:line="240" w:lineRule="auto"/>
        <w:rPr>
          <w:rFonts w:ascii="Noto Sans" w:eastAsia="LegacySanITCBoo" w:hAnsi="Noto Sans" w:cs="Noto Sans"/>
          <w:color w:val="000000"/>
        </w:rPr>
      </w:pPr>
      <w:bookmarkStart w:id="14" w:name="_Hlk97124095"/>
      <w:r>
        <w:rPr>
          <w:rFonts w:ascii="Noto Sans" w:hAnsi="Noto Sans"/>
          <w:color w:val="000000"/>
        </w:rPr>
        <w:t>W związku z tym organy społeczne i organy ds. zdrowia zalecają jako najlepszą strategię ograniczenia uzależniającego potencjału dostępnych opcji w celu skorygowania wysokiej koncentracji wykazanej przez statystyki dotyczące liczby obiektów w odniesieniu do ludności zamieszkującej Baleary.</w:t>
      </w:r>
    </w:p>
    <w:p w14:paraId="308CD976" w14:textId="77777777" w:rsidR="001423CC" w:rsidRDefault="0054044C">
      <w:pPr>
        <w:spacing w:before="280" w:line="240" w:lineRule="auto"/>
        <w:rPr>
          <w:rFonts w:ascii="Noto Sans" w:eastAsia="LegacySanITCBoo" w:hAnsi="Noto Sans" w:cs="Noto Sans"/>
          <w:color w:val="000000"/>
        </w:rPr>
      </w:pPr>
      <w:r>
        <w:rPr>
          <w:rFonts w:ascii="Noto Sans" w:hAnsi="Noto Sans"/>
          <w:color w:val="000000"/>
        </w:rPr>
        <w:lastRenderedPageBreak/>
        <w:t>Również liczba kasyn oferujących usługi hazardowe pozostała na przestrzeni lat niezmienna, ponieważ rząd Balearów nie uznał za stosowne przedstawić nowego przetargu publicznego, utrzymując tym samym liczbę kasyn oferujących usługi hazardowe w liczbie trzech: jedno na Majorce, jedno na Ibizie i jedno na Minorce.</w:t>
      </w:r>
    </w:p>
    <w:p w14:paraId="267F5A1D" w14:textId="77777777" w:rsidR="001423CC" w:rsidRDefault="0054044C">
      <w:pPr>
        <w:spacing w:before="280" w:line="240" w:lineRule="auto"/>
        <w:rPr>
          <w:rFonts w:ascii="Noto Sans" w:eastAsia="LegacySanITCBoo" w:hAnsi="Noto Sans" w:cs="Noto Sans"/>
          <w:color w:val="000000"/>
        </w:rPr>
      </w:pPr>
      <w:r>
        <w:rPr>
          <w:rFonts w:ascii="Noto Sans" w:hAnsi="Noto Sans"/>
          <w:color w:val="000000"/>
        </w:rPr>
        <w:t>Z kolei jeśli chodzi o salony bingo, należy zauważyć, że ich liczba utrzymuje się na niskim poziomie, a obecna liczba wynosi cztery: trzy na Majorce i jeden na wyspie Ibiza.</w:t>
      </w:r>
    </w:p>
    <w:p w14:paraId="7EB0C0A1" w14:textId="77777777" w:rsidR="001423CC" w:rsidRDefault="0054044C">
      <w:pPr>
        <w:spacing w:before="280" w:line="240" w:lineRule="auto"/>
      </w:pPr>
      <w:r>
        <w:rPr>
          <w:rFonts w:ascii="Noto Sans" w:hAnsi="Noto Sans"/>
          <w:color w:val="000000"/>
        </w:rPr>
        <w:t>Podobnie reforma ta zwiększa odległość między salonami gier i punktami bukmacherskimi a niektórymi ośrodkami lub przestrzeniami przeznaczonymi zasadniczo na cele edukacyjne i komfort nieletnich lub osób szczególnie podatnych na ryzyko. Rozwiązanie to stanowi odpowiedź na rosnące skargi grup społecznych osób dotkniętych kompulsywnym hazardem oraz osób zaangażowanych w jego zwalczanie, które w odpowiednim czasie wskazują na częstą fizyczną bliskość salonów gier i punktów bukmacherskich z ośrodkami edukacyjnymi, społeczną opieką zdrowotną, parkami i placami zabaw dla dzieci i młodzieży oraz publicznymi halami sportowymi. Jest to okoliczność, która bezpośrednio naraża nieletnich i osoby podatne na ryzyko na styczność z salonami gier i punktami bukmacherskimi podczas pokonywania trasy, którą wybierają z i do miejsc zawartych w ich planie dnia. Tym bardziej, że w przypadku salonów gier powszechne jest posiadanie strefy przeznaczonej na zakłady sportowe, istnieje ryzyko unormowania tych obiektów jako miejsc spędzania wolnego czasu dla grup. Wiele badań wskazuje na efekt mnożnikowy na chęć uprawiania hazardu połączenia przekazów reklamowych w mediach, internecie i podczas imprez sportowych z codziennym obcowaniem z salonami gier i ich reklamami, co jest sytuacją szczególnie powszechną w gęsto zaludnionych obszarach miejskich.</w:t>
      </w:r>
    </w:p>
    <w:p w14:paraId="5DDAE63C" w14:textId="77777777" w:rsidR="001423CC" w:rsidRDefault="0054044C">
      <w:pPr>
        <w:spacing w:before="280" w:line="240" w:lineRule="auto"/>
        <w:rPr>
          <w:rFonts w:ascii="Noto Sans" w:eastAsia="LegacySanITCBoo" w:hAnsi="Noto Sans" w:cs="Noto Sans"/>
          <w:color w:val="000000"/>
        </w:rPr>
      </w:pPr>
      <w:r>
        <w:rPr>
          <w:rFonts w:ascii="Noto Sans" w:hAnsi="Noto Sans"/>
          <w:color w:val="000000"/>
        </w:rPr>
        <w:t>Jednocześnie zakazuje się reklamy i działań promujących gry i zakłady na całym terytorium Balearów. Zgodnie z zasadami umiaru i zapewnienia bezpieczniejszego otoczenia gier hazardowych rozumie się, że reklama w sposób konkurencyjny stymuluje gry i zakłady bez możliwości kontrolowania, kto ma dostęp do treści reklamowych lub kto udostępnia te treści drogach publicznych.</w:t>
      </w:r>
    </w:p>
    <w:p w14:paraId="31BF6E7B" w14:textId="77777777" w:rsidR="001423CC" w:rsidRDefault="0054044C">
      <w:pPr>
        <w:spacing w:before="280" w:line="240" w:lineRule="auto"/>
      </w:pPr>
      <w:r>
        <w:rPr>
          <w:rFonts w:ascii="Noto Sans" w:hAnsi="Noto Sans"/>
          <w:color w:val="000000"/>
        </w:rPr>
        <w:t xml:space="preserve">W swoich najnowszych ustaleniach, opublikowanych 18 czerwca 2021 r., </w:t>
      </w:r>
      <w:r>
        <w:rPr>
          <w:rFonts w:ascii="Noto Sans" w:hAnsi="Noto Sans"/>
          <w:i/>
          <w:color w:val="000000"/>
        </w:rPr>
        <w:t>Komisja ds. Hazardu</w:t>
      </w:r>
      <w:r>
        <w:rPr>
          <w:rFonts w:ascii="Noto Sans" w:hAnsi="Noto Sans"/>
          <w:color w:val="000000"/>
        </w:rPr>
        <w:t xml:space="preserve"> przy rządzie Zjednoczonego Królestwa upowszechniła wyniki własnych badań dotyczących wpływu reklamy gier hazardowych i zakładów bukmacherskich w tym kraju. Jej twierdzenia obejmują, co następuje: Reklama i sponsorowanie zakładów mają szeroki i częsty wpływ na konsumentów, do tego stopnia, że sześciu na dziesięciu ma okazję zobaczyć reklamy lub sponsorów na zakładach bukmacherskich co najmniej raz w tygodniu. Podczas gdy tradycyjne reklamy i sponsoring są obserwowane przez wszystkie grupy wiekowe, </w:t>
      </w:r>
      <w:r>
        <w:rPr>
          <w:rFonts w:ascii="Noto Sans" w:hAnsi="Noto Sans"/>
          <w:color w:val="000000"/>
        </w:rPr>
        <w:lastRenderedPageBreak/>
        <w:t>prawdopodobieństwo oglądania reklam online przez młodzież jest wyższe”. W związku z tym, zgodnie z odpowiednią zasadą społeczną i zdrowotną, która sprzyja zmniejszaniu potencjału uzależniającego oferty gier i zakładów, jak np. kontrolowanie lub zakaz reklamowania innych uznanych źródeł uzależnienia, takich jak tytoń czy alkohol, wprowadzono bez wyjątków zakaz umieszczania reklam, w tym na fasadach salonów gier i punktów bukmacherskich, często pokrytych banerami i ekranami o intensywnych i rzucających się w oczy światłach i kolorach.</w:t>
      </w:r>
    </w:p>
    <w:p w14:paraId="17FE20A1" w14:textId="77777777" w:rsidR="001423CC" w:rsidRDefault="0054044C">
      <w:pPr>
        <w:spacing w:before="280" w:line="240" w:lineRule="auto"/>
        <w:rPr>
          <w:rFonts w:ascii="Noto Sans" w:eastAsia="LegacySanITCBoo" w:hAnsi="Noto Sans" w:cs="Noto Sans"/>
          <w:color w:val="000000"/>
        </w:rPr>
      </w:pPr>
      <w:r>
        <w:rPr>
          <w:rFonts w:ascii="Noto Sans" w:hAnsi="Noto Sans"/>
          <w:color w:val="000000"/>
        </w:rPr>
        <w:t>Poza powyższym standard ten ustanawia elektroniczną kontrolę wieku na ekranie do stosowania automatów do gier typu B w barach i restauracjach. Mimo że do tej pory w obiektach oferujących usługi hazardowe i zakłady obowiązuje ścisła kontrola wieku, automaty do gry typu B w obiektach hotelarskich były pozbawione tej kontroli.</w:t>
      </w:r>
      <w:bookmarkStart w:id="15" w:name="_Hlk97139911"/>
      <w:bookmarkEnd w:id="14"/>
    </w:p>
    <w:p w14:paraId="0B367FF5" w14:textId="2B8F2503" w:rsidR="001423CC" w:rsidRDefault="0054044C">
      <w:pPr>
        <w:spacing w:before="280" w:line="240" w:lineRule="auto"/>
      </w:pPr>
      <w:r>
        <w:rPr>
          <w:rFonts w:ascii="Noto Sans" w:hAnsi="Noto Sans"/>
          <w:color w:val="000000"/>
        </w:rPr>
        <w:t>Ponadto niniejsza reforma legislacyjna reorganizuje artykuły i przypadki bardzo poważnych, poważnych i drobnych naruszeń, biorąc pod uwagę zgromadzone doświadczenia i wierniej dopasowując przypadki przewidziane w ramach prawnych do tych, które rzeczywiście występują w obszarze gier i zakładów.</w:t>
      </w:r>
      <w:bookmarkEnd w:id="15"/>
      <w:r>
        <w:rPr>
          <w:rFonts w:ascii="Noto Sans" w:hAnsi="Noto Sans"/>
          <w:color w:val="000000"/>
        </w:rPr>
        <w:t xml:space="preserve"> Ponadto nowelizacja legislacyjna ma na celu dostosowanie art. 36 obowiązującej ustawy 8/2014 z dnia 1 sierpnia o grach i grach hazardowych na Balearach do przepisów art. 21.3.i</w:t>
      </w:r>
      <w:r>
        <w:rPr>
          <w:rFonts w:ascii="Noto Sans" w:hAnsi="Noto Sans"/>
          <w:i/>
          <w:color w:val="000000"/>
        </w:rPr>
        <w:t>a;</w:t>
      </w:r>
      <w:r>
        <w:rPr>
          <w:rFonts w:ascii="Noto Sans" w:hAnsi="Noto Sans"/>
          <w:color w:val="000000"/>
        </w:rPr>
        <w:t xml:space="preserve"> ustawy 39/2015 z dnia 1 października w sprawie wspólnego postępowania administracyjnego organów administracji publicznej, w celu zapewnienia, aby w postępowaniach wszczętych z urzędu (tak jak w przypadku kar) obliczenie początku okresu przedawnienia nastąpiło od dnia zatwierdzenia wszczęcia postępowania.</w:t>
      </w:r>
    </w:p>
    <w:p w14:paraId="44D787B6" w14:textId="77777777" w:rsidR="001423CC" w:rsidRDefault="001423CC">
      <w:pPr>
        <w:spacing w:before="280" w:line="240" w:lineRule="auto"/>
        <w:rPr>
          <w:rFonts w:ascii="Noto Sans" w:eastAsia="LegacySanITCBoo" w:hAnsi="Noto Sans" w:cs="Noto Sans"/>
          <w:color w:val="000000"/>
          <w:lang w:val="es-ES"/>
        </w:rPr>
      </w:pPr>
    </w:p>
    <w:p w14:paraId="1B7E2351" w14:textId="77777777" w:rsidR="001423CC" w:rsidRDefault="0054044C">
      <w:pPr>
        <w:spacing w:before="280" w:line="240" w:lineRule="auto"/>
        <w:jc w:val="center"/>
        <w:rPr>
          <w:rFonts w:ascii="Noto Sans" w:eastAsia="LegacySanITCBoo" w:hAnsi="Noto Sans" w:cs="Noto Sans"/>
          <w:color w:val="000000"/>
        </w:rPr>
      </w:pPr>
      <w:r>
        <w:rPr>
          <w:rFonts w:ascii="Noto Sans" w:hAnsi="Noto Sans"/>
          <w:color w:val="000000"/>
        </w:rPr>
        <w:t>IV</w:t>
      </w:r>
    </w:p>
    <w:p w14:paraId="511D97DE" w14:textId="77777777" w:rsidR="001423CC" w:rsidRDefault="0054044C">
      <w:pPr>
        <w:spacing w:line="240" w:lineRule="auto"/>
        <w:rPr>
          <w:rFonts w:ascii="Noto Sans" w:eastAsia="LegacySanITCBoo" w:hAnsi="Noto Sans" w:cs="Noto Sans"/>
          <w:color w:val="000000"/>
        </w:rPr>
      </w:pPr>
      <w:r>
        <w:rPr>
          <w:rFonts w:ascii="Noto Sans" w:hAnsi="Noto Sans"/>
          <w:color w:val="000000"/>
        </w:rPr>
        <w:t>Ustawa ta składa się z jednego artykułu, jednego przepisu dodatkowego, dwóch przepisów przejściowych i jednego przepisu końcowego.</w:t>
      </w:r>
    </w:p>
    <w:p w14:paraId="7757F763" w14:textId="77777777" w:rsidR="001423CC" w:rsidRDefault="0054044C">
      <w:pPr>
        <w:spacing w:before="280" w:line="240" w:lineRule="auto"/>
        <w:rPr>
          <w:rFonts w:ascii="Noto Sans" w:eastAsia="LegacySanITCBoo" w:hAnsi="Noto Sans" w:cs="Noto Sans"/>
          <w:color w:val="000000"/>
        </w:rPr>
      </w:pPr>
      <w:r>
        <w:rPr>
          <w:rFonts w:ascii="Noto Sans" w:hAnsi="Noto Sans"/>
          <w:color w:val="000000"/>
        </w:rPr>
        <w:t xml:space="preserve">Przepisy tej ustawy są zgodne z zasadami dobrych uregulowań prawnych przewidzianymi w art. 139 ust. 1 ustawy nr 39/2015 z dnia 1 października o wspólnym postępowaniu administracyjnym organów administracji publicznej. </w:t>
      </w:r>
      <w:bookmarkStart w:id="16" w:name="_Hlk97139562"/>
      <w:r>
        <w:rPr>
          <w:rFonts w:ascii="Noto Sans" w:hAnsi="Noto Sans"/>
          <w:color w:val="000000"/>
        </w:rPr>
        <w:t xml:space="preserve">W odniesieniu do zasad konieczności i skuteczności norma rozwiązuje wady obecnych regulacji i w tym zakresie będzie miała pierwszeństwo przed </w:t>
      </w:r>
      <w:bookmarkEnd w:id="16"/>
      <w:r>
        <w:rPr>
          <w:rFonts w:ascii="Noto Sans" w:hAnsi="Noto Sans"/>
          <w:color w:val="000000"/>
        </w:rPr>
        <w:t>regulacjami zatwierdzonymi na mocy ustawy.</w:t>
      </w:r>
    </w:p>
    <w:p w14:paraId="04BA85B5" w14:textId="77777777" w:rsidR="001423CC" w:rsidRDefault="0054044C">
      <w:pPr>
        <w:spacing w:before="280" w:line="240" w:lineRule="auto"/>
      </w:pPr>
      <w:r>
        <w:rPr>
          <w:rFonts w:ascii="Noto Sans" w:hAnsi="Noto Sans"/>
          <w:color w:val="000000"/>
        </w:rPr>
        <w:t>W odniesieniu do zasady pewności prawa ustawa ta dostosowuje i wdraża podstawy określone wcześniej w ustawie 8/2014 z dnia 1 sierpnia o grach i grach hazardowych na Balearach. Z kolei</w:t>
      </w:r>
      <w:r>
        <w:t xml:space="preserve"> </w:t>
      </w:r>
      <w:bookmarkStart w:id="17" w:name="_Hlk97139688"/>
      <w:r>
        <w:rPr>
          <w:rFonts w:ascii="Noto Sans" w:hAnsi="Noto Sans"/>
          <w:color w:val="000000"/>
        </w:rPr>
        <w:t xml:space="preserve">ta norma prawna jest zgodna z zasadą </w:t>
      </w:r>
      <w:r>
        <w:rPr>
          <w:rFonts w:ascii="Noto Sans" w:hAnsi="Noto Sans"/>
          <w:color w:val="000000"/>
        </w:rPr>
        <w:lastRenderedPageBreak/>
        <w:t>efektywności, gdyż obciążenia administracyjne nakładane na podmioty z sektora nie są wyższe niż dotychczasowe.</w:t>
      </w:r>
      <w:bookmarkEnd w:id="17"/>
      <w:r>
        <w:rPr>
          <w:rFonts w:ascii="Noto Sans" w:hAnsi="Noto Sans"/>
          <w:color w:val="000000"/>
        </w:rPr>
        <w:t xml:space="preserve"> Stosując zasady jakości i uproszczenia, które nie zostały ustanowione we wspomnianym artykule ustawy 39/2015 z dnia 1 października o wspólnym postępowaniu administracyjnym organów administracji publicznej, lecz w ustawie 4/2011 z dnia 31 marca o dobrej administracji i dobrym zarządzaniu na Balearach oraz w art. 49. ust. 1 ustawy 1/2019 z dnia 31 stycznia rządu Balearów, należy zauważyć, że zastosowano się do wytycznych prawnych rządu Balearów, zatwierdzonych przez Radę Zarządzającą z dnia 29 grudnia 2000 r., zatwierdzających wytyczne dotyczące formy i struktury projektów ustaw. W odniesieniu do zasady proporcjonalności norma jest proporcjonalna do złożoności danej sprawy, zawsze starając się osiągnąć sytuację równowagi między interesami i wymaganiami społecznymi, a także równolegle z najbardziej powszechnym ustawodawstwem na terytoriach wokół Balearów.</w:t>
      </w:r>
    </w:p>
    <w:p w14:paraId="02A8243C" w14:textId="77777777" w:rsidR="001423CC" w:rsidRDefault="0054044C">
      <w:pPr>
        <w:spacing w:before="280" w:line="240" w:lineRule="auto"/>
        <w:rPr>
          <w:rFonts w:ascii="Noto Sans" w:eastAsia="LegacySanITCBoo" w:hAnsi="Noto Sans" w:cs="Noto Sans"/>
          <w:color w:val="000000"/>
        </w:rPr>
      </w:pPr>
      <w:r>
        <w:rPr>
          <w:rFonts w:ascii="Noto Sans" w:hAnsi="Noto Sans"/>
          <w:color w:val="000000"/>
        </w:rPr>
        <w:t>Niniejszy przepis ustawowy został poddany procedurze przewidzianej w dyrektywie Parlamentu Europejskiego i Rady (UE) 2015/1535 z dnia 9 września 2015 r., ustanawiającej procedurę udzielania informacji w dziedzinie przepisów technicznych oraz zasad dotyczących usług społeczeństwa informacyjnego, a także przepisom dekretu królewskiego 1337/1999 z dnia 31 lipca, który reguluje przekazywanie informacji o normach i przepisach technicznych oraz zasadach dotyczących usług społeczeństwa informacyjnego.</w:t>
      </w:r>
    </w:p>
    <w:p w14:paraId="0782BD1C" w14:textId="77777777" w:rsidR="001423CC" w:rsidRDefault="0054044C">
      <w:pPr>
        <w:spacing w:before="280" w:line="240" w:lineRule="auto"/>
        <w:rPr>
          <w:rFonts w:ascii="Noto Sans" w:eastAsia="LegacySanITCBoo" w:hAnsi="Noto Sans" w:cs="Noto Sans"/>
          <w:color w:val="000000"/>
        </w:rPr>
      </w:pPr>
      <w:r>
        <w:rPr>
          <w:rFonts w:ascii="Noto Sans" w:hAnsi="Noto Sans"/>
          <w:color w:val="000000"/>
        </w:rPr>
        <w:t>Niniejszy dekret królewski podlega również procedurze udzielania informacji na temat norm i przepisów technicznych oraz zasad dotyczących społeczeństwa informacyjnego, uregulowanej dekretem królewskim 1337/1999 z dnia 31 lipca, w celu zapewnienia zgodności z dyrektywą Parlamentu Europejskiego i Rady (UE) 2015/1535 z dnia 9 września 2015 r. ustanawiającą procedurę udzielania informacji w dziedzinie przepisów technicznych oraz zasad dotyczących usług społeczeństwa informacyjnego.</w:t>
      </w:r>
    </w:p>
    <w:p w14:paraId="3D9D8E33" w14:textId="77777777" w:rsidR="001423CC" w:rsidRDefault="001423CC">
      <w:pPr>
        <w:spacing w:before="280" w:line="240" w:lineRule="auto"/>
        <w:rPr>
          <w:rFonts w:ascii="Noto Sans" w:eastAsia="LegacySanITCBoo" w:hAnsi="Noto Sans" w:cs="Noto Sans"/>
          <w:color w:val="000000"/>
          <w:lang w:val="es-ES"/>
        </w:rPr>
      </w:pPr>
    </w:p>
    <w:p w14:paraId="1961EEE0" w14:textId="77777777" w:rsidR="001423CC" w:rsidRDefault="0054044C">
      <w:pPr>
        <w:spacing w:line="240" w:lineRule="auto"/>
      </w:pPr>
      <w:r>
        <w:rPr>
          <w:rFonts w:ascii="Noto Sans" w:hAnsi="Noto Sans"/>
          <w:b/>
          <w:color w:val="000000"/>
        </w:rPr>
        <w:t>Pojedynczy artykuł. Zmiana ustawy nr 8/2014 z dnia 1 sierpnia o grach i grach hazardowych na Balearach</w:t>
      </w:r>
    </w:p>
    <w:p w14:paraId="5D15BE85" w14:textId="77777777" w:rsidR="001423CC" w:rsidRDefault="001423CC">
      <w:pPr>
        <w:spacing w:line="240" w:lineRule="auto"/>
        <w:rPr>
          <w:rFonts w:ascii="Noto Sans" w:eastAsia="LegacySanITCBoo" w:hAnsi="Noto Sans" w:cs="Noto Sans"/>
          <w:color w:val="000000"/>
          <w:lang w:val="es-ES"/>
        </w:rPr>
      </w:pPr>
    </w:p>
    <w:p w14:paraId="263AE888" w14:textId="77777777" w:rsidR="001423CC" w:rsidRDefault="0054044C">
      <w:pPr>
        <w:pStyle w:val="ListParagraph"/>
        <w:numPr>
          <w:ilvl w:val="0"/>
          <w:numId w:val="1"/>
        </w:numPr>
        <w:spacing w:line="240" w:lineRule="auto"/>
        <w:ind w:left="426" w:hanging="426"/>
      </w:pPr>
      <w:r>
        <w:rPr>
          <w:rFonts w:ascii="Noto Sans" w:hAnsi="Noto Sans"/>
          <w:b/>
          <w:color w:val="000000"/>
        </w:rPr>
        <w:t>W art. 3 ust. 1 dotyczącym „zezwoleń” wprowadza się tekst o następującym brzmieniu:</w:t>
      </w:r>
    </w:p>
    <w:p w14:paraId="3CF778AE" w14:textId="77777777" w:rsidR="001423CC" w:rsidRDefault="0054044C">
      <w:pPr>
        <w:spacing w:line="240" w:lineRule="auto"/>
        <w:ind w:left="426"/>
      </w:pPr>
      <w:r>
        <w:rPr>
          <w:rFonts w:ascii="Noto Sans" w:hAnsi="Noto Sans"/>
          <w:color w:val="000000"/>
        </w:rPr>
        <w:t>„1. Prowadzenie jakiejkolwiek działalności objętej zakresem niniejszej ustawy wymaga uprzedniej zgody administracyjnej.</w:t>
      </w:r>
    </w:p>
    <w:p w14:paraId="7CDD8BCA" w14:textId="77777777" w:rsidR="001423CC" w:rsidRDefault="0054044C">
      <w:pPr>
        <w:spacing w:line="240" w:lineRule="auto"/>
        <w:ind w:left="426"/>
      </w:pPr>
      <w:r>
        <w:rPr>
          <w:rFonts w:ascii="Noto Sans" w:hAnsi="Noto Sans"/>
          <w:color w:val="000000"/>
        </w:rPr>
        <w:t xml:space="preserve">W żadnym wypadku nie można przyznać nowych zezwoleń na otwieranie określonych obiektów hazardowych (salony gier, specjalne punkty </w:t>
      </w:r>
      <w:r>
        <w:rPr>
          <w:rFonts w:ascii="Noto Sans" w:hAnsi="Noto Sans"/>
          <w:color w:val="000000"/>
        </w:rPr>
        <w:lastRenderedPageBreak/>
        <w:t>bukmacherskie, kasyna, salony bingo)</w:t>
      </w:r>
      <w:r>
        <w:rPr>
          <w:rFonts w:ascii="Noto Sans" w:hAnsi="Noto Sans"/>
          <w:i/>
          <w:color w:val="000000"/>
        </w:rPr>
        <w:t xml:space="preserve"> </w:t>
      </w:r>
      <w:r>
        <w:rPr>
          <w:rFonts w:ascii="Noto Sans" w:hAnsi="Noto Sans"/>
          <w:color w:val="000000"/>
        </w:rPr>
        <w:t xml:space="preserve">na obszarze mniejszym niż 500 metrów </w:t>
      </w:r>
      <w:bookmarkStart w:id="18" w:name="_Hlk103679879"/>
      <w:r>
        <w:rPr>
          <w:rFonts w:ascii="Noto Sans" w:hAnsi="Noto Sans"/>
          <w:color w:val="000000"/>
        </w:rPr>
        <w:t xml:space="preserve">mierzonym promieniowo od najbliższej granicy do </w:t>
      </w:r>
      <w:bookmarkStart w:id="19" w:name="_Hlk103172571"/>
      <w:r>
        <w:rPr>
          <w:rFonts w:ascii="Noto Sans" w:hAnsi="Noto Sans"/>
          <w:color w:val="000000"/>
        </w:rPr>
        <w:t>każdego budynku wykorzystywanego jako ośrodek do leczenia osób z uzależnieniem od gier hazardowych, ośrodków edukacyjnych dla nieletnich, terenów wypoczynkowych dla nieletnich oraz stałych ośrodków opieki nad nieletnimi;</w:t>
      </w:r>
      <w:bookmarkEnd w:id="18"/>
      <w:bookmarkEnd w:id="19"/>
      <w:r>
        <w:rPr>
          <w:rFonts w:ascii="Noto Sans" w:hAnsi="Noto Sans"/>
          <w:color w:val="000000"/>
        </w:rPr>
        <w:t>. Nie można również zezwolić na otwarcie salonu gier w sytuacji, gdy w odległości mniejszej niż 500 metrów w gminie Palma znajduje się inny salon, na który wydano już zezwolenie, a w pozostałych gminach wspólnoty autonomicznej Balearów w odległości mniejszej niż dwieście pięćdziesiąt metrów. Ograniczenia te działają zarówno w odniesieniu do salonów w tej samej gminie, w których złożono wniosek, jak i w odniesieniu do istniejących salonów w innych przygranicznych gminach.</w:t>
      </w:r>
    </w:p>
    <w:p w14:paraId="5A48C9C1" w14:textId="77777777" w:rsidR="001423CC" w:rsidRDefault="0054044C">
      <w:pPr>
        <w:spacing w:line="240" w:lineRule="auto"/>
        <w:ind w:left="426"/>
        <w:rPr>
          <w:rFonts w:ascii="Noto Sans" w:eastAsia="LegacySanITCBoo" w:hAnsi="Noto Sans" w:cs="Noto Sans"/>
          <w:iCs/>
          <w:color w:val="000000"/>
        </w:rPr>
      </w:pPr>
      <w:r>
        <w:rPr>
          <w:rFonts w:ascii="Noto Sans" w:hAnsi="Noto Sans"/>
          <w:color w:val="000000"/>
        </w:rPr>
        <w:t>Do celów niniejszej ustawy wszystkie upoważnione placówki oświatowe dla nieletnich, zgodnie z sektorowymi przepisami oświatowymi i ośrodki opieki nad nieletnimi w wieku od zera do trzech lat, są uważane za ośrodek dydaktyczny dla nieletnich.</w:t>
      </w:r>
    </w:p>
    <w:p w14:paraId="3570D73E" w14:textId="77777777" w:rsidR="001423CC" w:rsidRDefault="0054044C">
      <w:pPr>
        <w:spacing w:line="240" w:lineRule="auto"/>
        <w:ind w:left="426"/>
        <w:rPr>
          <w:rFonts w:ascii="Noto Sans" w:eastAsia="LegacySanITCBoo" w:hAnsi="Noto Sans" w:cs="Noto Sans"/>
          <w:iCs/>
          <w:color w:val="000000"/>
        </w:rPr>
      </w:pPr>
      <w:r>
        <w:rPr>
          <w:rFonts w:ascii="Noto Sans" w:hAnsi="Noto Sans"/>
          <w:color w:val="000000"/>
        </w:rPr>
        <w:t>W rozumieniu niniejszej ustawy za miejsca wypoczynku dla nieletnich uważa się wszystkie miejsca wypoczynku dla dzieci w parkach publicznych oraz wszystkie miejsca sportu dla dzieci i młodzieży ujęte w planie zagospodarowania przestrzennego gminy.</w:t>
      </w:r>
    </w:p>
    <w:p w14:paraId="44FE2F1A" w14:textId="77777777" w:rsidR="001423CC" w:rsidRDefault="0054044C">
      <w:pPr>
        <w:spacing w:line="240" w:lineRule="auto"/>
        <w:ind w:left="426"/>
        <w:rPr>
          <w:rFonts w:ascii="Noto Sans" w:eastAsia="LegacySanITCBoo" w:hAnsi="Noto Sans" w:cs="Noto Sans"/>
          <w:iCs/>
          <w:color w:val="000000"/>
        </w:rPr>
      </w:pPr>
      <w:r>
        <w:rPr>
          <w:rFonts w:ascii="Noto Sans" w:hAnsi="Noto Sans"/>
          <w:color w:val="000000"/>
        </w:rPr>
        <w:t>Do celów niniejszej ustawy wszystkie ośrodki wymienione w ustawie 9/2019 z dnia 19 lutego o opiece i prawach dzieci i młodzieży na Balearach są uważane za stałe ośrodki opieki nad nieletnimi.</w:t>
      </w:r>
    </w:p>
    <w:p w14:paraId="6661E085" w14:textId="77777777" w:rsidR="001423CC" w:rsidRDefault="0054044C">
      <w:pPr>
        <w:spacing w:line="240" w:lineRule="auto"/>
        <w:ind w:left="426"/>
      </w:pPr>
      <w:r>
        <w:rPr>
          <w:rFonts w:ascii="Noto Sans" w:hAnsi="Noto Sans"/>
          <w:color w:val="000000"/>
        </w:rPr>
        <w:t>Na potrzeby niniejszej ustawy ośrodkami dla osób, które były leczone lub są w trakcie leczenia z powodu uzależnienia od hazardu, będą ośrodki, których celem jest rehabilitacja użytkowników.”</w:t>
      </w:r>
    </w:p>
    <w:p w14:paraId="53EF339E" w14:textId="77777777" w:rsidR="001423CC" w:rsidRDefault="001423CC">
      <w:pPr>
        <w:spacing w:line="240" w:lineRule="auto"/>
        <w:rPr>
          <w:rFonts w:ascii="Noto Sans" w:eastAsia="LegacySanITCBoo" w:hAnsi="Noto Sans" w:cs="Noto Sans"/>
          <w:iCs/>
          <w:color w:val="000000"/>
          <w:lang w:val="es-ES"/>
        </w:rPr>
      </w:pPr>
    </w:p>
    <w:p w14:paraId="1A9C246B" w14:textId="77777777" w:rsidR="001423CC" w:rsidRDefault="0054044C">
      <w:pPr>
        <w:pStyle w:val="ListParagraph"/>
        <w:numPr>
          <w:ilvl w:val="0"/>
          <w:numId w:val="1"/>
        </w:numPr>
        <w:spacing w:line="240" w:lineRule="auto"/>
        <w:ind w:left="426" w:hanging="426"/>
      </w:pPr>
      <w:r>
        <w:rPr>
          <w:rFonts w:ascii="Noto Sans" w:hAnsi="Noto Sans"/>
          <w:b/>
          <w:color w:val="000000"/>
        </w:rPr>
        <w:t>W art. 7 „Reklama i promocja” wprowadza się następujące zmiany:</w:t>
      </w:r>
    </w:p>
    <w:p w14:paraId="732DE58C" w14:textId="77777777" w:rsidR="001423CC" w:rsidRDefault="0054044C">
      <w:pPr>
        <w:spacing w:line="240" w:lineRule="auto"/>
        <w:ind w:left="426"/>
        <w:rPr>
          <w:rFonts w:ascii="Noto Sans" w:eastAsia="LegacySanITCBoo" w:hAnsi="Noto Sans" w:cs="Noto Sans"/>
          <w:iCs/>
          <w:color w:val="000000"/>
        </w:rPr>
      </w:pPr>
      <w:bookmarkStart w:id="20" w:name="_Hlk104459918"/>
      <w:r>
        <w:rPr>
          <w:rFonts w:ascii="Noto Sans" w:hAnsi="Noto Sans"/>
          <w:color w:val="000000"/>
        </w:rPr>
        <w:t>„1. Wszelkie formy reklamy, promocji, sponsorowania i wszelkie formy komunikacji handlowej, w tym telematyczne za pośrednictwem sieci komunikacji w mediach społecznościowych, odnoszące się do działalności hazardowej w Autonomicznej Wspólnocie Balearów, są zabronione.</w:t>
      </w:r>
      <w:bookmarkEnd w:id="20"/>
    </w:p>
    <w:p w14:paraId="42CC3368" w14:textId="77777777" w:rsidR="001423CC" w:rsidRDefault="0054044C">
      <w:pPr>
        <w:spacing w:line="240" w:lineRule="auto"/>
        <w:ind w:left="426"/>
      </w:pPr>
      <w:bookmarkStart w:id="21" w:name="_Hlk104459669"/>
      <w:r>
        <w:rPr>
          <w:rFonts w:ascii="Noto Sans" w:hAnsi="Noto Sans"/>
          <w:color w:val="000000"/>
        </w:rPr>
        <w:t xml:space="preserve">2. Zabronione są działania promocyjne, prezenty i zaproszenia o charakterze pieniężnym lub w formie bonów rabatowych lub </w:t>
      </w:r>
      <w:r>
        <w:rPr>
          <w:rFonts w:ascii="Noto Sans" w:hAnsi="Noto Sans"/>
          <w:i/>
          <w:color w:val="000000"/>
        </w:rPr>
        <w:t>kuponów</w:t>
      </w:r>
      <w:r>
        <w:rPr>
          <w:rFonts w:ascii="Noto Sans" w:hAnsi="Noto Sans"/>
          <w:color w:val="000000"/>
        </w:rPr>
        <w:t xml:space="preserve"> oraz żetonów o wartości wymienialnej dla legalnego środka płatniczego o dowolnej kwocie, która może być oferowana graczom, zarówno wewnątrz, jak i poza określonym lokalem i obszarami zakładów, salonami gier, kasynami i salonami bingo, które mają na celu zaproszenie graczy do grania bez żadnych </w:t>
      </w:r>
      <w:r>
        <w:rPr>
          <w:rFonts w:ascii="Noto Sans" w:hAnsi="Noto Sans"/>
          <w:color w:val="000000"/>
        </w:rPr>
        <w:lastRenderedPageBreak/>
        <w:t>kosztów dla użytkownika lub w szczególności do rozpowszechniania gier hazardowych i zakładów bukmacherskich.</w:t>
      </w:r>
      <w:bookmarkEnd w:id="21"/>
    </w:p>
    <w:p w14:paraId="2EDCE6E3" w14:textId="77777777" w:rsidR="001423CC" w:rsidRDefault="0054044C">
      <w:pPr>
        <w:spacing w:line="240" w:lineRule="auto"/>
        <w:ind w:left="426"/>
        <w:rPr>
          <w:rFonts w:ascii="Noto Sans" w:eastAsia="LegacySanITCBoo" w:hAnsi="Noto Sans" w:cs="Noto Sans"/>
          <w:iCs/>
          <w:color w:val="000000"/>
        </w:rPr>
      </w:pPr>
      <w:r>
        <w:rPr>
          <w:rFonts w:ascii="Noto Sans" w:hAnsi="Noto Sans"/>
          <w:color w:val="000000"/>
        </w:rPr>
        <w:t>3. W celach przewidzianych w niniejszej ustawie żadna reklama, która jedynie informuje o następujących aspektach, nie będzie uważana za reklamę gier hazardowych:</w:t>
      </w:r>
    </w:p>
    <w:p w14:paraId="6B925E97" w14:textId="77777777" w:rsidR="001423CC" w:rsidRDefault="0054044C">
      <w:pPr>
        <w:spacing w:line="240" w:lineRule="auto"/>
        <w:ind w:left="426"/>
      </w:pPr>
      <w:r>
        <w:rPr>
          <w:rFonts w:ascii="Noto Sans" w:hAnsi="Noto Sans"/>
          <w:i/>
          <w:color w:val="000000"/>
        </w:rPr>
        <w:t>a)</w:t>
      </w:r>
      <w:r>
        <w:rPr>
          <w:rFonts w:ascii="Noto Sans" w:hAnsi="Noto Sans"/>
          <w:color w:val="000000"/>
        </w:rPr>
        <w:t xml:space="preserve"> Nazwa, nazwa firmy, adres, numer telefonu, strona internetowa i adres e-mail firmy oferującej usługi hazardowe oraz, w stosownych przypadkach, obiektu oferującego usługi hazardowe.</w:t>
      </w:r>
    </w:p>
    <w:p w14:paraId="6943B5AC" w14:textId="77777777" w:rsidR="001423CC" w:rsidRDefault="0054044C">
      <w:pPr>
        <w:spacing w:line="240" w:lineRule="auto"/>
        <w:ind w:left="426"/>
      </w:pPr>
      <w:r>
        <w:rPr>
          <w:rFonts w:ascii="Noto Sans" w:hAnsi="Noto Sans"/>
          <w:i/>
          <w:color w:val="000000"/>
        </w:rPr>
        <w:t>b)</w:t>
      </w:r>
      <w:r>
        <w:rPr>
          <w:rFonts w:ascii="Noto Sans" w:hAnsi="Noto Sans"/>
          <w:color w:val="000000"/>
        </w:rPr>
        <w:t xml:space="preserve"> Godziny otwarcia i zamknięcia.</w:t>
      </w:r>
    </w:p>
    <w:p w14:paraId="659D7A33" w14:textId="77777777" w:rsidR="001423CC" w:rsidRDefault="0054044C">
      <w:pPr>
        <w:spacing w:line="240" w:lineRule="auto"/>
        <w:ind w:left="426"/>
      </w:pPr>
      <w:r>
        <w:rPr>
          <w:rFonts w:ascii="Noto Sans" w:hAnsi="Noto Sans"/>
          <w:i/>
          <w:color w:val="000000"/>
        </w:rPr>
        <w:t>c)</w:t>
      </w:r>
      <w:r>
        <w:rPr>
          <w:rFonts w:ascii="Noto Sans" w:hAnsi="Noto Sans"/>
          <w:color w:val="000000"/>
        </w:rPr>
        <w:t xml:space="preserve"> Usługi uzupełniające świadczone przez obiekt w zakresie gier hazardowych i godziny pracy.</w:t>
      </w:r>
    </w:p>
    <w:p w14:paraId="6565D3E3" w14:textId="77777777" w:rsidR="001423CC" w:rsidRDefault="0054044C">
      <w:pPr>
        <w:spacing w:line="240" w:lineRule="auto"/>
        <w:ind w:left="426"/>
      </w:pPr>
      <w:r>
        <w:rPr>
          <w:rFonts w:ascii="Noto Sans" w:hAnsi="Noto Sans"/>
          <w:color w:val="000000"/>
        </w:rPr>
        <w:t>4. Na elewacji obiektów oferujących usługi hazardowe, w tym szklanych oknach i drzwiach, bez jakiegokolwiek innego rodzaju znaku lub wizerunku odnoszącego się do danego rodzaju obiektu można umieszczać jedynie reklamę lub wyrażenie „salon gier”, „specjalny punkt bukmacherski”, „obszar gier”, „bingo” lub „kasyno”.</w:t>
      </w:r>
    </w:p>
    <w:p w14:paraId="0E7E91BF" w14:textId="77777777" w:rsidR="001423CC" w:rsidRDefault="0054044C">
      <w:pPr>
        <w:pBdr>
          <w:top w:val="single" w:sz="2" w:space="0" w:color="FFFFFF" w:shadow="1"/>
          <w:left w:val="single" w:sz="2" w:space="0" w:color="FFFFFF" w:shadow="1"/>
          <w:bottom w:val="single" w:sz="2" w:space="0" w:color="FFFFFF" w:shadow="1"/>
          <w:right w:val="single" w:sz="2" w:space="0" w:color="FFFFFF" w:shadow="1"/>
        </w:pBdr>
        <w:spacing w:before="280" w:line="240" w:lineRule="auto"/>
        <w:ind w:left="426"/>
      </w:pPr>
      <w:r>
        <w:rPr>
          <w:rFonts w:ascii="Noto Sans" w:hAnsi="Noto Sans"/>
          <w:color w:val="000000"/>
        </w:rPr>
        <w:t>5. Umieszczanie obrazów stymulujących gry hazardowe lub inne elementy hazardowe na elewacjach salonów gier i punktów bukmacherskich, w tym okien i drzwi, jest zabronione; elementy oświetleniowe inne niż sygnalizacja wejścia lub wyjścia, lub które nie są zgodne z obowiązującymi przepisami miejskimi w tym zakresie, są zabronione.”</w:t>
      </w:r>
    </w:p>
    <w:p w14:paraId="28A9FD8B" w14:textId="77777777" w:rsidR="001423CC" w:rsidRDefault="001423CC">
      <w:pPr>
        <w:widowControl w:val="0"/>
        <w:pBdr>
          <w:top w:val="single" w:sz="2" w:space="0" w:color="FFFFFF" w:shadow="1"/>
          <w:left w:val="single" w:sz="2" w:space="0" w:color="FFFFFF" w:shadow="1"/>
          <w:bottom w:val="single" w:sz="2" w:space="0" w:color="FFFFFF" w:shadow="1"/>
          <w:right w:val="single" w:sz="2" w:space="0" w:color="FFFFFF" w:shadow="1"/>
        </w:pBdr>
        <w:spacing w:line="240" w:lineRule="auto"/>
        <w:rPr>
          <w:rFonts w:ascii="Noto Sans" w:eastAsia="LegacySanITCBoo" w:hAnsi="Noto Sans" w:cs="Noto Sans"/>
          <w:b/>
          <w:color w:val="000000"/>
          <w:lang w:val="es-ES"/>
        </w:rPr>
      </w:pPr>
    </w:p>
    <w:p w14:paraId="1C7076F8" w14:textId="77777777" w:rsidR="001423CC" w:rsidRDefault="0054044C">
      <w:pPr>
        <w:pStyle w:val="ListParagraph"/>
        <w:widowControl w:val="0"/>
        <w:numPr>
          <w:ilvl w:val="0"/>
          <w:numId w:val="1"/>
        </w:numPr>
        <w:pBdr>
          <w:top w:val="single" w:sz="2" w:space="0" w:color="FFFFFF" w:shadow="1"/>
          <w:left w:val="single" w:sz="2" w:space="0" w:color="FFFFFF" w:shadow="1"/>
          <w:bottom w:val="single" w:sz="2" w:space="0" w:color="FFFFFF" w:shadow="1"/>
          <w:right w:val="single" w:sz="2" w:space="0" w:color="FFFFFF" w:shadow="1"/>
        </w:pBdr>
        <w:spacing w:line="240" w:lineRule="auto"/>
        <w:ind w:left="426" w:hanging="426"/>
      </w:pPr>
      <w:r>
        <w:rPr>
          <w:rFonts w:ascii="Noto Sans" w:hAnsi="Noto Sans"/>
          <w:b/>
          <w:color w:val="000000"/>
        </w:rPr>
        <w:t>W art. 13 ust. 5 dotyczącym „automatów do gier” wprowadza się następujące zmiany:</w:t>
      </w:r>
    </w:p>
    <w:p w14:paraId="2190C7C9" w14:textId="77777777" w:rsidR="001423CC" w:rsidRDefault="0054044C">
      <w:pPr>
        <w:widowControl w:val="0"/>
        <w:pBdr>
          <w:top w:val="single" w:sz="2" w:space="0" w:color="FFFFFF" w:shadow="1"/>
          <w:left w:val="single" w:sz="2" w:space="0" w:color="FFFFFF" w:shadow="1"/>
          <w:bottom w:val="single" w:sz="2" w:space="0" w:color="FFFFFF" w:shadow="1"/>
          <w:right w:val="single" w:sz="2" w:space="0" w:color="FFFFFF" w:shadow="1"/>
        </w:pBdr>
        <w:spacing w:line="240" w:lineRule="auto"/>
        <w:ind w:left="426"/>
        <w:rPr>
          <w:rFonts w:ascii="Noto Sans" w:eastAsia="LegacySanITCBoo" w:hAnsi="Noto Sans" w:cs="Noto Sans"/>
          <w:iCs/>
          <w:color w:val="000000"/>
        </w:rPr>
      </w:pPr>
      <w:r>
        <w:rPr>
          <w:rFonts w:ascii="Noto Sans" w:hAnsi="Noto Sans"/>
          <w:color w:val="000000"/>
        </w:rPr>
        <w:t xml:space="preserve">„5. </w:t>
      </w:r>
      <w:bookmarkStart w:id="22" w:name="_Hlk87434168"/>
      <w:r>
        <w:rPr>
          <w:rFonts w:ascii="Noto Sans" w:hAnsi="Noto Sans"/>
          <w:color w:val="000000"/>
        </w:rPr>
        <w:t>Automaty objęte niniejszą ustawą nie mogą być umieszczane w:</w:t>
      </w:r>
    </w:p>
    <w:p w14:paraId="4A4D2CA1" w14:textId="77777777" w:rsidR="001423CC" w:rsidRDefault="0054044C">
      <w:pPr>
        <w:pStyle w:val="ListParagraph"/>
        <w:widowControl w:val="0"/>
        <w:numPr>
          <w:ilvl w:val="0"/>
          <w:numId w:val="2"/>
        </w:numPr>
        <w:pBdr>
          <w:top w:val="single" w:sz="2" w:space="0" w:color="FFFFFF" w:shadow="1"/>
          <w:left w:val="single" w:sz="2" w:space="0" w:color="FFFFFF" w:shadow="1"/>
          <w:bottom w:val="single" w:sz="2" w:space="0" w:color="FFFFFF" w:shadow="1"/>
          <w:right w:val="single" w:sz="2" w:space="0" w:color="FFFFFF" w:shadow="1"/>
        </w:pBdr>
        <w:spacing w:line="240" w:lineRule="auto"/>
        <w:ind w:left="851"/>
        <w:rPr>
          <w:rFonts w:ascii="Noto Sans" w:eastAsia="LegacySanITCBoo" w:hAnsi="Noto Sans" w:cs="Noto Sans"/>
          <w:iCs/>
          <w:color w:val="000000"/>
        </w:rPr>
      </w:pPr>
      <w:r>
        <w:rPr>
          <w:rFonts w:ascii="Noto Sans" w:hAnsi="Noto Sans"/>
          <w:color w:val="000000"/>
        </w:rPr>
        <w:t>barach w centrach lub obszarach handlowych, na stacjach transportu publicznego, jeżeli obiekt nie jest prawidłowo oddzielony od obszaru tranzytowego,</w:t>
      </w:r>
    </w:p>
    <w:p w14:paraId="0DB608B0" w14:textId="77777777" w:rsidR="001423CC" w:rsidRDefault="0054044C">
      <w:pPr>
        <w:pStyle w:val="ListParagraph"/>
        <w:widowControl w:val="0"/>
        <w:numPr>
          <w:ilvl w:val="0"/>
          <w:numId w:val="2"/>
        </w:numPr>
        <w:pBdr>
          <w:top w:val="single" w:sz="2" w:space="0" w:color="FFFFFF" w:shadow="1"/>
          <w:left w:val="single" w:sz="2" w:space="0" w:color="FFFFFF" w:shadow="1"/>
          <w:bottom w:val="single" w:sz="2" w:space="0" w:color="FFFFFF" w:shadow="1"/>
          <w:right w:val="single" w:sz="2" w:space="0" w:color="FFFFFF" w:shadow="1"/>
        </w:pBdr>
        <w:spacing w:line="240" w:lineRule="auto"/>
        <w:ind w:left="851"/>
        <w:rPr>
          <w:rFonts w:ascii="Noto Sans" w:eastAsia="LegacySanITCBoo" w:hAnsi="Noto Sans" w:cs="Noto Sans"/>
          <w:iCs/>
          <w:color w:val="000000"/>
        </w:rPr>
      </w:pPr>
      <w:r>
        <w:rPr>
          <w:rFonts w:ascii="Noto Sans" w:hAnsi="Noto Sans"/>
          <w:color w:val="000000"/>
        </w:rPr>
        <w:t>barach będących dodatkowymi udogodnieniami w innych obiektach i placówkach przeznaczonych do publicznych występów lub innych zajęć sportowych lub rekreacyjnych,</w:t>
      </w:r>
    </w:p>
    <w:p w14:paraId="1B780681" w14:textId="77777777" w:rsidR="001423CC" w:rsidRDefault="0054044C">
      <w:pPr>
        <w:pStyle w:val="ListParagraph"/>
        <w:widowControl w:val="0"/>
        <w:numPr>
          <w:ilvl w:val="0"/>
          <w:numId w:val="2"/>
        </w:numPr>
        <w:pBdr>
          <w:top w:val="single" w:sz="2" w:space="0" w:color="FFFFFF" w:shadow="1"/>
          <w:left w:val="single" w:sz="2" w:space="0" w:color="FFFFFF" w:shadow="1"/>
          <w:bottom w:val="single" w:sz="2" w:space="0" w:color="FFFFFF" w:shadow="1"/>
          <w:right w:val="single" w:sz="2" w:space="0" w:color="FFFFFF" w:shadow="1"/>
        </w:pBdr>
        <w:spacing w:line="240" w:lineRule="auto"/>
        <w:ind w:left="851"/>
        <w:rPr>
          <w:rFonts w:ascii="Noto Sans" w:eastAsia="LegacySanITCBoo" w:hAnsi="Noto Sans" w:cs="Noto Sans"/>
          <w:iCs/>
        </w:rPr>
      </w:pPr>
      <w:r>
        <w:rPr>
          <w:rFonts w:ascii="Noto Sans" w:hAnsi="Noto Sans"/>
        </w:rPr>
        <w:t>obiektach gastronomicznych w szkołach dla nieletnich, strefach rekreacyjnych dla dzieci oraz stałych ośrodkach opieki nad nieletnimi,</w:t>
      </w:r>
    </w:p>
    <w:p w14:paraId="669E500A" w14:textId="77777777" w:rsidR="001423CC" w:rsidRDefault="0054044C">
      <w:pPr>
        <w:pStyle w:val="ListParagraph"/>
        <w:widowControl w:val="0"/>
        <w:numPr>
          <w:ilvl w:val="0"/>
          <w:numId w:val="2"/>
        </w:numPr>
        <w:pBdr>
          <w:top w:val="single" w:sz="2" w:space="0" w:color="FFFFFF" w:shadow="1"/>
          <w:left w:val="single" w:sz="2" w:space="0" w:color="FFFFFF" w:shadow="1"/>
          <w:bottom w:val="single" w:sz="2" w:space="0" w:color="FFFFFF" w:shadow="1"/>
          <w:right w:val="single" w:sz="2" w:space="0" w:color="FFFFFF" w:shadow="1"/>
        </w:pBdr>
        <w:spacing w:line="240" w:lineRule="auto"/>
        <w:ind w:left="851"/>
      </w:pPr>
      <w:r>
        <w:rPr>
          <w:rFonts w:ascii="Noto Sans" w:hAnsi="Noto Sans"/>
        </w:rPr>
        <w:t xml:space="preserve">tarasach publicznych i prywatnych oraz innych przestrzeniach </w:t>
      </w:r>
      <w:r>
        <w:rPr>
          <w:rFonts w:ascii="Noto Sans" w:hAnsi="Noto Sans"/>
        </w:rPr>
        <w:lastRenderedPageBreak/>
        <w:t>znajdujących się na terenach wykorzystujących przestrzeń na drogach publicznych.</w:t>
      </w:r>
      <w:r>
        <w:rPr>
          <w:rFonts w:ascii="Noto Sans" w:hAnsi="Noto Sans"/>
          <w:color w:val="000000"/>
        </w:rPr>
        <w:t>”</w:t>
      </w:r>
      <w:bookmarkEnd w:id="22"/>
    </w:p>
    <w:p w14:paraId="62716CEB" w14:textId="77777777" w:rsidR="001423CC" w:rsidRDefault="001423CC">
      <w:pPr>
        <w:widowControl w:val="0"/>
        <w:pBdr>
          <w:top w:val="single" w:sz="2" w:space="0" w:color="FFFFFF" w:shadow="1"/>
          <w:left w:val="single" w:sz="2" w:space="0" w:color="FFFFFF" w:shadow="1"/>
          <w:bottom w:val="single" w:sz="2" w:space="0" w:color="FFFFFF" w:shadow="1"/>
          <w:right w:val="single" w:sz="2" w:space="0" w:color="FFFFFF" w:shadow="1"/>
        </w:pBdr>
        <w:spacing w:line="240" w:lineRule="auto"/>
        <w:rPr>
          <w:rFonts w:ascii="Noto Sans" w:eastAsia="LegacySanITCBoo" w:hAnsi="Noto Sans" w:cs="Noto Sans"/>
          <w:i/>
          <w:color w:val="000000"/>
          <w:lang w:val="es-ES"/>
        </w:rPr>
      </w:pPr>
    </w:p>
    <w:p w14:paraId="346C52AE" w14:textId="77777777" w:rsidR="001423CC" w:rsidRDefault="0054044C">
      <w:pPr>
        <w:pStyle w:val="ListParagraph"/>
        <w:widowControl w:val="0"/>
        <w:numPr>
          <w:ilvl w:val="0"/>
          <w:numId w:val="1"/>
        </w:numPr>
        <w:pBdr>
          <w:top w:val="single" w:sz="2" w:space="0" w:color="FFFFFF" w:shadow="1"/>
          <w:left w:val="single" w:sz="2" w:space="0" w:color="FFFFFF" w:shadow="1"/>
          <w:bottom w:val="single" w:sz="2" w:space="0" w:color="FFFFFF" w:shadow="1"/>
          <w:right w:val="single" w:sz="2" w:space="0" w:color="FFFFFF" w:shadow="1"/>
        </w:pBdr>
        <w:spacing w:line="240" w:lineRule="auto"/>
        <w:ind w:left="426" w:hanging="426"/>
      </w:pPr>
      <w:r>
        <w:rPr>
          <w:rFonts w:ascii="Noto Sans" w:hAnsi="Noto Sans"/>
          <w:b/>
          <w:color w:val="000000"/>
        </w:rPr>
        <w:t>W art. 13 „Automaty do gier” dodaje się ust. 6 i 7, który ma następujące brzmienie:</w:t>
      </w:r>
    </w:p>
    <w:p w14:paraId="3AACB8D9" w14:textId="77777777" w:rsidR="001423CC" w:rsidRDefault="0054044C">
      <w:pPr>
        <w:widowControl w:val="0"/>
        <w:pBdr>
          <w:top w:val="single" w:sz="2" w:space="0" w:color="FFFFFF" w:shadow="1"/>
          <w:left w:val="single" w:sz="2" w:space="0" w:color="FFFFFF" w:shadow="1"/>
          <w:bottom w:val="single" w:sz="2" w:space="0" w:color="FFFFFF" w:shadow="1"/>
          <w:right w:val="single" w:sz="2" w:space="0" w:color="FFFFFF" w:shadow="1"/>
        </w:pBdr>
        <w:spacing w:line="240" w:lineRule="auto"/>
        <w:ind w:left="426"/>
      </w:pPr>
      <w:bookmarkStart w:id="23" w:name="_Hlk104459146"/>
      <w:r>
        <w:rPr>
          <w:rFonts w:ascii="Noto Sans" w:hAnsi="Noto Sans"/>
          <w:color w:val="000000"/>
        </w:rPr>
        <w:t>„6. Automaty typu B i inne elementy do korzystania z gier zainstalowane w obiektach hotelarskich i podobnych obiektach będą wyświetlać ekran przed użyciem maszyny, w którym użytkownik musi odpowiedzieć na szereg pytań związanych z wiekiem i odpowiedzialnością związaną z uprawianiem hazardu, gdzie po udzieleniu obowiązkowych odpowiedzi, w zależności od tego, gra automatycznie rozpocznie się lub zostanie anulowana. Podczas gdy żaden klient w obiekcie nie korzysta z automatu do gry typu B, pozostanie on bez żadnych sygnałów dźwiękowych lub świetlnych, z wyjątkiem drukowanej wiadomości informującej o bezpiecznym środowisku gier i gier hazardowych.</w:t>
      </w:r>
    </w:p>
    <w:p w14:paraId="0F3C3C4B" w14:textId="77777777" w:rsidR="001423CC" w:rsidRDefault="0054044C">
      <w:pPr>
        <w:spacing w:line="240" w:lineRule="auto"/>
        <w:ind w:left="426"/>
      </w:pPr>
      <w:r>
        <w:rPr>
          <w:rFonts w:ascii="Noto Sans" w:hAnsi="Noto Sans"/>
          <w:color w:val="000000"/>
        </w:rPr>
        <w:t>7. Modele automatów do gier typu B, których użytkowanie wiąże się z obrazami, wiadomościami lub przedmiotami mogącymi wyrządzić szkodę dzieciom i młodzieży, które bezpośrednio lub pośrednio są sprzeczne z obowiązującym porządkiem prawnym, a w szczególności stymulują przemoc i działalność przestępczą lub wszelkie formy dyskryminacji, a także zawierają elementy rasistowskie, seksistowskie lub pornograficzne, nie mogą zostać zatwierdzone. Przez elementy rasistowskie, seksistowskie lub pornograficzne w rozumieniu niniejszej ustawy rozumie się takie, które eksponują lub zachęcają do obraźliwego eksponowania rasy, koloru skóry, pochodzenia etnicznego lub narodowego, ciała kobiet i osób nieletnich, a także wszelkie inne elementy graficzne, typograficzne lub dźwiękowe, które nawołują do przemocy i działań przestępczych lub jakiejkolwiek formy dyskryminacji.</w:t>
      </w:r>
      <w:bookmarkEnd w:id="23"/>
      <w:r>
        <w:rPr>
          <w:rFonts w:ascii="Noto Sans" w:hAnsi="Noto Sans"/>
          <w:color w:val="000000"/>
        </w:rPr>
        <w:t>”</w:t>
      </w:r>
    </w:p>
    <w:p w14:paraId="14E1CC76" w14:textId="77777777" w:rsidR="001423CC" w:rsidRDefault="001423CC">
      <w:pPr>
        <w:pBdr>
          <w:top w:val="single" w:sz="2" w:space="0" w:color="FFFFFF" w:shadow="1"/>
          <w:left w:val="single" w:sz="2" w:space="0" w:color="FFFFFF" w:shadow="1"/>
          <w:bottom w:val="single" w:sz="2" w:space="0" w:color="FFFFFF" w:shadow="1"/>
          <w:right w:val="single" w:sz="2" w:space="0" w:color="FFFFFF" w:shadow="1"/>
        </w:pBdr>
        <w:spacing w:before="280" w:line="240" w:lineRule="auto"/>
        <w:rPr>
          <w:rFonts w:ascii="Noto Sans" w:eastAsia="LegacySanITCBoo" w:hAnsi="Noto Sans" w:cs="Noto Sans"/>
          <w:color w:val="000000"/>
          <w:lang w:val="es-ES"/>
        </w:rPr>
      </w:pPr>
    </w:p>
    <w:p w14:paraId="356D7BB9" w14:textId="77777777" w:rsidR="001423CC" w:rsidRDefault="0054044C">
      <w:pPr>
        <w:pStyle w:val="ListParagraph"/>
        <w:numPr>
          <w:ilvl w:val="0"/>
          <w:numId w:val="1"/>
        </w:numPr>
        <w:pBdr>
          <w:top w:val="single" w:sz="2" w:space="0" w:color="FFFFFF" w:shadow="1"/>
          <w:left w:val="single" w:sz="2" w:space="0" w:color="FFFFFF" w:shadow="1"/>
          <w:bottom w:val="single" w:sz="2" w:space="0" w:color="FFFFFF" w:shadow="1"/>
          <w:right w:val="single" w:sz="2" w:space="0" w:color="FFFFFF" w:shadow="1"/>
        </w:pBdr>
        <w:spacing w:before="280" w:line="240" w:lineRule="auto"/>
        <w:ind w:left="426" w:hanging="426"/>
      </w:pPr>
      <w:r>
        <w:rPr>
          <w:rFonts w:ascii="Noto Sans" w:hAnsi="Noto Sans"/>
          <w:b/>
          <w:color w:val="000000"/>
        </w:rPr>
        <w:t>W art. 28 dotyczącym „bardzo poważnych naruszeń” wprowadza się następujące zmiany:</w:t>
      </w:r>
    </w:p>
    <w:p w14:paraId="44302C2B" w14:textId="77777777" w:rsidR="001423CC" w:rsidRDefault="0054044C">
      <w:pPr>
        <w:spacing w:line="240" w:lineRule="auto"/>
        <w:ind w:left="426"/>
      </w:pPr>
      <w:r>
        <w:rPr>
          <w:rFonts w:ascii="Noto Sans" w:hAnsi="Noto Sans"/>
          <w:color w:val="000000"/>
        </w:rPr>
        <w:t>„Art. 28. Bardzo poważne naruszenia.</w:t>
      </w:r>
    </w:p>
    <w:p w14:paraId="071B3DCC" w14:textId="77777777" w:rsidR="001423CC" w:rsidRDefault="0054044C">
      <w:pPr>
        <w:spacing w:line="240" w:lineRule="auto"/>
        <w:ind w:left="426"/>
        <w:rPr>
          <w:rFonts w:ascii="Noto Sans" w:hAnsi="Noto Sans" w:cs="Noto Sans"/>
          <w:iCs/>
          <w:color w:val="000000"/>
        </w:rPr>
      </w:pPr>
      <w:r>
        <w:rPr>
          <w:rFonts w:ascii="Noto Sans" w:hAnsi="Noto Sans"/>
          <w:color w:val="000000"/>
        </w:rPr>
        <w:t>Następujące naruszenia stanowią bardzo poważne naruszenia:</w:t>
      </w:r>
    </w:p>
    <w:p w14:paraId="3B1E7C39" w14:textId="77777777" w:rsidR="001423CC" w:rsidRDefault="0054044C">
      <w:pPr>
        <w:spacing w:line="240" w:lineRule="auto"/>
        <w:ind w:left="426"/>
        <w:rPr>
          <w:rFonts w:ascii="Noto Sans" w:hAnsi="Noto Sans" w:cs="Noto Sans"/>
          <w:iCs/>
          <w:color w:val="000000"/>
        </w:rPr>
      </w:pPr>
      <w:r>
        <w:rPr>
          <w:rFonts w:ascii="Noto Sans" w:hAnsi="Noto Sans"/>
          <w:color w:val="000000"/>
        </w:rPr>
        <w:t xml:space="preserve">1. Organizowanie, instalowanie, zarządzanie, prowadzenie gier hazardowych i zakładów oraz zezwalanie na te działania, bez uzyskania odpowiedniego zezwolenia administracyjnego, oraz posiadanie ich poza obiektami lub lokalami dozwolonymi lub na warunkach innych niż te, na które uzyskano zezwolenie, lub przy użyciu środków, trybów lub form, które nie są dozwolone </w:t>
      </w:r>
      <w:r>
        <w:rPr>
          <w:rFonts w:ascii="Noto Sans" w:hAnsi="Noto Sans"/>
          <w:color w:val="000000"/>
        </w:rPr>
        <w:lastRenderedPageBreak/>
        <w:t>lub które są zakazane w szczególnych przepisach dotyczących różnych rodzajów działalności hazardowej.</w:t>
      </w:r>
    </w:p>
    <w:p w14:paraId="1B906AA1" w14:textId="77777777" w:rsidR="001423CC" w:rsidRDefault="0054044C">
      <w:pPr>
        <w:spacing w:line="240" w:lineRule="auto"/>
        <w:ind w:left="426"/>
        <w:rPr>
          <w:rFonts w:ascii="Noto Sans" w:hAnsi="Noto Sans" w:cs="Noto Sans"/>
          <w:iCs/>
          <w:color w:val="000000"/>
        </w:rPr>
      </w:pPr>
      <w:r>
        <w:rPr>
          <w:rFonts w:ascii="Noto Sans" w:hAnsi="Noto Sans"/>
          <w:color w:val="000000"/>
        </w:rPr>
        <w:t>2. Wytwarzanie, wprowadzanie do obrotu lub prowadzenie gier hazardowych z naruszeniem obowiązujących przepisów i korzystanie z niezatwierdzonych materiałów hazardowych lub z wyraźnie zabronionymi elementami, wiadomościami lub treściami oraz nieuczciwe zastępowanie lub manipulowanie materiałami hazardowymi.</w:t>
      </w:r>
    </w:p>
    <w:p w14:paraId="0E5766C0" w14:textId="77777777" w:rsidR="001423CC" w:rsidRDefault="0054044C">
      <w:pPr>
        <w:spacing w:line="240" w:lineRule="auto"/>
        <w:ind w:left="426"/>
        <w:rPr>
          <w:rFonts w:ascii="Noto Sans" w:hAnsi="Noto Sans" w:cs="Noto Sans"/>
          <w:iCs/>
          <w:color w:val="000000"/>
        </w:rPr>
      </w:pPr>
      <w:r>
        <w:rPr>
          <w:rFonts w:ascii="Noto Sans" w:hAnsi="Noto Sans"/>
          <w:color w:val="000000"/>
        </w:rPr>
        <w:t>3. Wykorzystywanie lub dostarczanie danych, które są nieprawdziwe lub fałszywe lub sfałszowane, w celu uzyskania zezwoleń, upoważnień i rejestracji lub w celu spełnienia wymagań właściwych organów w zakresie gier hazardowych.</w:t>
      </w:r>
    </w:p>
    <w:p w14:paraId="4A0D996F" w14:textId="77777777" w:rsidR="001423CC" w:rsidRDefault="0054044C">
      <w:pPr>
        <w:spacing w:line="240" w:lineRule="auto"/>
        <w:ind w:left="426"/>
        <w:rPr>
          <w:rFonts w:ascii="Noto Sans" w:hAnsi="Noto Sans" w:cs="Noto Sans"/>
          <w:iCs/>
          <w:color w:val="000000"/>
        </w:rPr>
      </w:pPr>
      <w:r>
        <w:rPr>
          <w:rFonts w:ascii="Noto Sans" w:hAnsi="Noto Sans"/>
          <w:color w:val="000000"/>
        </w:rPr>
        <w:t>4. Przekazywanie lub przydzielanie wydanych koncesji z naruszeniem warunków lub wymagań określonych w niniejszej ustawie i innych rozporządzeniach wykonawczych lub uzupełniających.</w:t>
      </w:r>
    </w:p>
    <w:p w14:paraId="06C40E52" w14:textId="77777777" w:rsidR="001423CC" w:rsidRDefault="0054044C">
      <w:pPr>
        <w:spacing w:line="240" w:lineRule="auto"/>
        <w:ind w:left="426"/>
        <w:rPr>
          <w:rFonts w:ascii="Noto Sans" w:hAnsi="Noto Sans" w:cs="Noto Sans"/>
          <w:iCs/>
          <w:color w:val="000000"/>
        </w:rPr>
      </w:pPr>
      <w:r>
        <w:rPr>
          <w:rFonts w:ascii="Noto Sans" w:hAnsi="Noto Sans"/>
          <w:color w:val="000000"/>
        </w:rPr>
        <w:t>5. Uczestniczenie bezpośrednio jako gracz lub za pośrednictwem osób trzecich, pracowników zatrudnionych, właścicieli, pracowników szczebla kierowniczego, udziałowców lub akcjonariuszy spółek zajmujących się zarządzaniem, organizacją i eksploatacją gier hazardowych, a także ich małżonków, wstępnych i zstępnych do pierwszego stopnia pokrewieństwa, w grach hazardowych zarządzanych lub prowadzonych przez te firmy.</w:t>
      </w:r>
    </w:p>
    <w:p w14:paraId="2A660ED8" w14:textId="77777777" w:rsidR="001423CC" w:rsidRDefault="0054044C">
      <w:pPr>
        <w:spacing w:line="240" w:lineRule="auto"/>
        <w:ind w:left="426"/>
        <w:rPr>
          <w:rFonts w:ascii="Noto Sans" w:hAnsi="Noto Sans" w:cs="Noto Sans"/>
          <w:iCs/>
          <w:color w:val="000000"/>
        </w:rPr>
      </w:pPr>
      <w:r>
        <w:rPr>
          <w:rFonts w:ascii="Noto Sans" w:hAnsi="Noto Sans"/>
          <w:color w:val="000000"/>
        </w:rPr>
        <w:t>6. Przyjmowanie zakładów lub przyznawanie nagród, które przekraczają maksymalną dopuszczalną dla każdej działalności hazardowej.</w:t>
      </w:r>
    </w:p>
    <w:p w14:paraId="28545102" w14:textId="77777777" w:rsidR="001423CC" w:rsidRDefault="0054044C">
      <w:pPr>
        <w:spacing w:line="240" w:lineRule="auto"/>
        <w:ind w:left="426"/>
        <w:rPr>
          <w:rFonts w:ascii="Noto Sans" w:hAnsi="Noto Sans" w:cs="Noto Sans"/>
          <w:iCs/>
          <w:color w:val="000000"/>
        </w:rPr>
      </w:pPr>
      <w:r>
        <w:rPr>
          <w:rFonts w:ascii="Noto Sans" w:hAnsi="Noto Sans"/>
          <w:color w:val="000000"/>
        </w:rPr>
        <w:t>7. Brak zapłaty, w całości lub w części, kwoty wygranej jako nagrody przez graczy lub obstawiających.</w:t>
      </w:r>
    </w:p>
    <w:p w14:paraId="45B479B7" w14:textId="77777777" w:rsidR="001423CC" w:rsidRDefault="0054044C">
      <w:pPr>
        <w:spacing w:line="240" w:lineRule="auto"/>
        <w:ind w:left="426"/>
        <w:rPr>
          <w:rFonts w:ascii="Noto Sans" w:hAnsi="Noto Sans" w:cs="Noto Sans"/>
          <w:iCs/>
          <w:color w:val="000000"/>
        </w:rPr>
      </w:pPr>
      <w:r>
        <w:rPr>
          <w:rFonts w:ascii="Noto Sans" w:hAnsi="Noto Sans"/>
          <w:color w:val="000000"/>
        </w:rPr>
        <w:t>8. Używanie żetonów, kart, kuponów lub innych przedmiotów do gry, które są fałszywe.</w:t>
      </w:r>
    </w:p>
    <w:p w14:paraId="37AE3FF7" w14:textId="77777777" w:rsidR="001423CC" w:rsidRDefault="0054044C">
      <w:pPr>
        <w:spacing w:line="240" w:lineRule="auto"/>
        <w:ind w:left="426"/>
        <w:rPr>
          <w:rFonts w:ascii="Noto Sans" w:hAnsi="Noto Sans" w:cs="Noto Sans"/>
          <w:iCs/>
          <w:color w:val="000000"/>
        </w:rPr>
      </w:pPr>
      <w:r>
        <w:rPr>
          <w:rFonts w:ascii="Noto Sans" w:hAnsi="Noto Sans"/>
          <w:color w:val="000000"/>
        </w:rPr>
        <w:t>9. Sprzedaż kart bingo, kuponów do gry lub kart, zakładów, loterii lub losowań, za cenę inną niż cena zatwierdzona.</w:t>
      </w:r>
    </w:p>
    <w:p w14:paraId="32D8C272" w14:textId="77777777" w:rsidR="001423CC" w:rsidRDefault="0054044C">
      <w:pPr>
        <w:spacing w:line="240" w:lineRule="auto"/>
        <w:ind w:left="426"/>
        <w:rPr>
          <w:rFonts w:ascii="Noto Sans" w:hAnsi="Noto Sans" w:cs="Noto Sans"/>
          <w:iCs/>
          <w:color w:val="000000"/>
        </w:rPr>
      </w:pPr>
      <w:r>
        <w:rPr>
          <w:rFonts w:ascii="Noto Sans" w:hAnsi="Noto Sans"/>
          <w:color w:val="000000"/>
        </w:rPr>
        <w:t>10. Niefunkcjonującego lub niewłaściwego funkcjonowania systemu przyjmowania i kontroli oraz braku personelu do kontroli przyjęcia, a także braku aktualizacji rejestru osób wykluczonych z dostępu do gier hazardowych, na warunkach przewidzianych w niniejszej ustawie i rozporządzeniach wykonawczych.</w:t>
      </w:r>
    </w:p>
    <w:p w14:paraId="40A84F7A" w14:textId="77777777" w:rsidR="001423CC" w:rsidRDefault="0054044C">
      <w:pPr>
        <w:spacing w:line="240" w:lineRule="auto"/>
        <w:ind w:left="426"/>
        <w:rPr>
          <w:rFonts w:ascii="Noto Sans" w:hAnsi="Noto Sans" w:cs="Noto Sans"/>
          <w:iCs/>
          <w:color w:val="000000"/>
        </w:rPr>
      </w:pPr>
      <w:r>
        <w:rPr>
          <w:rFonts w:ascii="Noto Sans" w:hAnsi="Noto Sans"/>
          <w:color w:val="000000"/>
        </w:rPr>
        <w:t>11. Zezwalanie na gry hazardowe i dostęp do posiadających zezwolenie obiektów oferujących usługi hazardowe osobom, które nie mają dostępu na mocy niniejszej ustawy i jej rozporządzeń wykonawczych.</w:t>
      </w:r>
    </w:p>
    <w:p w14:paraId="13FDE0C7" w14:textId="77777777" w:rsidR="001423CC" w:rsidRDefault="0054044C">
      <w:pPr>
        <w:spacing w:line="240" w:lineRule="auto"/>
        <w:ind w:left="426"/>
        <w:rPr>
          <w:rFonts w:ascii="Noto Sans" w:hAnsi="Noto Sans" w:cs="Noto Sans"/>
          <w:iCs/>
          <w:color w:val="000000"/>
        </w:rPr>
      </w:pPr>
      <w:r>
        <w:rPr>
          <w:rFonts w:ascii="Noto Sans" w:hAnsi="Noto Sans"/>
          <w:color w:val="000000"/>
        </w:rPr>
        <w:lastRenderedPageBreak/>
        <w:t>12. Brak specjalnego systemu kontroli i nadzoru w celu kontroli dostępu do wszelkich obiektów lub obszarów oferujących usługi hazardowe oraz do kanałów oferujących usługi hazardowe za pomocą środków elektronicznych, komputerowych, telematycznych lub interaktywnych, zgodnie z wymogami niniejszej ustawy lub rozporządzeń wykonawczych.</w:t>
      </w:r>
    </w:p>
    <w:p w14:paraId="0DA4E386" w14:textId="77777777" w:rsidR="001423CC" w:rsidRDefault="0054044C">
      <w:pPr>
        <w:spacing w:line="240" w:lineRule="auto"/>
        <w:ind w:left="426"/>
        <w:rPr>
          <w:rFonts w:ascii="Noto Sans" w:hAnsi="Noto Sans" w:cs="Noto Sans"/>
          <w:iCs/>
          <w:color w:val="000000"/>
        </w:rPr>
      </w:pPr>
      <w:r>
        <w:rPr>
          <w:rFonts w:ascii="Noto Sans" w:hAnsi="Noto Sans"/>
          <w:color w:val="000000"/>
        </w:rPr>
        <w:t>13. Jednostronną zmianę któregokolwiek z zasadniczych warunków udzielania wymaganych zezwoleń lub, w stosownych przypadkach, zmianę treści odpowiedzialnego oświadczenia lub deklaracji.</w:t>
      </w:r>
    </w:p>
    <w:p w14:paraId="09B94C1F" w14:textId="77777777" w:rsidR="001423CC" w:rsidRDefault="0054044C">
      <w:pPr>
        <w:spacing w:line="240" w:lineRule="auto"/>
        <w:ind w:left="426"/>
        <w:rPr>
          <w:rFonts w:ascii="Noto Sans" w:hAnsi="Noto Sans" w:cs="Noto Sans"/>
          <w:iCs/>
          <w:color w:val="000000"/>
        </w:rPr>
      </w:pPr>
      <w:r>
        <w:rPr>
          <w:rFonts w:ascii="Noto Sans" w:hAnsi="Noto Sans"/>
          <w:color w:val="000000"/>
        </w:rPr>
        <w:t>14. Naruszenie warunków wymaganych przez obowiązujące przepisy, na podstawie których wydano obowiązkowe zezwolenia.</w:t>
      </w:r>
    </w:p>
    <w:p w14:paraId="24A9FCD5" w14:textId="77777777" w:rsidR="001423CC" w:rsidRDefault="0054044C">
      <w:pPr>
        <w:spacing w:line="240" w:lineRule="auto"/>
        <w:ind w:left="426"/>
        <w:rPr>
          <w:rFonts w:ascii="Noto Sans" w:hAnsi="Noto Sans" w:cs="Noto Sans"/>
          <w:iCs/>
          <w:color w:val="000000"/>
        </w:rPr>
      </w:pPr>
      <w:r>
        <w:rPr>
          <w:rFonts w:ascii="Noto Sans" w:hAnsi="Noto Sans"/>
          <w:color w:val="000000"/>
        </w:rPr>
        <w:t>15. Udzielanie pożyczek lub kredytów, bezpośrednio lub za pośrednictwem osób trzecich, graczom lub obstawiającym, w miejscach, w których odbywają się gry hazardowe, przez właścicieli lub pracowników firm organizujących lub prowadzących działalność hazardową lub obiektu oraz ich małżonków, wstępnych i zstępnych do pierwszego stopnia pokrewieństwa.</w:t>
      </w:r>
    </w:p>
    <w:p w14:paraId="28553A5E" w14:textId="77777777" w:rsidR="001423CC" w:rsidRDefault="0054044C">
      <w:pPr>
        <w:spacing w:line="240" w:lineRule="auto"/>
        <w:ind w:left="426"/>
        <w:rPr>
          <w:rFonts w:ascii="Noto Sans" w:hAnsi="Noto Sans" w:cs="Noto Sans"/>
          <w:iCs/>
          <w:color w:val="000000"/>
        </w:rPr>
      </w:pPr>
      <w:r>
        <w:rPr>
          <w:rFonts w:ascii="Noto Sans" w:hAnsi="Noto Sans"/>
          <w:color w:val="000000"/>
        </w:rPr>
        <w:t>16. Utrudnianie lub zapobieganie wykonywaniu zadań w zakresie kontroli i nadzoru w przypadku inspekcji.</w:t>
      </w:r>
    </w:p>
    <w:p w14:paraId="68ACEA75" w14:textId="77777777" w:rsidR="001423CC" w:rsidRDefault="0054044C">
      <w:pPr>
        <w:spacing w:line="240" w:lineRule="auto"/>
        <w:ind w:left="426"/>
        <w:rPr>
          <w:rFonts w:ascii="Noto Sans" w:hAnsi="Noto Sans" w:cs="Noto Sans"/>
          <w:iCs/>
          <w:color w:val="000000"/>
        </w:rPr>
      </w:pPr>
      <w:r>
        <w:rPr>
          <w:rFonts w:ascii="Noto Sans" w:hAnsi="Noto Sans"/>
          <w:color w:val="000000"/>
        </w:rPr>
        <w:t>17. Reklamowanie gier hazardowych i zakładów lub obiektów, w których mają one miejsce, bez odpowiedniego upoważnienia, z naruszeniem obowiązujących przepisów lub poza określonymi w nich ograniczeniami.</w:t>
      </w:r>
    </w:p>
    <w:p w14:paraId="4CAB8131" w14:textId="77777777" w:rsidR="001423CC" w:rsidRDefault="0054044C">
      <w:pPr>
        <w:spacing w:line="240" w:lineRule="auto"/>
        <w:ind w:left="426"/>
        <w:rPr>
          <w:rFonts w:ascii="Noto Sans" w:hAnsi="Noto Sans" w:cs="Noto Sans"/>
          <w:iCs/>
          <w:color w:val="000000"/>
        </w:rPr>
      </w:pPr>
      <w:r>
        <w:rPr>
          <w:rFonts w:ascii="Noto Sans" w:hAnsi="Noto Sans"/>
          <w:color w:val="000000"/>
        </w:rPr>
        <w:t>18. Stosowanie przymusu lub zastraszania graczy w przypadku skargi lub roszczenia.</w:t>
      </w:r>
    </w:p>
    <w:p w14:paraId="6A8803D9" w14:textId="77777777" w:rsidR="001423CC" w:rsidRDefault="0054044C">
      <w:pPr>
        <w:spacing w:line="240" w:lineRule="auto"/>
        <w:ind w:left="426"/>
        <w:rPr>
          <w:rFonts w:ascii="Noto Sans" w:hAnsi="Noto Sans" w:cs="Noto Sans"/>
          <w:iCs/>
          <w:color w:val="000000"/>
        </w:rPr>
      </w:pPr>
      <w:r>
        <w:rPr>
          <w:rFonts w:ascii="Noto Sans" w:hAnsi="Noto Sans"/>
          <w:color w:val="000000"/>
        </w:rPr>
        <w:t>19. Prowadzenie prac remontowych w różnych obiektach oferujących usługi hazardowe bez uzyskania uprzedniej zgody administracyjnej, przy jej uzyskaniu jest obowiązkowe zgodnie z obowiązującymi przepisami.</w:t>
      </w:r>
    </w:p>
    <w:p w14:paraId="7F088DDF" w14:textId="77777777" w:rsidR="001423CC" w:rsidRDefault="0054044C">
      <w:pPr>
        <w:spacing w:line="240" w:lineRule="auto"/>
        <w:ind w:left="426"/>
      </w:pPr>
      <w:r>
        <w:rPr>
          <w:rFonts w:ascii="Noto Sans" w:hAnsi="Noto Sans"/>
          <w:color w:val="000000"/>
        </w:rPr>
        <w:t>20. Instalowanie i eksploatacja automatów z nagrodami typu B i C lub dodatkowych automatów do obstawiania zakładów bez obowiązującego pozwolenia na użytkowanie lub bez należycie zarejestrowanego dokumentu lokalizacyjnego lub ich wzajemnych połączeń bez zezwolenia lub posiadanie szereg innych automatów niż te, na które uzyskano zezwolenie.”</w:t>
      </w:r>
    </w:p>
    <w:p w14:paraId="06378F63" w14:textId="77777777" w:rsidR="001423CC" w:rsidRDefault="001423CC">
      <w:pPr>
        <w:spacing w:line="240" w:lineRule="auto"/>
        <w:rPr>
          <w:rFonts w:ascii="Noto Sans" w:hAnsi="Noto Sans" w:cs="Noto Sans"/>
          <w:iCs/>
          <w:color w:val="000000"/>
          <w:lang w:val="es-ES"/>
        </w:rPr>
      </w:pPr>
    </w:p>
    <w:p w14:paraId="1C8487AF" w14:textId="77777777" w:rsidR="001423CC" w:rsidRDefault="0054044C">
      <w:pPr>
        <w:pStyle w:val="ListParagraph"/>
        <w:numPr>
          <w:ilvl w:val="0"/>
          <w:numId w:val="1"/>
        </w:numPr>
        <w:spacing w:line="240" w:lineRule="auto"/>
        <w:ind w:left="426" w:hanging="426"/>
      </w:pPr>
      <w:r>
        <w:rPr>
          <w:rFonts w:ascii="Noto Sans" w:hAnsi="Noto Sans"/>
          <w:b/>
          <w:color w:val="000000"/>
        </w:rPr>
        <w:t>Artykuł 29 dotyczący „poważnych naruszeń” został zmieniony i otrzymał następujące brzmienie:</w:t>
      </w:r>
    </w:p>
    <w:p w14:paraId="2355F953" w14:textId="77777777" w:rsidR="001423CC" w:rsidRDefault="0054044C">
      <w:pPr>
        <w:spacing w:line="240" w:lineRule="auto"/>
        <w:ind w:left="426"/>
      </w:pPr>
      <w:r>
        <w:rPr>
          <w:rFonts w:ascii="Noto Sans" w:hAnsi="Noto Sans"/>
          <w:color w:val="000000"/>
        </w:rPr>
        <w:t>„Art. 29. Poważne naruszenia.</w:t>
      </w:r>
    </w:p>
    <w:p w14:paraId="344ABA32" w14:textId="77777777" w:rsidR="001423CC" w:rsidRDefault="0054044C">
      <w:pPr>
        <w:spacing w:line="240" w:lineRule="auto"/>
        <w:ind w:left="426"/>
        <w:rPr>
          <w:rFonts w:ascii="Noto Sans" w:hAnsi="Noto Sans" w:cs="Noto Sans"/>
          <w:iCs/>
          <w:color w:val="000000"/>
        </w:rPr>
      </w:pPr>
      <w:r>
        <w:rPr>
          <w:rFonts w:ascii="Noto Sans" w:hAnsi="Noto Sans"/>
          <w:color w:val="000000"/>
        </w:rPr>
        <w:t>Następujące naruszenia stanowią poważne naruszenie:</w:t>
      </w:r>
    </w:p>
    <w:p w14:paraId="31D5F039" w14:textId="77777777" w:rsidR="001423CC" w:rsidRDefault="0054044C">
      <w:pPr>
        <w:spacing w:line="240" w:lineRule="auto"/>
        <w:ind w:left="426"/>
        <w:rPr>
          <w:rFonts w:ascii="Noto Sans" w:hAnsi="Noto Sans" w:cs="Noto Sans"/>
          <w:iCs/>
          <w:color w:val="000000"/>
        </w:rPr>
      </w:pPr>
      <w:r>
        <w:rPr>
          <w:rFonts w:ascii="Noto Sans" w:hAnsi="Noto Sans"/>
          <w:color w:val="000000"/>
        </w:rPr>
        <w:lastRenderedPageBreak/>
        <w:t>1. Nieumieszczenie w obiekcie oferującym usługi hazardowe, a także na automatach, na które uzyskano zezwolenie dokumentu poświadczającego upoważnienie ustanowione niniejszą ustawą, a także wszelkich dokumentów sporządzonych zgodnie z przepisami i rozporządzeniami wykonawczymi.</w:t>
      </w:r>
    </w:p>
    <w:p w14:paraId="776D8F4C" w14:textId="77777777" w:rsidR="001423CC" w:rsidRDefault="0054044C">
      <w:pPr>
        <w:spacing w:line="240" w:lineRule="auto"/>
        <w:ind w:left="426"/>
        <w:rPr>
          <w:rFonts w:ascii="Noto Sans" w:hAnsi="Noto Sans" w:cs="Noto Sans"/>
          <w:iCs/>
          <w:color w:val="000000"/>
        </w:rPr>
      </w:pPr>
      <w:r>
        <w:rPr>
          <w:rFonts w:ascii="Noto Sans" w:hAnsi="Noto Sans"/>
          <w:color w:val="000000"/>
        </w:rPr>
        <w:t>2. Brak widocznego wskazania zakazującego dostępu nieletnim oraz wskazania ograniczeń i warunków dostępu na publicznych wejściach do obiektów oferujących usługi hazardowe lub na stronach głównych internetowych kanałów oferujących usługi hazardowe.</w:t>
      </w:r>
    </w:p>
    <w:p w14:paraId="411F5996" w14:textId="77777777" w:rsidR="001423CC" w:rsidRDefault="0054044C">
      <w:pPr>
        <w:spacing w:line="240" w:lineRule="auto"/>
        <w:ind w:left="426"/>
        <w:rPr>
          <w:rFonts w:ascii="Noto Sans" w:hAnsi="Noto Sans" w:cs="Noto Sans"/>
          <w:iCs/>
          <w:color w:val="000000"/>
        </w:rPr>
      </w:pPr>
      <w:r>
        <w:rPr>
          <w:rFonts w:ascii="Noto Sans" w:hAnsi="Noto Sans"/>
          <w:color w:val="000000"/>
        </w:rPr>
        <w:t>3. Nieposiadanie wymaganych formularzy reklamacyjnych, plików elektronicznych lub rejestrów księgowych wymaganych w odpowiednich przepisach dotyczących gier hazardowych lub ich nieprawidłowe przechowywanie.</w:t>
      </w:r>
    </w:p>
    <w:p w14:paraId="6ABC9672" w14:textId="77777777" w:rsidR="001423CC" w:rsidRDefault="0054044C">
      <w:pPr>
        <w:spacing w:line="240" w:lineRule="auto"/>
        <w:ind w:left="426"/>
        <w:rPr>
          <w:rFonts w:ascii="Noto Sans" w:hAnsi="Noto Sans" w:cs="Noto Sans"/>
          <w:iCs/>
          <w:color w:val="000000"/>
        </w:rPr>
      </w:pPr>
      <w:r>
        <w:rPr>
          <w:rFonts w:ascii="Noto Sans" w:hAnsi="Noto Sans"/>
          <w:color w:val="000000"/>
        </w:rPr>
        <w:t>4. Niewysyłanie lub niezgłaszanie w ustawowym terminie właściwym organom ds. gier hazardowych informacji i danych wymaganych na mocy obowiązujących przepisów.</w:t>
      </w:r>
    </w:p>
    <w:p w14:paraId="5FE49424" w14:textId="77777777" w:rsidR="001423CC" w:rsidRDefault="0054044C">
      <w:pPr>
        <w:spacing w:line="240" w:lineRule="auto"/>
        <w:ind w:left="426"/>
        <w:rPr>
          <w:rFonts w:ascii="Noto Sans" w:hAnsi="Noto Sans" w:cs="Noto Sans"/>
          <w:iCs/>
          <w:color w:val="000000"/>
        </w:rPr>
      </w:pPr>
      <w:r>
        <w:rPr>
          <w:rFonts w:ascii="Noto Sans" w:hAnsi="Noto Sans"/>
          <w:color w:val="000000"/>
        </w:rPr>
        <w:t>5. Posiadające automaty do gier typu B w publicznych obiektach hotelarskich i podobne bez zdalnych systemów aktywacji i dezaktywacji, aby zapobiec ich używaniu przez nieletnich, w celu utrzymania dezaktywacji takich automatów, bez emitowania sygnałów dźwiękowych, wizualnych lub świetlnych, gdy nie są używane.</w:t>
      </w:r>
    </w:p>
    <w:p w14:paraId="5F14052A" w14:textId="77777777" w:rsidR="001423CC" w:rsidRDefault="0054044C">
      <w:pPr>
        <w:spacing w:line="240" w:lineRule="auto"/>
        <w:ind w:left="426"/>
        <w:rPr>
          <w:rFonts w:ascii="Noto Sans" w:hAnsi="Noto Sans" w:cs="Noto Sans"/>
          <w:iCs/>
          <w:color w:val="000000"/>
        </w:rPr>
      </w:pPr>
      <w:r>
        <w:rPr>
          <w:rFonts w:ascii="Noto Sans" w:hAnsi="Noto Sans"/>
          <w:color w:val="000000"/>
        </w:rPr>
        <w:t>6. Brak fizycznego rozgraniczenia strefy barowej i strefy gier w obiektach, w których takie wytyczenie jest obowiązkowe, zgodnie z rozporządzeniami wykonawczymi do niniejszej ustawy; ponadto, modyfikowanie któregokolwiek z nich bez uprzedniego zezwolenia administracyjnego.</w:t>
      </w:r>
    </w:p>
    <w:p w14:paraId="1E16FF2A" w14:textId="77777777" w:rsidR="001423CC" w:rsidRDefault="0054044C">
      <w:pPr>
        <w:spacing w:line="240" w:lineRule="auto"/>
        <w:ind w:left="426"/>
        <w:rPr>
          <w:rFonts w:ascii="Noto Sans" w:hAnsi="Noto Sans" w:cs="Noto Sans"/>
          <w:iCs/>
          <w:color w:val="000000"/>
        </w:rPr>
      </w:pPr>
      <w:r>
        <w:rPr>
          <w:rFonts w:ascii="Noto Sans" w:hAnsi="Noto Sans"/>
          <w:color w:val="000000"/>
        </w:rPr>
        <w:t>7. Pozostawienie automatów do gier i dodatkowych automatów do obstawiania zakładów w stanie wyłączonym w czasie godzin dozwolonych dla obiektu, w którym są zainstalowane w przypadku gdy nie są uszkodzone. Nie ma to zastosowania w przypadku maszyn zainstalowanych w obiektach hotelarskich.</w:t>
      </w:r>
    </w:p>
    <w:p w14:paraId="7347BF1A" w14:textId="77777777" w:rsidR="001423CC" w:rsidRDefault="0054044C">
      <w:pPr>
        <w:spacing w:line="240" w:lineRule="auto"/>
        <w:ind w:left="426"/>
        <w:rPr>
          <w:rFonts w:ascii="Noto Sans" w:hAnsi="Noto Sans" w:cs="Noto Sans"/>
          <w:iCs/>
          <w:color w:val="000000"/>
        </w:rPr>
      </w:pPr>
      <w:r>
        <w:rPr>
          <w:rFonts w:ascii="Noto Sans" w:hAnsi="Noto Sans"/>
          <w:color w:val="000000"/>
        </w:rPr>
        <w:t>8. Instalowanie automatów do gier lub dodatkowych automatów do obstawiania zakładów w dowolnym obiekcie oferującym usługi hazardowe w sposób utrudniający przejście przez istniejące korytarze i drogi ewakuacyjne.</w:t>
      </w:r>
    </w:p>
    <w:p w14:paraId="227B4846" w14:textId="77777777" w:rsidR="001423CC" w:rsidRDefault="0054044C">
      <w:pPr>
        <w:spacing w:line="240" w:lineRule="auto"/>
        <w:ind w:left="426"/>
        <w:rPr>
          <w:rFonts w:ascii="Noto Sans" w:hAnsi="Noto Sans" w:cs="Noto Sans"/>
          <w:iCs/>
          <w:color w:val="000000"/>
        </w:rPr>
      </w:pPr>
      <w:r>
        <w:rPr>
          <w:rFonts w:ascii="Noto Sans" w:hAnsi="Noto Sans"/>
          <w:color w:val="000000"/>
        </w:rPr>
        <w:t>9. Usuwanie automatów do gier hazardowych i dodatkowych automatów do obstawiania zakładów bez uprzedniej zgody właściwego organu ds. gier hazardowych.</w:t>
      </w:r>
    </w:p>
    <w:p w14:paraId="6E907AC5" w14:textId="77777777" w:rsidR="001423CC" w:rsidRDefault="0054044C">
      <w:pPr>
        <w:spacing w:line="240" w:lineRule="auto"/>
        <w:ind w:left="426"/>
        <w:rPr>
          <w:rFonts w:ascii="Noto Sans" w:hAnsi="Noto Sans" w:cs="Noto Sans"/>
          <w:iCs/>
          <w:color w:val="000000"/>
        </w:rPr>
      </w:pPr>
      <w:r>
        <w:rPr>
          <w:rFonts w:ascii="Noto Sans" w:hAnsi="Noto Sans"/>
          <w:color w:val="000000"/>
        </w:rPr>
        <w:lastRenderedPageBreak/>
        <w:t>10. Zakłócenie porządku w salonach gier lub ogólnie, wszelkiego rodzaju nieprawidłowości popełnione przez graczy lub współpracowników podczas gry.</w:t>
      </w:r>
    </w:p>
    <w:p w14:paraId="37C2D380" w14:textId="77777777" w:rsidR="001423CC" w:rsidRDefault="0054044C">
      <w:pPr>
        <w:spacing w:line="240" w:lineRule="auto"/>
        <w:ind w:left="426"/>
      </w:pPr>
      <w:r>
        <w:rPr>
          <w:rFonts w:ascii="Noto Sans" w:hAnsi="Noto Sans"/>
          <w:color w:val="000000"/>
        </w:rPr>
        <w:t>11. Nieprzestrzeganie wymogów i warunków określonych w niniejszej ustawie, na zasadach określonych w niniejszej ustawie i w rozporządzeniach wykonawczych, pod warunkiem, że nie stanowią one bardzo poważnego naruszenia i nie spowodowały oszustwa w stosunku do użytkownika, korzyści dla osoby naruszającej przepisy lub szkody dla interesów Wspólnoty Autonomicznej Balearów.”</w:t>
      </w:r>
    </w:p>
    <w:p w14:paraId="483899C2" w14:textId="77777777" w:rsidR="001423CC" w:rsidRDefault="001423CC">
      <w:pPr>
        <w:spacing w:line="240" w:lineRule="auto"/>
        <w:rPr>
          <w:rFonts w:ascii="Noto Sans" w:hAnsi="Noto Sans" w:cs="Noto Sans"/>
          <w:iCs/>
          <w:color w:val="000000"/>
          <w:lang w:val="es-ES"/>
        </w:rPr>
      </w:pPr>
    </w:p>
    <w:p w14:paraId="3E6F9386" w14:textId="77777777" w:rsidR="001423CC" w:rsidRDefault="0054044C">
      <w:pPr>
        <w:pStyle w:val="ListParagraph"/>
        <w:numPr>
          <w:ilvl w:val="0"/>
          <w:numId w:val="1"/>
        </w:numPr>
        <w:spacing w:line="240" w:lineRule="auto"/>
        <w:ind w:left="426"/>
      </w:pPr>
      <w:r>
        <w:rPr>
          <w:rFonts w:ascii="Noto Sans" w:hAnsi="Noto Sans"/>
          <w:b/>
          <w:color w:val="000000"/>
        </w:rPr>
        <w:t>Artykuł 30 dotyczący „drobnych naruszeń” został zmieniony i otrzymał następujące brzmienie:</w:t>
      </w:r>
    </w:p>
    <w:p w14:paraId="597B52AC" w14:textId="77777777" w:rsidR="001423CC" w:rsidRDefault="0054044C">
      <w:pPr>
        <w:spacing w:line="240" w:lineRule="auto"/>
        <w:ind w:left="426"/>
      </w:pPr>
      <w:r>
        <w:rPr>
          <w:rFonts w:ascii="Noto Sans" w:hAnsi="Noto Sans"/>
          <w:color w:val="000000"/>
        </w:rPr>
        <w:t>„Art. 30. Drobne naruszenia</w:t>
      </w:r>
    </w:p>
    <w:p w14:paraId="6B1F65E6" w14:textId="77777777" w:rsidR="001423CC" w:rsidRDefault="0054044C">
      <w:pPr>
        <w:spacing w:line="240" w:lineRule="auto"/>
        <w:ind w:left="426"/>
        <w:rPr>
          <w:rFonts w:ascii="Noto Sans" w:hAnsi="Noto Sans" w:cs="Noto Sans"/>
          <w:iCs/>
          <w:color w:val="000000"/>
        </w:rPr>
      </w:pPr>
      <w:r>
        <w:rPr>
          <w:rFonts w:ascii="Noto Sans" w:hAnsi="Noto Sans"/>
          <w:color w:val="000000"/>
        </w:rPr>
        <w:t>Następujące naruszenia stanowią drobne naruszenie:</w:t>
      </w:r>
    </w:p>
    <w:p w14:paraId="2E952B75" w14:textId="77777777" w:rsidR="001423CC" w:rsidRDefault="0054044C">
      <w:pPr>
        <w:spacing w:line="240" w:lineRule="auto"/>
        <w:ind w:left="426"/>
        <w:rPr>
          <w:rFonts w:ascii="Noto Sans" w:hAnsi="Noto Sans" w:cs="Noto Sans"/>
          <w:iCs/>
          <w:color w:val="000000"/>
        </w:rPr>
      </w:pPr>
      <w:r>
        <w:rPr>
          <w:rFonts w:ascii="Noto Sans" w:hAnsi="Noto Sans"/>
          <w:color w:val="000000"/>
        </w:rPr>
        <w:t>1. Umieszczanie dokumentacji, która musi być wyświetlana na automacie w sposób utrudniający jej widoczność lub niepodjęcie niezbędnych środków w celu zapobieżenia jej zniszczeniu lub naruszeniu.</w:t>
      </w:r>
    </w:p>
    <w:p w14:paraId="2BB0E792" w14:textId="77777777" w:rsidR="001423CC" w:rsidRDefault="0054044C">
      <w:pPr>
        <w:spacing w:line="240" w:lineRule="auto"/>
        <w:ind w:left="426"/>
      </w:pPr>
      <w:r>
        <w:rPr>
          <w:rFonts w:ascii="Noto Sans" w:hAnsi="Noto Sans"/>
          <w:color w:val="000000"/>
        </w:rPr>
        <w:t>2. Wszelkie niestosowne zachowania wobec graczy lub obstawiających, zarówno podczas gry lub obstawiania, jak i w przypadku otrzymania od nich jakichkolwiek roszczeń lub skarg.”</w:t>
      </w:r>
    </w:p>
    <w:p w14:paraId="3CB08B21" w14:textId="77777777" w:rsidR="001423CC" w:rsidRDefault="001423CC">
      <w:pPr>
        <w:spacing w:line="240" w:lineRule="auto"/>
        <w:rPr>
          <w:rFonts w:ascii="Noto Sans" w:hAnsi="Noto Sans" w:cs="Noto Sans"/>
          <w:iCs/>
          <w:color w:val="000000"/>
          <w:lang w:val="es-ES"/>
        </w:rPr>
      </w:pPr>
    </w:p>
    <w:p w14:paraId="5BD64894" w14:textId="77777777" w:rsidR="001423CC" w:rsidRDefault="0054044C">
      <w:pPr>
        <w:pStyle w:val="ListParagraph"/>
        <w:numPr>
          <w:ilvl w:val="0"/>
          <w:numId w:val="1"/>
        </w:numPr>
        <w:spacing w:line="240" w:lineRule="auto"/>
        <w:ind w:left="426" w:hanging="426"/>
      </w:pPr>
      <w:r>
        <w:rPr>
          <w:rFonts w:ascii="Noto Sans" w:hAnsi="Noto Sans"/>
          <w:b/>
          <w:color w:val="000000"/>
        </w:rPr>
        <w:t>Artykuł 36 dotyczący „wygaśnięcia” otrzymuje następujące brzmienie:</w:t>
      </w:r>
    </w:p>
    <w:p w14:paraId="46AB3C91" w14:textId="77777777" w:rsidR="001423CC" w:rsidRDefault="0054044C">
      <w:pPr>
        <w:spacing w:line="240" w:lineRule="auto"/>
        <w:ind w:left="426"/>
      </w:pPr>
      <w:r>
        <w:rPr>
          <w:rFonts w:ascii="Noto Sans" w:hAnsi="Noto Sans"/>
          <w:color w:val="000000"/>
        </w:rPr>
        <w:t>„Art. 36. Wygaśnięcie</w:t>
      </w:r>
    </w:p>
    <w:p w14:paraId="323F689C" w14:textId="77777777" w:rsidR="001423CC" w:rsidRDefault="0054044C">
      <w:pPr>
        <w:spacing w:line="240" w:lineRule="auto"/>
        <w:ind w:left="426"/>
      </w:pPr>
      <w:r>
        <w:rPr>
          <w:rFonts w:ascii="Noto Sans" w:hAnsi="Noto Sans"/>
          <w:color w:val="000000"/>
        </w:rPr>
        <w:t>Maksymalny termin na uzgodnienie i powiadomienie o wszczęciu postępowania karnego wynosi rok od daty zatwierdzenia wszczęcia postępowania. Wygaśnięcie poprzedniego okresu bez wyraźnej decyzji i powiadomienia skutkuje wygaśnięciem postępowania, chyba że takie opóźnienie jest spowodowane, bezpośrednio lub pośrednio, działaniami lub zaniechaniami, które można przypisać zainteresowanym osobom; wszystko to bez uszczerbku dla uprawnienia administracji do ukarania takiego działania, jeżeli naruszenie nie jest przewidziane.”</w:t>
      </w:r>
    </w:p>
    <w:p w14:paraId="459CEBA8" w14:textId="77777777" w:rsidR="001423CC" w:rsidRDefault="001423CC">
      <w:pPr>
        <w:pBdr>
          <w:top w:val="single" w:sz="2" w:space="0" w:color="FFFFFF" w:shadow="1"/>
          <w:left w:val="single" w:sz="2" w:space="0" w:color="FFFFFF" w:shadow="1"/>
          <w:bottom w:val="single" w:sz="2" w:space="0" w:color="FFFFFF" w:shadow="1"/>
          <w:right w:val="single" w:sz="2" w:space="0" w:color="FFFFFF" w:shadow="1"/>
        </w:pBdr>
        <w:spacing w:before="280" w:line="240" w:lineRule="auto"/>
        <w:rPr>
          <w:rFonts w:ascii="Noto Sans" w:eastAsia="LegacySanITCBoo" w:hAnsi="Noto Sans" w:cs="Noto Sans"/>
          <w:i/>
          <w:color w:val="000000"/>
          <w:lang w:val="es-ES"/>
        </w:rPr>
      </w:pPr>
    </w:p>
    <w:p w14:paraId="300974B5" w14:textId="77777777" w:rsidR="001423CC" w:rsidRDefault="0054044C">
      <w:pPr>
        <w:pStyle w:val="ListParagraph"/>
        <w:numPr>
          <w:ilvl w:val="0"/>
          <w:numId w:val="1"/>
        </w:numPr>
        <w:pBdr>
          <w:top w:val="single" w:sz="2" w:space="0" w:color="FFFFFF" w:shadow="1"/>
          <w:left w:val="single" w:sz="2" w:space="0" w:color="FFFFFF" w:shadow="1"/>
          <w:bottom w:val="single" w:sz="2" w:space="0" w:color="FFFFFF" w:shadow="1"/>
          <w:right w:val="single" w:sz="2" w:space="0" w:color="FFFFFF" w:shadow="1"/>
        </w:pBdr>
        <w:spacing w:before="280" w:line="240" w:lineRule="auto"/>
        <w:ind w:left="426" w:hanging="426"/>
      </w:pPr>
      <w:r>
        <w:rPr>
          <w:rFonts w:ascii="Noto Sans" w:hAnsi="Noto Sans"/>
          <w:b/>
          <w:color w:val="000000"/>
        </w:rPr>
        <w:lastRenderedPageBreak/>
        <w:t>Dodaje się siódmy przepis dodatkowy dotyczący „planowania liczby obiektów oferujących usługi hazardowe i specjalnych punktów bukmacherskich”, którego brzmienie jest następujące:</w:t>
      </w:r>
    </w:p>
    <w:p w14:paraId="75CF1413" w14:textId="77777777" w:rsidR="001423CC" w:rsidRDefault="0054044C">
      <w:pPr>
        <w:pBdr>
          <w:top w:val="single" w:sz="2" w:space="0" w:color="FFFFFF" w:shadow="1"/>
          <w:left w:val="single" w:sz="2" w:space="0" w:color="FFFFFF" w:shadow="1"/>
          <w:bottom w:val="single" w:sz="2" w:space="0" w:color="FFFFFF" w:shadow="1"/>
          <w:right w:val="single" w:sz="2" w:space="0" w:color="FFFFFF" w:shadow="1"/>
        </w:pBdr>
        <w:spacing w:before="280" w:line="240" w:lineRule="auto"/>
        <w:ind w:left="426"/>
      </w:pPr>
      <w:r>
        <w:rPr>
          <w:rFonts w:ascii="Noto Sans" w:hAnsi="Noto Sans"/>
          <w:color w:val="000000"/>
        </w:rPr>
        <w:t>„Siódmy przepis dodatkowy. Planowanie liczby obiektów oferujących usługi hazardowe i specjalnych punktów bukmacherskich</w:t>
      </w:r>
    </w:p>
    <w:p w14:paraId="24421251" w14:textId="77777777" w:rsidR="001423CC" w:rsidRDefault="0054044C">
      <w:pPr>
        <w:pBdr>
          <w:top w:val="single" w:sz="2" w:space="0" w:color="FFFFFF" w:shadow="1"/>
          <w:left w:val="single" w:sz="2" w:space="0" w:color="FFFFFF" w:shadow="1"/>
          <w:bottom w:val="single" w:sz="2" w:space="0" w:color="FFFFFF" w:shadow="1"/>
          <w:right w:val="single" w:sz="2" w:space="0" w:color="FFFFFF" w:shadow="1"/>
        </w:pBdr>
        <w:spacing w:before="280" w:line="240" w:lineRule="auto"/>
        <w:ind w:left="426"/>
        <w:rPr>
          <w:rFonts w:ascii="Noto Sans" w:eastAsia="LegacySanITCBoo" w:hAnsi="Noto Sans" w:cs="Noto Sans"/>
          <w:color w:val="000000"/>
        </w:rPr>
      </w:pPr>
      <w:r>
        <w:rPr>
          <w:rFonts w:ascii="Noto Sans" w:hAnsi="Noto Sans"/>
          <w:color w:val="000000"/>
        </w:rPr>
        <w:t xml:space="preserve">1. </w:t>
      </w:r>
      <w:bookmarkStart w:id="24" w:name="_Hlk87434544"/>
      <w:r>
        <w:rPr>
          <w:rFonts w:ascii="Noto Sans" w:hAnsi="Noto Sans"/>
          <w:color w:val="000000"/>
        </w:rPr>
        <w:t>Liczba kasyn jest ograniczona do trzech</w:t>
      </w:r>
      <w:bookmarkEnd w:id="24"/>
      <w:r>
        <w:rPr>
          <w:rFonts w:ascii="Noto Sans" w:hAnsi="Noto Sans"/>
          <w:color w:val="000000"/>
        </w:rPr>
        <w:t xml:space="preserve"> we Wspólnocie Autonomicznej Balearów. Nie </w:t>
      </w:r>
      <w:bookmarkStart w:id="25" w:name="_Hlk87434563"/>
      <w:r>
        <w:rPr>
          <w:rFonts w:ascii="Noto Sans" w:hAnsi="Noto Sans"/>
          <w:color w:val="000000"/>
        </w:rPr>
        <w:t>będą udzielane nowe zezwolenia dla sal, w których prowadzone są kasyna,</w:t>
      </w:r>
      <w:bookmarkEnd w:id="25"/>
      <w:r>
        <w:rPr>
          <w:rFonts w:ascii="Noto Sans" w:hAnsi="Noto Sans"/>
          <w:color w:val="000000"/>
        </w:rPr>
        <w:t xml:space="preserve"> na Balearach.</w:t>
      </w:r>
    </w:p>
    <w:p w14:paraId="15C5792E" w14:textId="77777777" w:rsidR="001423CC" w:rsidRDefault="0054044C">
      <w:pPr>
        <w:pBdr>
          <w:top w:val="single" w:sz="2" w:space="0" w:color="FFFFFF" w:shadow="1"/>
          <w:left w:val="single" w:sz="2" w:space="0" w:color="FFFFFF" w:shadow="1"/>
          <w:bottom w:val="single" w:sz="2" w:space="0" w:color="FFFFFF" w:shadow="1"/>
          <w:right w:val="single" w:sz="2" w:space="0" w:color="FFFFFF" w:shadow="1"/>
        </w:pBdr>
        <w:spacing w:before="280" w:line="240" w:lineRule="auto"/>
        <w:ind w:left="426"/>
        <w:rPr>
          <w:rFonts w:ascii="Noto Sans" w:eastAsia="LegacySanITCBoo" w:hAnsi="Noto Sans" w:cs="Noto Sans"/>
          <w:color w:val="000000"/>
        </w:rPr>
      </w:pPr>
      <w:r>
        <w:rPr>
          <w:rFonts w:ascii="Noto Sans" w:hAnsi="Noto Sans"/>
          <w:color w:val="000000"/>
        </w:rPr>
        <w:t>2. Liczba obowiązujących zezwoleń na otwarcie salonów gier lub specjalnych punktów bukmacherskich na terytorium Balearów jest ograniczona do 75 na milion mieszkańców zameldowanych we wspólnocie autonomicznej, zgodnie z oficjalnymi danymi przekazanymi przez Krajowy Instytut Statystyczny w dniu 1 stycznia bieżącego roku oraz z regionalnym wykazem obowiązujących zezwoleń na salony gier i specjalne punkty bukmacherskie. W przypadku gdy obecny wskaźnik zezwoleń jest wyższy w momencie wejścia w życie niniejszej reformy, automatycznie będzie działać moratorium na wydawanie nowych zezwoleń na otwarcie salonów gier lub specjalnych punktów bukmacherskich do czasu, gdy, ze względu na nagromadzenie lub zrzeczenie się istniejących zezwoleń, ich liczba nie przekroczy 75 koncesji na milion mieszkańców zarejestrowanych we wspólnocie autonomicznej.</w:t>
      </w:r>
    </w:p>
    <w:p w14:paraId="53C6A5B0" w14:textId="77777777" w:rsidR="001423CC" w:rsidRDefault="0054044C">
      <w:pPr>
        <w:pBdr>
          <w:top w:val="single" w:sz="2" w:space="0" w:color="FFFFFF" w:shadow="1"/>
          <w:left w:val="single" w:sz="2" w:space="0" w:color="FFFFFF" w:shadow="1"/>
          <w:bottom w:val="single" w:sz="2" w:space="0" w:color="FFFFFF" w:shadow="1"/>
          <w:right w:val="single" w:sz="2" w:space="0" w:color="FFFFFF" w:shadow="1"/>
        </w:pBdr>
        <w:spacing w:before="280" w:line="240" w:lineRule="auto"/>
        <w:ind w:left="426"/>
      </w:pPr>
      <w:r>
        <w:rPr>
          <w:rFonts w:ascii="Noto Sans" w:hAnsi="Noto Sans"/>
          <w:color w:val="000000"/>
        </w:rPr>
        <w:t xml:space="preserve">3. </w:t>
      </w:r>
      <w:bookmarkStart w:id="26" w:name="_Hlk87434699"/>
      <w:r>
        <w:rPr>
          <w:rFonts w:ascii="Noto Sans" w:hAnsi="Noto Sans"/>
          <w:color w:val="000000"/>
        </w:rPr>
        <w:t>Liczba salonów bingo jest ograniczona do czterech</w:t>
      </w:r>
      <w:bookmarkEnd w:id="26"/>
      <w:r>
        <w:rPr>
          <w:rFonts w:ascii="Noto Sans" w:hAnsi="Noto Sans"/>
          <w:color w:val="000000"/>
        </w:rPr>
        <w:t xml:space="preserve"> w terytorialnym zakresie Autonomicznej Wspólnoty Balearów.”</w:t>
      </w:r>
    </w:p>
    <w:p w14:paraId="06CF31D3" w14:textId="77777777" w:rsidR="001423CC" w:rsidRDefault="001423CC">
      <w:pPr>
        <w:pBdr>
          <w:top w:val="single" w:sz="2" w:space="0" w:color="FFFFFF" w:shadow="1"/>
          <w:left w:val="single" w:sz="2" w:space="0" w:color="FFFFFF" w:shadow="1"/>
          <w:bottom w:val="single" w:sz="2" w:space="0" w:color="FFFFFF" w:shadow="1"/>
          <w:right w:val="single" w:sz="2" w:space="0" w:color="FFFFFF" w:shadow="1"/>
        </w:pBdr>
        <w:spacing w:before="280" w:line="240" w:lineRule="auto"/>
        <w:rPr>
          <w:rFonts w:ascii="Noto Sans" w:eastAsia="LegacySanITCBoo" w:hAnsi="Noto Sans" w:cs="Noto Sans"/>
          <w:color w:val="000000"/>
          <w:lang w:val="es-ES"/>
        </w:rPr>
      </w:pPr>
    </w:p>
    <w:p w14:paraId="55B719CF" w14:textId="77777777" w:rsidR="001423CC" w:rsidRDefault="0054044C">
      <w:pPr>
        <w:pStyle w:val="ListParagraph"/>
        <w:numPr>
          <w:ilvl w:val="0"/>
          <w:numId w:val="1"/>
        </w:numPr>
        <w:pBdr>
          <w:top w:val="single" w:sz="2" w:space="0" w:color="FFFFFF" w:shadow="1"/>
          <w:left w:val="single" w:sz="2" w:space="0" w:color="FFFFFF" w:shadow="1"/>
          <w:bottom w:val="single" w:sz="2" w:space="0" w:color="FFFFFF" w:shadow="1"/>
          <w:right w:val="single" w:sz="2" w:space="0" w:color="FFFFFF" w:shadow="1"/>
        </w:pBdr>
        <w:spacing w:before="280" w:line="240" w:lineRule="auto"/>
        <w:ind w:left="426" w:hanging="426"/>
      </w:pPr>
      <w:r>
        <w:rPr>
          <w:rFonts w:ascii="Noto Sans" w:hAnsi="Noto Sans"/>
          <w:b/>
          <w:color w:val="000000"/>
        </w:rPr>
        <w:t>Drugi przepis przejściowy dotyczący „uzgodnień przejściowych dla zezwoleń udzielonych na podstawie poprzednich przepisów”, otrzymał następujące brzmienie:</w:t>
      </w:r>
    </w:p>
    <w:p w14:paraId="6C65EFD7" w14:textId="77777777" w:rsidR="001423CC" w:rsidRDefault="0054044C">
      <w:pPr>
        <w:pBdr>
          <w:top w:val="single" w:sz="2" w:space="0" w:color="FFFFFF" w:shadow="1"/>
          <w:left w:val="single" w:sz="2" w:space="0" w:color="FFFFFF" w:shadow="1"/>
          <w:bottom w:val="single" w:sz="2" w:space="0" w:color="FFFFFF" w:shadow="1"/>
          <w:right w:val="single" w:sz="2" w:space="0" w:color="FFFFFF" w:shadow="1"/>
        </w:pBdr>
        <w:spacing w:before="280" w:line="240" w:lineRule="auto"/>
        <w:ind w:left="426"/>
      </w:pPr>
      <w:bookmarkStart w:id="27" w:name="_Hlk103690090"/>
      <w:r>
        <w:rPr>
          <w:rFonts w:ascii="Noto Sans" w:hAnsi="Noto Sans"/>
          <w:color w:val="000000"/>
        </w:rPr>
        <w:t>„Pozwolenia udzielone na mocy poprzednich przepisów zachowują ważność przez okres, na który zostały udzielone, a ich późniejsze odnowienie uzależnione jest od spełnienia wymogów określonych w niniejszej ustawie i jej rozporządzeniach wykonawczych.</w:t>
      </w:r>
    </w:p>
    <w:p w14:paraId="1DAEFC8D" w14:textId="77777777" w:rsidR="001423CC" w:rsidRDefault="0054044C">
      <w:pPr>
        <w:pBdr>
          <w:top w:val="single" w:sz="2" w:space="0" w:color="FFFFFF" w:shadow="1"/>
          <w:left w:val="single" w:sz="2" w:space="0" w:color="FFFFFF" w:shadow="1"/>
          <w:bottom w:val="single" w:sz="2" w:space="0" w:color="FFFFFF" w:shadow="1"/>
          <w:right w:val="single" w:sz="2" w:space="0" w:color="FFFFFF" w:shadow="1"/>
        </w:pBdr>
        <w:spacing w:before="280" w:line="240" w:lineRule="auto"/>
        <w:ind w:left="426"/>
      </w:pPr>
      <w:r>
        <w:rPr>
          <w:rFonts w:ascii="Noto Sans" w:hAnsi="Noto Sans"/>
          <w:color w:val="000000"/>
        </w:rPr>
        <w:t>Ograniczenia określone w art. 3 ust. 1 niniejszej ustawy nie mają zastosowania do odnowienia zezwoleń udzielonych przed wejściem w życie niniejszej ustawy i w odniesieniu do których nie było wymagane przestrzeganie tych ograniczeń.”</w:t>
      </w:r>
    </w:p>
    <w:bookmarkEnd w:id="27"/>
    <w:p w14:paraId="5D1B60FF" w14:textId="77777777" w:rsidR="001423CC" w:rsidRDefault="001423CC">
      <w:pPr>
        <w:spacing w:line="240" w:lineRule="auto"/>
        <w:rPr>
          <w:rFonts w:ascii="Noto Sans" w:eastAsia="LegacySanITCBoo" w:hAnsi="Noto Sans" w:cs="Noto Sans"/>
          <w:b/>
          <w:color w:val="000000"/>
          <w:lang w:val="es-ES"/>
        </w:rPr>
      </w:pPr>
    </w:p>
    <w:p w14:paraId="7E65042E" w14:textId="77777777" w:rsidR="001423CC" w:rsidRDefault="0054044C">
      <w:pPr>
        <w:spacing w:line="240" w:lineRule="auto"/>
        <w:rPr>
          <w:rFonts w:ascii="Noto Sans" w:eastAsia="LegacySanITCBoo" w:hAnsi="Noto Sans" w:cs="Noto Sans"/>
          <w:b/>
          <w:color w:val="000000"/>
        </w:rPr>
      </w:pPr>
      <w:r>
        <w:rPr>
          <w:rFonts w:ascii="Noto Sans" w:hAnsi="Noto Sans"/>
          <w:b/>
          <w:color w:val="000000"/>
        </w:rPr>
        <w:lastRenderedPageBreak/>
        <w:t>Pojedynczy przepis dodatkowy. Zmiana rozporządzenia w sprawie gier w kasynach Wspólnoty Autonomicznej Baleary, zatwierdzona dekretem 41/2017 z dnia 25 sierpnia</w:t>
      </w:r>
    </w:p>
    <w:p w14:paraId="045E47FC" w14:textId="77777777" w:rsidR="001423CC" w:rsidRDefault="001423CC">
      <w:pPr>
        <w:spacing w:line="240" w:lineRule="auto"/>
        <w:rPr>
          <w:rFonts w:ascii="Noto Sans" w:eastAsia="LegacySanITCBoo" w:hAnsi="Noto Sans" w:cs="Noto Sans"/>
          <w:b/>
          <w:color w:val="000000"/>
          <w:lang w:val="es-ES"/>
        </w:rPr>
      </w:pPr>
    </w:p>
    <w:p w14:paraId="2FFC37FC" w14:textId="77777777" w:rsidR="001423CC" w:rsidRDefault="0054044C">
      <w:pPr>
        <w:spacing w:line="240" w:lineRule="auto"/>
      </w:pPr>
      <w:r>
        <w:rPr>
          <w:rFonts w:ascii="Noto Sans" w:hAnsi="Noto Sans"/>
          <w:b/>
          <w:color w:val="000000"/>
        </w:rPr>
        <w:t>Jeden. W art. 22 ust. 1 zatytułowanym „Salony dodatkowe” wprowadza się następujące zmiany:</w:t>
      </w:r>
    </w:p>
    <w:p w14:paraId="79FC832E" w14:textId="77777777" w:rsidR="001423CC" w:rsidRDefault="0054044C">
      <w:pPr>
        <w:spacing w:line="240" w:lineRule="auto"/>
      </w:pPr>
      <w:bookmarkStart w:id="28" w:name="_Hlk104460847"/>
      <w:r>
        <w:rPr>
          <w:rFonts w:ascii="Noto Sans" w:hAnsi="Noto Sans"/>
          <w:color w:val="000000"/>
        </w:rPr>
        <w:t>„Artykuł 22</w:t>
      </w:r>
    </w:p>
    <w:p w14:paraId="6741643C" w14:textId="77777777" w:rsidR="001423CC" w:rsidRDefault="0054044C">
      <w:pPr>
        <w:spacing w:line="240" w:lineRule="auto"/>
        <w:rPr>
          <w:rFonts w:ascii="Noto Sans" w:eastAsia="LegacySanITCBoo" w:hAnsi="Noto Sans" w:cs="Noto Sans"/>
          <w:bCs/>
          <w:color w:val="000000"/>
        </w:rPr>
      </w:pPr>
      <w:r>
        <w:rPr>
          <w:rFonts w:ascii="Noto Sans" w:hAnsi="Noto Sans"/>
          <w:color w:val="000000"/>
        </w:rPr>
        <w:t>Salony dodatkowe</w:t>
      </w:r>
    </w:p>
    <w:p w14:paraId="52AF3A9F" w14:textId="77777777" w:rsidR="001423CC" w:rsidRDefault="0054044C">
      <w:pPr>
        <w:spacing w:line="240" w:lineRule="auto"/>
        <w:rPr>
          <w:rFonts w:ascii="Noto Sans" w:eastAsia="LegacySanITCBoo" w:hAnsi="Noto Sans" w:cs="Noto Sans"/>
          <w:bCs/>
          <w:color w:val="000000"/>
        </w:rPr>
      </w:pPr>
      <w:r>
        <w:rPr>
          <w:rFonts w:ascii="Noto Sans" w:hAnsi="Noto Sans"/>
          <w:color w:val="000000"/>
        </w:rPr>
        <w:t>1. Salony dodatkowe w kasynach to salony gier, które, będąc jednostką operacyjną i stanowiąc jej część, znajdują się poza lokalem lub kompleksem, w którym znajduje się kasyno, i w zasięgu terytorialnym każdej wyspy. Taki salon gier działa jako dobudówka do głównego koncesjonowanego salonu gier i ma minimalny okres użytkowania wynoszący sześć miesięcy rocznie na Majorce i trzy miesiące rocznie w Minorce, Ibizie i Formenterze. Salony przyległe mogą mieć przedni salon do głównej, oprócz salonów prywatnych, z zastrzeżeniem wymagań określonych w niniejszym rozporządzeniu. Salony dodatkowe podlegają przepisom mającym zastosowanie do kasyn macierzystych określonych w niniejszym rozporządzeniu, chociaż nie ma do nich zastosowania obowiązek świadczenia dodatkowych usług, o których mowa w art. 23 ust. 1, które mogą być świadczone na zasadzie dobrowolności.</w:t>
      </w:r>
    </w:p>
    <w:p w14:paraId="2768C406" w14:textId="77777777" w:rsidR="001423CC" w:rsidRDefault="0054044C">
      <w:pPr>
        <w:spacing w:line="240" w:lineRule="auto"/>
      </w:pPr>
      <w:r>
        <w:rPr>
          <w:rFonts w:ascii="Noto Sans" w:hAnsi="Noto Sans"/>
          <w:color w:val="000000"/>
        </w:rPr>
        <w:t>W przypadku gdy całkowita powierzchnia do gry w głównym kasynie przekracza minimalne limity ustanowione w art. 9 niniejszego rozporządzenia, całkowita koncesjonowana powierzchnia do uprawiania gier hazardowych w salonie dodatkowym nie może przekraczać 60% całkowitego obszaru usług hazardowych w kasynie głównym.</w:t>
      </w:r>
      <w:bookmarkEnd w:id="28"/>
      <w:r>
        <w:rPr>
          <w:rFonts w:ascii="Noto Sans" w:hAnsi="Noto Sans"/>
          <w:color w:val="000000"/>
        </w:rPr>
        <w:t>”</w:t>
      </w:r>
    </w:p>
    <w:p w14:paraId="7934E0FC" w14:textId="77777777" w:rsidR="001423CC" w:rsidRDefault="001423CC">
      <w:pPr>
        <w:spacing w:line="240" w:lineRule="auto"/>
        <w:rPr>
          <w:rFonts w:ascii="Noto Sans" w:eastAsia="LegacySanITCBoo" w:hAnsi="Noto Sans" w:cs="Noto Sans"/>
          <w:bCs/>
          <w:color w:val="000000"/>
          <w:lang w:val="es-ES"/>
        </w:rPr>
      </w:pPr>
    </w:p>
    <w:p w14:paraId="7CA81655" w14:textId="77777777" w:rsidR="001423CC" w:rsidRDefault="0054044C">
      <w:pPr>
        <w:spacing w:line="240" w:lineRule="auto"/>
        <w:rPr>
          <w:rFonts w:ascii="Noto Sans" w:eastAsia="LegacySanITCBoo" w:hAnsi="Noto Sans" w:cs="Noto Sans"/>
          <w:b/>
          <w:color w:val="000000"/>
        </w:rPr>
      </w:pPr>
      <w:r>
        <w:rPr>
          <w:rFonts w:ascii="Noto Sans" w:hAnsi="Noto Sans"/>
          <w:b/>
          <w:color w:val="000000"/>
        </w:rPr>
        <w:t xml:space="preserve">Pierwszy przepis przejściowy. </w:t>
      </w:r>
      <w:bookmarkStart w:id="29" w:name="_Hlk87394221"/>
      <w:r>
        <w:rPr>
          <w:rFonts w:ascii="Noto Sans" w:hAnsi="Noto Sans"/>
          <w:b/>
          <w:color w:val="000000"/>
        </w:rPr>
        <w:t>Znaki i elementy pokrywające zewnętrzne przednie powierzchnie obiektów oferujących usługi hazardowe</w:t>
      </w:r>
      <w:bookmarkEnd w:id="29"/>
      <w:r>
        <w:rPr>
          <w:rFonts w:ascii="Noto Sans" w:hAnsi="Noto Sans"/>
          <w:b/>
          <w:color w:val="000000"/>
        </w:rPr>
        <w:t xml:space="preserve"> </w:t>
      </w:r>
    </w:p>
    <w:p w14:paraId="576DC592" w14:textId="77777777" w:rsidR="001423CC" w:rsidRDefault="0054044C">
      <w:pPr>
        <w:spacing w:line="240" w:lineRule="auto"/>
        <w:rPr>
          <w:rFonts w:ascii="Noto Sans" w:eastAsia="LegacySanITCBoo" w:hAnsi="Noto Sans" w:cs="Noto Sans"/>
          <w:iCs/>
          <w:color w:val="000000"/>
        </w:rPr>
      </w:pPr>
      <w:r>
        <w:rPr>
          <w:rFonts w:ascii="Noto Sans" w:hAnsi="Noto Sans"/>
          <w:color w:val="000000"/>
        </w:rPr>
        <w:t>Przedsiębiorstwa będące właścicielami obiektów oferujących usługi hazardowe, o których mowa w niniejszym rozporządzeniu, mają maksymalny okres 18 miesięcy od daty ich wejścia w życie na dostosowanie elewacji i elementów zewnętrznych obiektów do wymogów niniejszego rozporządzenia.</w:t>
      </w:r>
    </w:p>
    <w:p w14:paraId="29415446" w14:textId="77777777" w:rsidR="001423CC" w:rsidRDefault="001423CC">
      <w:pPr>
        <w:spacing w:line="240" w:lineRule="auto"/>
        <w:rPr>
          <w:rFonts w:ascii="Noto Sans" w:eastAsia="LegacySanITCBoo" w:hAnsi="Noto Sans" w:cs="Noto Sans"/>
          <w:b/>
          <w:color w:val="000000"/>
          <w:lang w:val="es-ES"/>
        </w:rPr>
      </w:pPr>
    </w:p>
    <w:p w14:paraId="4A4AB9ED" w14:textId="77777777" w:rsidR="001423CC" w:rsidRDefault="0054044C" w:rsidP="0014441A">
      <w:pPr>
        <w:keepNext/>
        <w:spacing w:line="240" w:lineRule="auto"/>
        <w:rPr>
          <w:rFonts w:ascii="Noto Sans" w:eastAsia="LegacySanITCBoo" w:hAnsi="Noto Sans" w:cs="Noto Sans"/>
          <w:b/>
          <w:color w:val="000000"/>
        </w:rPr>
      </w:pPr>
      <w:r>
        <w:rPr>
          <w:rFonts w:ascii="Noto Sans" w:hAnsi="Noto Sans"/>
          <w:b/>
          <w:color w:val="000000"/>
        </w:rPr>
        <w:lastRenderedPageBreak/>
        <w:t xml:space="preserve">Drugi przepis przejściowy. </w:t>
      </w:r>
      <w:bookmarkStart w:id="30" w:name="_Hlk103948419"/>
      <w:r>
        <w:rPr>
          <w:rFonts w:ascii="Noto Sans" w:hAnsi="Noto Sans"/>
          <w:b/>
          <w:color w:val="000000"/>
        </w:rPr>
        <w:t>Dostosowanie komunikatów na ekranach automatów do gier typu B</w:t>
      </w:r>
      <w:bookmarkEnd w:id="30"/>
    </w:p>
    <w:p w14:paraId="2FCB914A" w14:textId="77777777" w:rsidR="001423CC" w:rsidRDefault="0054044C">
      <w:pPr>
        <w:spacing w:line="240" w:lineRule="auto"/>
      </w:pPr>
      <w:r>
        <w:rPr>
          <w:rFonts w:ascii="Noto Sans" w:hAnsi="Noto Sans"/>
          <w:color w:val="000000"/>
        </w:rPr>
        <w:t>Operatorzy automatów do gier hazardowych będą mieli 18 miesięcy od wejścia w życie niniejszego rozporządzenia na dostosowanie się do przepisów art. 13 ust. 6 zmienionego ustawą 8/2014 z dnia 1 sierpnia o grach i grach hazardowych na Balearach, w odniesieniu do kwestionariusza dotyczącego wieku i odpowiedzialności oraz drukowanej wiadomości doradzającej w zakresie bezpiecznego środowiska gier i gier hazardowych.</w:t>
      </w:r>
    </w:p>
    <w:p w14:paraId="2F9195B5" w14:textId="77777777" w:rsidR="001423CC" w:rsidRDefault="001423CC">
      <w:pPr>
        <w:spacing w:line="240" w:lineRule="auto"/>
        <w:rPr>
          <w:rFonts w:ascii="Noto Sans" w:eastAsia="LegacySanITCBoo" w:hAnsi="Noto Sans" w:cs="Noto Sans"/>
          <w:color w:val="000000"/>
          <w:lang w:val="es-ES"/>
        </w:rPr>
      </w:pPr>
    </w:p>
    <w:p w14:paraId="7F2901B7" w14:textId="77777777" w:rsidR="001423CC" w:rsidRDefault="0054044C">
      <w:pPr>
        <w:spacing w:line="240" w:lineRule="auto"/>
        <w:rPr>
          <w:rFonts w:ascii="Noto Sans" w:eastAsia="LegacySanITCBoo" w:hAnsi="Noto Sans" w:cs="Noto Sans"/>
          <w:b/>
          <w:color w:val="000000"/>
        </w:rPr>
      </w:pPr>
      <w:r>
        <w:rPr>
          <w:rFonts w:ascii="Noto Sans" w:hAnsi="Noto Sans"/>
          <w:b/>
          <w:color w:val="000000"/>
        </w:rPr>
        <w:t>Pojedynczy przepis końcowy. Wejście w życie</w:t>
      </w:r>
    </w:p>
    <w:p w14:paraId="6333B5D3" w14:textId="77777777" w:rsidR="001423CC" w:rsidRDefault="0054044C">
      <w:pPr>
        <w:spacing w:line="240" w:lineRule="auto"/>
      </w:pPr>
      <w:r>
        <w:rPr>
          <w:rFonts w:ascii="Noto Sans" w:hAnsi="Noto Sans"/>
          <w:color w:val="000000"/>
        </w:rPr>
        <w:t xml:space="preserve">Niniejsza ustawa wchodzi w życie następnego dnia po jej opublikowaniu w </w:t>
      </w:r>
      <w:r>
        <w:rPr>
          <w:rFonts w:ascii="Noto Sans" w:hAnsi="Noto Sans"/>
          <w:i/>
          <w:color w:val="000000"/>
        </w:rPr>
        <w:t>Dzienniku Urzędowym Balearów</w:t>
      </w:r>
      <w:r>
        <w:rPr>
          <w:rFonts w:ascii="Noto Sans" w:hAnsi="Noto Sans"/>
          <w:color w:val="000000"/>
        </w:rPr>
        <w:t>.</w:t>
      </w:r>
    </w:p>
    <w:sectPr w:rsidR="001423CC">
      <w:headerReference w:type="default" r:id="rId7"/>
      <w:footerReference w:type="default" r:id="rId8"/>
      <w:headerReference w:type="first" r:id="rId9"/>
      <w:footerReference w:type="first" r:id="rId10"/>
      <w:pgSz w:w="11906" w:h="16838"/>
      <w:pgMar w:top="1276" w:right="851" w:bottom="1701" w:left="2552"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3216A" w14:textId="77777777" w:rsidR="00D3047C" w:rsidRDefault="00D3047C">
      <w:pPr>
        <w:spacing w:after="0" w:line="240" w:lineRule="auto"/>
      </w:pPr>
      <w:r>
        <w:separator/>
      </w:r>
    </w:p>
  </w:endnote>
  <w:endnote w:type="continuationSeparator" w:id="0">
    <w:p w14:paraId="13A1BD87" w14:textId="77777777" w:rsidR="00D3047C" w:rsidRDefault="00D30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altName w:val="Noto Sans"/>
    <w:charset w:val="00"/>
    <w:family w:val="swiss"/>
    <w:pitch w:val="variable"/>
  </w:font>
  <w:font w:name="Tahoma">
    <w:panose1 w:val="020B0604030504040204"/>
    <w:charset w:val="00"/>
    <w:family w:val="swiss"/>
    <w:pitch w:val="variable"/>
    <w:sig w:usb0="E1002EFF" w:usb1="C000605B" w:usb2="00000029" w:usb3="00000000" w:csb0="000101FF" w:csb1="00000000"/>
  </w:font>
  <w:font w:name="Bariol Regular">
    <w:charset w:val="00"/>
    <w:family w:val="modern"/>
    <w:pitch w:val="variable"/>
  </w:font>
  <w:font w:name="LegacySanITCBoo">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36" w:type="dxa"/>
      <w:tblInd w:w="-1531" w:type="dxa"/>
      <w:tblCellMar>
        <w:left w:w="10" w:type="dxa"/>
        <w:right w:w="10" w:type="dxa"/>
      </w:tblCellMar>
      <w:tblLook w:val="0000" w:firstRow="0" w:lastRow="0" w:firstColumn="0" w:lastColumn="0" w:noHBand="0" w:noVBand="0"/>
    </w:tblPr>
    <w:tblGrid>
      <w:gridCol w:w="2915"/>
      <w:gridCol w:w="4398"/>
      <w:gridCol w:w="2723"/>
    </w:tblGrid>
    <w:tr w:rsidR="00422B6B" w14:paraId="7640C8B1" w14:textId="77777777">
      <w:trPr>
        <w:trHeight w:val="1140"/>
      </w:trPr>
      <w:tc>
        <w:tcPr>
          <w:tcW w:w="2915" w:type="dxa"/>
          <w:shd w:val="clear" w:color="auto" w:fill="auto"/>
          <w:tcMar>
            <w:top w:w="240" w:type="dxa"/>
            <w:left w:w="108" w:type="dxa"/>
            <w:bottom w:w="0" w:type="dxa"/>
            <w:right w:w="108" w:type="dxa"/>
          </w:tcMar>
        </w:tcPr>
        <w:p w14:paraId="140D4B95" w14:textId="77777777" w:rsidR="00422B6B" w:rsidRDefault="0054044C">
          <w:pPr>
            <w:pStyle w:val="Peudepgina"/>
            <w:spacing w:after="0" w:line="240" w:lineRule="auto"/>
            <w:rPr>
              <w:rFonts w:ascii="Noto Sans" w:hAnsi="Noto Sans" w:cs="Noto Sans"/>
            </w:rPr>
          </w:pPr>
          <w:r>
            <w:rPr>
              <w:rFonts w:ascii="Noto Sans" w:hAnsi="Noto Sans"/>
            </w:rPr>
            <w:t>Plaça de Son Castelló, 1</w:t>
          </w:r>
        </w:p>
        <w:p w14:paraId="5D19572A" w14:textId="77777777" w:rsidR="00422B6B" w:rsidRDefault="0054044C">
          <w:pPr>
            <w:pStyle w:val="Peudepgina"/>
            <w:spacing w:after="0" w:line="240" w:lineRule="auto"/>
            <w:ind w:right="-295"/>
            <w:rPr>
              <w:rFonts w:ascii="Noto Sans" w:hAnsi="Noto Sans" w:cs="Noto Sans"/>
            </w:rPr>
          </w:pPr>
          <w:r>
            <w:rPr>
              <w:rFonts w:ascii="Noto Sans" w:hAnsi="Noto Sans"/>
            </w:rPr>
            <w:t>Polígon de Son Castelló – 07009 Palma</w:t>
          </w:r>
        </w:p>
        <w:p w14:paraId="3031BD67" w14:textId="77777777" w:rsidR="00422B6B" w:rsidRDefault="0054044C">
          <w:pPr>
            <w:pStyle w:val="Peudepgina"/>
            <w:spacing w:after="0" w:line="240" w:lineRule="auto"/>
            <w:rPr>
              <w:rFonts w:ascii="Noto Sans" w:hAnsi="Noto Sans" w:cs="Noto Sans"/>
            </w:rPr>
          </w:pPr>
          <w:r>
            <w:rPr>
              <w:rFonts w:ascii="Noto Sans" w:hAnsi="Noto Sans"/>
            </w:rPr>
            <w:t>Tel. 971 17 89 00</w:t>
          </w:r>
        </w:p>
        <w:p w14:paraId="7F3BD568" w14:textId="77777777" w:rsidR="00422B6B" w:rsidRDefault="0054044C">
          <w:pPr>
            <w:pStyle w:val="Peudepgina"/>
            <w:jc w:val="both"/>
          </w:pPr>
          <w:r>
            <w:rPr>
              <w:rFonts w:ascii="Noto Sans" w:hAnsi="Noto Sans"/>
              <w:color w:val="C30045"/>
            </w:rPr>
            <w:t>dgcomerc.caib.es</w:t>
          </w:r>
        </w:p>
      </w:tc>
      <w:tc>
        <w:tcPr>
          <w:tcW w:w="4398" w:type="dxa"/>
          <w:shd w:val="clear" w:color="auto" w:fill="auto"/>
          <w:tcMar>
            <w:top w:w="240" w:type="dxa"/>
            <w:left w:w="108" w:type="dxa"/>
            <w:bottom w:w="0" w:type="dxa"/>
            <w:right w:w="108" w:type="dxa"/>
          </w:tcMar>
        </w:tcPr>
        <w:p w14:paraId="3576F171" w14:textId="77777777" w:rsidR="00422B6B" w:rsidRDefault="0014441A">
          <w:pPr>
            <w:pStyle w:val="Peudepgina"/>
            <w:jc w:val="center"/>
          </w:pPr>
        </w:p>
      </w:tc>
      <w:tc>
        <w:tcPr>
          <w:tcW w:w="2723" w:type="dxa"/>
          <w:shd w:val="clear" w:color="auto" w:fill="auto"/>
          <w:tcMar>
            <w:top w:w="240" w:type="dxa"/>
            <w:left w:w="108" w:type="dxa"/>
            <w:bottom w:w="0" w:type="dxa"/>
            <w:right w:w="108" w:type="dxa"/>
          </w:tcMar>
          <w:vAlign w:val="bottom"/>
        </w:tcPr>
        <w:p w14:paraId="2F193CDD" w14:textId="77777777" w:rsidR="00422B6B" w:rsidRDefault="0054044C">
          <w:pPr>
            <w:pStyle w:val="Nmerodepgina"/>
          </w:pPr>
          <w:r>
            <w:fldChar w:fldCharType="begin"/>
          </w:r>
          <w:r>
            <w:instrText xml:space="preserve"> PAGE </w:instrText>
          </w:r>
          <w:r>
            <w:fldChar w:fldCharType="separate"/>
          </w:r>
          <w:r>
            <w:t>2</w:t>
          </w:r>
          <w:r>
            <w:fldChar w:fldCharType="end"/>
          </w:r>
        </w:p>
      </w:tc>
    </w:tr>
  </w:tbl>
  <w:p w14:paraId="2E602969" w14:textId="77777777" w:rsidR="00422B6B" w:rsidRDefault="0014441A">
    <w:pPr>
      <w:pStyle w:val="Footer"/>
      <w:rPr>
        <w:sz w:val="15"/>
        <w:szCs w:val="1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34821" w14:textId="77777777" w:rsidR="00422B6B" w:rsidRDefault="0014441A"/>
  <w:tbl>
    <w:tblPr>
      <w:tblW w:w="10036" w:type="dxa"/>
      <w:tblInd w:w="-1531" w:type="dxa"/>
      <w:tblCellMar>
        <w:left w:w="10" w:type="dxa"/>
        <w:right w:w="10" w:type="dxa"/>
      </w:tblCellMar>
      <w:tblLook w:val="0000" w:firstRow="0" w:lastRow="0" w:firstColumn="0" w:lastColumn="0" w:noHBand="0" w:noVBand="0"/>
    </w:tblPr>
    <w:tblGrid>
      <w:gridCol w:w="2915"/>
      <w:gridCol w:w="4398"/>
      <w:gridCol w:w="2723"/>
    </w:tblGrid>
    <w:tr w:rsidR="00422B6B" w14:paraId="0BF7CE6E" w14:textId="77777777">
      <w:trPr>
        <w:trHeight w:val="1140"/>
      </w:trPr>
      <w:tc>
        <w:tcPr>
          <w:tcW w:w="2915" w:type="dxa"/>
          <w:shd w:val="clear" w:color="auto" w:fill="auto"/>
          <w:tcMar>
            <w:top w:w="240" w:type="dxa"/>
            <w:left w:w="108" w:type="dxa"/>
            <w:bottom w:w="0" w:type="dxa"/>
            <w:right w:w="108" w:type="dxa"/>
          </w:tcMar>
        </w:tcPr>
        <w:p w14:paraId="16B2D02A" w14:textId="77777777" w:rsidR="00422B6B" w:rsidRDefault="0054044C">
          <w:pPr>
            <w:pStyle w:val="Peudepgina"/>
            <w:spacing w:after="0" w:line="240" w:lineRule="auto"/>
            <w:rPr>
              <w:rFonts w:ascii="Noto Sans" w:hAnsi="Noto Sans" w:cs="Noto Sans"/>
            </w:rPr>
          </w:pPr>
          <w:r>
            <w:rPr>
              <w:rFonts w:ascii="Noto Sans" w:hAnsi="Noto Sans"/>
            </w:rPr>
            <w:t xml:space="preserve">Plaça </w:t>
          </w:r>
          <w:r>
            <w:rPr>
              <w:rFonts w:ascii="Noto Sans" w:hAnsi="Noto Sans"/>
            </w:rPr>
            <w:t>de Son Castelló, 1</w:t>
          </w:r>
        </w:p>
        <w:p w14:paraId="64E89B3F" w14:textId="77777777" w:rsidR="00422B6B" w:rsidRDefault="0054044C">
          <w:pPr>
            <w:pStyle w:val="Peudepgina"/>
            <w:spacing w:after="0" w:line="240" w:lineRule="auto"/>
            <w:ind w:right="-295"/>
            <w:rPr>
              <w:rFonts w:ascii="Noto Sans" w:hAnsi="Noto Sans" w:cs="Noto Sans"/>
            </w:rPr>
          </w:pPr>
          <w:r>
            <w:rPr>
              <w:rFonts w:ascii="Noto Sans" w:hAnsi="Noto Sans"/>
            </w:rPr>
            <w:t>Polígon de Son Castelló – 07009 Palma</w:t>
          </w:r>
        </w:p>
        <w:p w14:paraId="4A989E5F" w14:textId="77777777" w:rsidR="00422B6B" w:rsidRDefault="0054044C">
          <w:pPr>
            <w:pStyle w:val="Peudepgina"/>
            <w:spacing w:after="0" w:line="240" w:lineRule="auto"/>
            <w:rPr>
              <w:rFonts w:ascii="Noto Sans" w:hAnsi="Noto Sans" w:cs="Noto Sans"/>
            </w:rPr>
          </w:pPr>
          <w:r>
            <w:rPr>
              <w:rFonts w:ascii="Noto Sans" w:hAnsi="Noto Sans"/>
            </w:rPr>
            <w:t>Tel. 971 17 89 00</w:t>
          </w:r>
        </w:p>
        <w:p w14:paraId="5C007E39" w14:textId="77777777" w:rsidR="00422B6B" w:rsidRDefault="0054044C">
          <w:pPr>
            <w:pStyle w:val="Peudepgina"/>
            <w:spacing w:after="0" w:line="240" w:lineRule="auto"/>
          </w:pPr>
          <w:r>
            <w:rPr>
              <w:rFonts w:ascii="Noto Sans" w:hAnsi="Noto Sans"/>
              <w:color w:val="C30045"/>
            </w:rPr>
            <w:t>dgcomerc.caib.es</w:t>
          </w:r>
        </w:p>
      </w:tc>
      <w:tc>
        <w:tcPr>
          <w:tcW w:w="4398" w:type="dxa"/>
          <w:shd w:val="clear" w:color="auto" w:fill="auto"/>
          <w:tcMar>
            <w:top w:w="240" w:type="dxa"/>
            <w:left w:w="108" w:type="dxa"/>
            <w:bottom w:w="0" w:type="dxa"/>
            <w:right w:w="108" w:type="dxa"/>
          </w:tcMar>
        </w:tcPr>
        <w:p w14:paraId="19F73723" w14:textId="77777777" w:rsidR="00422B6B" w:rsidRDefault="0014441A">
          <w:pPr>
            <w:pStyle w:val="Peudepgina"/>
            <w:jc w:val="center"/>
          </w:pPr>
        </w:p>
      </w:tc>
      <w:tc>
        <w:tcPr>
          <w:tcW w:w="2723" w:type="dxa"/>
          <w:shd w:val="clear" w:color="auto" w:fill="auto"/>
          <w:tcMar>
            <w:top w:w="240" w:type="dxa"/>
            <w:left w:w="108" w:type="dxa"/>
            <w:bottom w:w="0" w:type="dxa"/>
            <w:right w:w="108" w:type="dxa"/>
          </w:tcMar>
        </w:tcPr>
        <w:p w14:paraId="3C0AF8CE" w14:textId="77777777" w:rsidR="00422B6B" w:rsidRDefault="0014441A">
          <w:pPr>
            <w:pStyle w:val="Peudepgina"/>
          </w:pPr>
        </w:p>
      </w:tc>
    </w:tr>
  </w:tbl>
  <w:p w14:paraId="3CB71266" w14:textId="77777777" w:rsidR="00422B6B" w:rsidRDefault="0014441A">
    <w:pPr>
      <w:pStyle w:val="Footer"/>
      <w:rPr>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0838E" w14:textId="77777777" w:rsidR="00D3047C" w:rsidRDefault="00D3047C">
      <w:pPr>
        <w:spacing w:after="0" w:line="240" w:lineRule="auto"/>
      </w:pPr>
      <w:r>
        <w:rPr>
          <w:color w:val="000000"/>
        </w:rPr>
        <w:separator/>
      </w:r>
    </w:p>
  </w:footnote>
  <w:footnote w:type="continuationSeparator" w:id="0">
    <w:p w14:paraId="35C0E882" w14:textId="77777777" w:rsidR="00D3047C" w:rsidRDefault="00D304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FD8BC" w14:textId="77777777" w:rsidR="00422B6B" w:rsidRDefault="0054044C">
    <w:pPr>
      <w:pStyle w:val="Header"/>
    </w:pPr>
    <w:r>
      <w:rPr>
        <w:noProof/>
      </w:rPr>
      <w:drawing>
        <wp:anchor distT="0" distB="0" distL="114300" distR="114300" simplePos="0" relativeHeight="251659264" behindDoc="0" locked="0" layoutInCell="1" allowOverlap="1" wp14:anchorId="77E209DD" wp14:editId="35A159F9">
          <wp:simplePos x="0" y="0"/>
          <wp:positionH relativeFrom="column">
            <wp:posOffset>-1153799</wp:posOffset>
          </wp:positionH>
          <wp:positionV relativeFrom="paragraph">
            <wp:posOffset>-135888</wp:posOffset>
          </wp:positionV>
          <wp:extent cx="542925" cy="1590671"/>
          <wp:effectExtent l="0" t="0" r="0" b="0"/>
          <wp:wrapNone/>
          <wp:docPr id="1" name="2 Imagen" descr="Govern_simplificat.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542925" cy="1590671"/>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C0C77" w14:textId="77777777" w:rsidR="00422B6B" w:rsidRDefault="0054044C">
    <w:pPr>
      <w:pStyle w:val="Header"/>
      <w:spacing w:after="2700"/>
      <w:ind w:left="-1843"/>
    </w:pPr>
    <w:r>
      <w:rPr>
        <w:noProof/>
      </w:rPr>
      <w:drawing>
        <wp:inline distT="0" distB="0" distL="0" distR="0" wp14:anchorId="0A057483" wp14:editId="0E536AE8">
          <wp:extent cx="2494163" cy="1845826"/>
          <wp:effectExtent l="0" t="0" r="1387" b="2024"/>
          <wp:docPr id="2" name="Imagen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494163" cy="1845826"/>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D473B"/>
    <w:multiLevelType w:val="multilevel"/>
    <w:tmpl w:val="DE4EFA50"/>
    <w:lvl w:ilvl="0">
      <w:start w:val="1"/>
      <w:numFmt w:val="lowerLetter"/>
      <w:lvlText w:val="%1)"/>
      <w:lvlJc w:val="left"/>
      <w:pPr>
        <w:ind w:left="360" w:hanging="360"/>
      </w:pPr>
      <w:rPr>
        <w:i/>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70B10717"/>
    <w:multiLevelType w:val="multilevel"/>
    <w:tmpl w:val="35F8B2C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65124544">
    <w:abstractNumId w:val="1"/>
  </w:num>
  <w:num w:numId="2" w16cid:durableId="497961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3CC"/>
    <w:rsid w:val="001257A1"/>
    <w:rsid w:val="001423CC"/>
    <w:rsid w:val="0014441A"/>
    <w:rsid w:val="0054044C"/>
    <w:rsid w:val="00660960"/>
    <w:rsid w:val="00CD0482"/>
    <w:rsid w:val="00D304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2FAE2"/>
  <w15:docId w15:val="{38D3907C-5E92-4C4E-8421-DAD1C17F2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es-E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200" w:line="276" w:lineRule="auto"/>
    </w:pPr>
    <w:rPr>
      <w:rFonts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252"/>
        <w:tab w:val="right" w:pos="8504"/>
      </w:tabs>
    </w:pPr>
  </w:style>
  <w:style w:type="character" w:customStyle="1" w:styleId="EncabezadoCar">
    <w:name w:val="Encabezado Car"/>
    <w:basedOn w:val="DefaultParagraphFont"/>
    <w:rPr>
      <w:rFonts w:ascii="Noto Sans" w:hAnsi="Noto Sans"/>
    </w:rPr>
  </w:style>
  <w:style w:type="paragraph" w:styleId="Footer">
    <w:name w:val="footer"/>
    <w:basedOn w:val="Normal"/>
    <w:pPr>
      <w:tabs>
        <w:tab w:val="center" w:pos="4252"/>
        <w:tab w:val="right" w:pos="8504"/>
      </w:tabs>
    </w:pPr>
  </w:style>
  <w:style w:type="character" w:customStyle="1" w:styleId="PiedepginaCar">
    <w:name w:val="Pie de página Car"/>
    <w:basedOn w:val="DefaultParagraphFont"/>
    <w:rPr>
      <w:rFonts w:ascii="Noto Sans" w:hAnsi="Noto Sans"/>
    </w:rPr>
  </w:style>
  <w:style w:type="paragraph" w:styleId="BalloonText">
    <w:name w:val="Balloon Text"/>
    <w:basedOn w:val="Normal"/>
    <w:rPr>
      <w:rFonts w:ascii="Tahoma" w:hAnsi="Tahoma" w:cs="Tahoma"/>
      <w:sz w:val="16"/>
      <w:szCs w:val="16"/>
    </w:rPr>
  </w:style>
  <w:style w:type="character" w:customStyle="1" w:styleId="TextodegloboCar">
    <w:name w:val="Texto de globo Car"/>
    <w:basedOn w:val="DefaultParagraphFont"/>
    <w:rPr>
      <w:rFonts w:ascii="Tahoma" w:hAnsi="Tahoma" w:cs="Tahoma"/>
      <w:sz w:val="16"/>
      <w:szCs w:val="16"/>
    </w:rPr>
  </w:style>
  <w:style w:type="paragraph" w:customStyle="1" w:styleId="Peudepgina">
    <w:name w:val="Peu de pàgina"/>
    <w:basedOn w:val="Normal"/>
    <w:pPr>
      <w:widowControl w:val="0"/>
      <w:autoSpaceDE w:val="0"/>
      <w:spacing w:line="220" w:lineRule="atLeast"/>
    </w:pPr>
    <w:rPr>
      <w:rFonts w:eastAsia="Times New Roman" w:cs="Bariol Regular"/>
      <w:sz w:val="15"/>
      <w:szCs w:val="15"/>
      <w:lang w:eastAsia="es-ES"/>
    </w:rPr>
  </w:style>
  <w:style w:type="character" w:styleId="Hyperlink">
    <w:name w:val="Hyperlink"/>
    <w:basedOn w:val="DefaultParagraphFont"/>
    <w:rPr>
      <w:color w:val="0000FF"/>
      <w:u w:val="single"/>
    </w:rPr>
  </w:style>
  <w:style w:type="paragraph" w:customStyle="1" w:styleId="Nmerodepgina">
    <w:name w:val="Número de pàgina"/>
    <w:basedOn w:val="Peudepgina"/>
    <w:pPr>
      <w:jc w:val="right"/>
    </w:pPr>
    <w:rPr>
      <w:sz w:val="18"/>
      <w:szCs w:val="18"/>
    </w:rPr>
  </w:style>
  <w:style w:type="paragraph" w:styleId="ListParagraph">
    <w:name w:val="List Paragraph"/>
    <w:basedOn w:val="Normal"/>
    <w:pPr>
      <w:ind w:left="720"/>
    </w:p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TextocomentarioCar">
    <w:name w:val="Texto comentario Car"/>
    <w:basedOn w:val="DefaultParagraphFont"/>
    <w:rPr>
      <w:rFonts w:cs="Arial"/>
      <w:lang w:val="pl-PL" w:eastAsia="en-US"/>
    </w:rPr>
  </w:style>
  <w:style w:type="paragraph" w:styleId="CommentSubject">
    <w:name w:val="annotation subject"/>
    <w:basedOn w:val="CommentText"/>
    <w:next w:val="CommentText"/>
    <w:rPr>
      <w:b/>
      <w:bCs/>
    </w:rPr>
  </w:style>
  <w:style w:type="character" w:customStyle="1" w:styleId="AsuntodelcomentarioCar">
    <w:name w:val="Asunto del comentario Car"/>
    <w:basedOn w:val="TextocomentarioCar"/>
    <w:rPr>
      <w:rFonts w:cs="Arial"/>
      <w:b/>
      <w:bCs/>
      <w:lang w:val="pl-P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18</Pages>
  <Words>5570</Words>
  <Characters>31753</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MAEC</Company>
  <LinksUpToDate>false</LinksUpToDate>
  <CharactersWithSpaces>37249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u107343</dc:creator>
  <cp:lastModifiedBy>Liana Brili</cp:lastModifiedBy>
  <cp:revision>6</cp:revision>
  <dcterms:created xsi:type="dcterms:W3CDTF">2022-09-16T09:45:00Z</dcterms:created>
  <dcterms:modified xsi:type="dcterms:W3CDTF">2022-10-01T14:40:00Z</dcterms:modified>
</cp:coreProperties>
</file>