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Der Minister für den Ökologischen Übergang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GESTÜTZT AUF</w:t>
      </w:r>
      <w:r>
        <w:rPr>
          <w:b/>
        </w:rPr>
        <w:tab/>
      </w:r>
      <w:r>
        <w:t xml:space="preserve">den Artikel 17 Absatz 3 des Gesetzes Nr. 400 vom 23. August 1988;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GESTÜTZT AUF</w:t>
      </w:r>
      <w:r>
        <w:rPr>
          <w:b/>
        </w:rPr>
        <w:tab/>
      </w:r>
      <w:r>
        <w:t xml:space="preserve">den Artikel 184b des gesetzvertretendes Dekrets Nr. 152 vom 3. April 2006 und insbesondere Absatz 2, der vorsieht, dass „die in Absatz 1 genannten Kriterien nach den Bestimmungen der EU-Vorschriften oder, wenn keine EU-Kriterien vorliegen, im Einzelfall durch einen oder mehrere Dekrete des Ministers für Umwelt und Landschafts- und Meeresschutz gemäß Artikel 17 Absatz 3 des Gesetzes Nr. 400 vom 23. August 1988 für bestimmte Abfallarten zu erlassen sind“;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GESTÜTZT AUF</w:t>
      </w:r>
      <w:r>
        <w:rPr>
          <w:b/>
        </w:rPr>
        <w:tab/>
      </w:r>
      <w:r>
        <w:t xml:space="preserve">die Richtlinie 2008/98/EG des Europäischen Parlaments und des Rates vom 19. November 2008, und insbesondere Artikel 11 Absatz 1, der u. a. vorsieht, dass die Mitgliedstaaten Maßnahmen zur Förderung selektiver Beseitigung ergreifen, um die sichere Entfernung und Behandlung gefährlicher Stoffe zu ermöglichen und eine hochwertige Wiederverwendung und das Recycling durch selektive Beseitigung von Materialien zu erleichtern;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GESTÜTZT AUF</w:t>
      </w:r>
      <w:r>
        <w:rPr>
          <w:b/>
        </w:rPr>
        <w:tab/>
      </w:r>
      <w:r>
        <w:t>Verordnung (EG) Nr. 1907/2006 des Europäischen Parlaments und des Rates vom 18. Dezember 2006 zur Registrierung, Bewertung, Zulassung und Beschränkung chemischer Stoffe (REACH), zur Schaffung einer Europäischen Chemikalienagentur, zur Änderung der Richtlinie 1999/45/EG und zur Aufhebung der Verordnung (EWG) Nr. 793/93 des Rates, der Verordnung (EG) Nr. 1488/94 der Kommission, der Richtlinie 76/769/EWG des Rates sowie der Richtlinien 91/155/EWG, 93/67/EWG, 93/105/EG und 2000/21/EG der Kommission;</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GESTÜTZT AUF</w:t>
      </w:r>
      <w:r>
        <w:rPr>
          <w:b/>
        </w:rPr>
        <w:tab/>
      </w:r>
      <w:r>
        <w:t>Verordnung (EG) Nr. 1221/2009 des Europäischen Parlaments und des Rates vom 25. November 2009 über die freiwillige Teilnahme von Organisationen an einem EU-System für Umweltmanagement und Umweltbetriebsprüfung (EMAS) und zur Aufhebung der Verordnung (EG) Nr. 761/2001, sowie der Beschlüsse der Kommission 2001/681/EG und 2006/193/EG der Kommission;</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GESTÜTZT AUF</w:t>
      </w:r>
      <w:r>
        <w:rPr>
          <w:b/>
        </w:rPr>
        <w:tab/>
      </w:r>
      <w:r>
        <w:t>gesetzvertretendes Dekret Nr. 82 vom 7. März 2005 mit dem „Kodex der digitalen Verwaltung“;</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t>GESTÜTZT AUF</w:t>
      </w:r>
      <w:r>
        <w:t>das Präsidialdekret Nr. 445 vom 28. Dezember 2000 mit dem Titel „Konsolidierter Text über die Rechts- und Verwaltungsvorschriften betreffend die Verwaltungsdokumentation“;</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t>GESTÜTZT AUF</w:t>
      </w:r>
      <w:r>
        <w:rPr>
          <w:b/>
        </w:rPr>
        <w:tab/>
      </w:r>
      <w:r>
        <w:t>das Dekret des Umweltministers vom 5. Februar 1998 über die Identifizierung nicht gefährlicher Abfälle, die gemäß den Artikeln 31 und 33 des gesetzvertretendes Dekrets Nr. 22 vom 5. Februar 1997 vereinfachten Verwertungsverfahren unterliegen, veröffentlicht im Amtsblatt Nr. 88 vom 16. April 1998;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UNTER ABWÄGUNG</w:t>
      </w:r>
      <w:r>
        <w:rPr>
          <w:b/>
        </w:rPr>
        <w:tab/>
      </w:r>
      <w:r>
        <w:t xml:space="preserve">,dass es einen Markt für die wiedergewonnene Gesteinskörnung gibt, weil sie häufig für die Durchführung von Bauarbeiten verwendet wird, den natürlichen Rohstoff ersetzt und einen tatsächlichen wirtschaftlichen Wert hat, dass es spezifische Zwecke gibt, für die der Stoff gemäß den in dieser Verordnung festgelegten Kriterien verwendet werden kann und dass er den Rechtsvorschriften und den geltenden </w:t>
      </w:r>
      <w:r>
        <w:rPr>
          <w:i/>
        </w:rPr>
        <w:t>Standards</w:t>
      </w:r>
      <w:r>
        <w:t xml:space="preserve"> für die Produkte entspricht;</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UNTER ABWÄGUNG</w:t>
      </w:r>
      <w:r>
        <w:rPr>
          <w:b/>
        </w:rPr>
        <w:tab/>
      </w:r>
      <w:r>
        <w:t>,dass die durchgeführte Untersuchung ergab, dass die wiedergewonnene Gesteinskörnung, die die Kriterien dieser Verordnung erfüllt, keine allgemeinen nachteiligen Auswirkungen auf die menschliche Gesundheit oder die Umwelt hat;</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rPr>
        <w:t>NACH EINHOLUNG</w:t>
      </w:r>
      <w:r>
        <w:rPr>
          <w:b/>
        </w:rPr>
        <w:tab/>
        <w:t xml:space="preserve"> </w:t>
      </w:r>
      <w:r>
        <w:t xml:space="preserve">der Stellungnahme des Staatsrates, die von der Beratenden Fachgruppe für Gesetzgebungsakte in der Sitzung von ……………………. abgegeben wurde;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rPr>
        <w:t>GESTÜTZT AUF</w:t>
      </w:r>
      <w:r>
        <w:t xml:space="preserve">die Mitteilung an den Präsidenten des Ministerrates gemäß Gesetz Nr. 400 vom 23. August 1988;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rPr>
        <w:t>GESTÜTZT AUF</w:t>
      </w:r>
      <w:r>
        <w:tab/>
        <w:t xml:space="preserve">die Mitteilung gemäß Artikel 5 der Richtlinie (EU) 2015/1535 über ein Informationsverfahren auf dem Gebiet der technischen Vorschriften und der Vorschriften für Dienste der Informationsgesellschaft mit Hinweis .....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Verabschiedet hiermit  </w:t>
      </w:r>
    </w:p>
    <w:p w14:paraId="09CAE138" w14:textId="77777777" w:rsidR="000B2060" w:rsidRDefault="009E72B8">
      <w:pPr>
        <w:spacing w:after="17" w:line="259" w:lineRule="auto"/>
        <w:ind w:left="10" w:right="63"/>
        <w:jc w:val="center"/>
      </w:pPr>
      <w:r>
        <w:t xml:space="preserve">die folgende Verordnung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Artikel 1 </w:t>
      </w:r>
    </w:p>
    <w:p w14:paraId="685448BB" w14:textId="4EFAB624" w:rsidR="000B2060" w:rsidRPr="005428D2" w:rsidRDefault="009E72B8" w:rsidP="00F51F5E">
      <w:pPr>
        <w:pStyle w:val="Heading1"/>
        <w:spacing w:after="120"/>
        <w:ind w:left="11" w:right="62" w:hanging="11"/>
        <w:rPr>
          <w:b w:val="0"/>
          <w:i/>
        </w:rPr>
      </w:pPr>
      <w:r>
        <w:rPr>
          <w:b w:val="0"/>
          <w:i/>
        </w:rPr>
        <w:t xml:space="preserve">Zweck und Ziele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 xml:space="preserve">In dieser Verordnung werden die spezifischen Kriterien festgelegt, nach denen Abfälle aus Bau- und Abbruchtätigkeiten und andere Inertabfälle mineralischer Herkunft gemäß Artikel 2 </w:t>
      </w:r>
      <w:r>
        <w:lastRenderedPageBreak/>
        <w:t>Absatz 1 Buchstaben a und b dieser Verordnung vorbehaltlich Verwertungsverfahren nicht mehr als</w:t>
      </w:r>
      <w:r>
        <w:rPr>
          <w:b/>
        </w:rPr>
        <w:t xml:space="preserve"> </w:t>
      </w:r>
      <w:r>
        <w:t xml:space="preserve"> Abfälle gemäß Art. 184b des gesetzvertretendes Dekrets Nr. 152 vom 3. April 2006 eingestuft werden.</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Artikel 2 </w:t>
      </w:r>
    </w:p>
    <w:p w14:paraId="160D19CA" w14:textId="6C79CD75" w:rsidR="000B2060" w:rsidRPr="00607D0C" w:rsidRDefault="009E72B8" w:rsidP="00F51F5E">
      <w:pPr>
        <w:pStyle w:val="Heading1"/>
        <w:spacing w:after="120"/>
        <w:ind w:left="11" w:right="62" w:hanging="11"/>
        <w:rPr>
          <w:b w:val="0"/>
          <w:i/>
        </w:rPr>
      </w:pPr>
      <w:r>
        <w:rPr>
          <w:b w:val="0"/>
          <w:i/>
        </w:rPr>
        <w:t xml:space="preserve">Begriffsbestimmungen </w:t>
      </w:r>
    </w:p>
    <w:p w14:paraId="0E8DB7DF" w14:textId="6AD3A87B" w:rsidR="008647FF" w:rsidRPr="00607D0C" w:rsidRDefault="008647FF" w:rsidP="00CA20B5">
      <w:pPr>
        <w:pStyle w:val="ListParagraph"/>
        <w:numPr>
          <w:ilvl w:val="0"/>
          <w:numId w:val="39"/>
        </w:numPr>
        <w:spacing w:after="60" w:line="266" w:lineRule="auto"/>
        <w:ind w:right="51"/>
        <w:contextualSpacing w:val="0"/>
      </w:pPr>
      <w:r>
        <w:t>Für die Zwecke dieser Verordnung werden die Begriffsbestimmungen des Art. 183 des gesetzvertretendes Dekrets Nr. 152 vom 3. April 2006 zusätzlich zu folgenden Begriffsbestimmungen angewandt:</w:t>
      </w:r>
    </w:p>
    <w:p w14:paraId="6DD3AD7E" w14:textId="19D52C13" w:rsidR="008647FF" w:rsidRPr="00CA20B5" w:rsidRDefault="008647FF" w:rsidP="005211CB">
      <w:pPr>
        <w:ind w:left="851" w:hanging="284"/>
        <w:rPr>
          <w:color w:val="000000" w:themeColor="text1"/>
        </w:rPr>
      </w:pPr>
      <w:r>
        <w:rPr>
          <w:rFonts w:ascii="Baskerville Old Face" w:hAnsi="Baskerville Old Face"/>
          <w:color w:val="000000" w:themeColor="text1"/>
        </w:rPr>
        <w:t xml:space="preserve">a) </w:t>
      </w:r>
      <w:r>
        <w:rPr>
          <w:color w:val="000000" w:themeColor="text1"/>
        </w:rPr>
        <w:t>'Inertabfälle aus Bau- und Abbrucharbeiten‘: Abfälle aus Bau- und Abbruchvorgängen gemäß Kapitel 17 der Europäischen Abfallliste gemäß der Entscheidung 2000/532/EG, die in Anhang 1 Tabelle 1 Nummer 1 der vorliegenden Verordnung aufgeführt sind;</w:t>
      </w:r>
    </w:p>
    <w:p w14:paraId="6CB39F8D" w14:textId="3ED766B8" w:rsidR="008647FF" w:rsidRPr="00CA20B5" w:rsidRDefault="008647FF" w:rsidP="005211CB">
      <w:pPr>
        <w:ind w:left="851" w:hanging="284"/>
        <w:rPr>
          <w:color w:val="000000" w:themeColor="text1"/>
        </w:rPr>
      </w:pPr>
      <w:r>
        <w:rPr>
          <w:color w:val="000000" w:themeColor="text1"/>
        </w:rPr>
        <w:t>b) „andere Inertabfälle mineralischer Herkunft“: Abfälle, die nicht zu Kapitel 17 der Europäischen Abfallliste gemäß der Entscheidung 2000/532/EG gehören und in Anhang 1 Tabelle 1 Nummer 2 der vorliegenden Verordnung aufgeführt sind;</w:t>
      </w:r>
    </w:p>
    <w:p w14:paraId="41FCC9E7" w14:textId="77777777" w:rsidR="008647FF" w:rsidRPr="00CA20B5" w:rsidRDefault="008647FF" w:rsidP="005211CB">
      <w:pPr>
        <w:ind w:left="851" w:hanging="284"/>
        <w:rPr>
          <w:color w:val="000000" w:themeColor="text1"/>
        </w:rPr>
      </w:pPr>
      <w:r>
        <w:rPr>
          <w:color w:val="000000" w:themeColor="text1"/>
        </w:rPr>
        <w:t>c) „Inertabfälle“: feste Abfälle aus Bau- und Abbrucharbeiten und andere Inertabfälle mineralischer Herkunft, die keiner wesentlichen physikalischen, chemischen oder biologischen Umwandlung unterzogen werden; Inertabfälle lösen sich nicht auf, brennen nicht oder reagieren nicht in anderer Weise physikalisch oder chemisch, sind nicht biologisch abbaubar und führen bei Berührung mit anderen Materialien nicht zu schädlichen Auswirkungen, die Umweltverschmutzung verursachen oder menschliche Gesundheit schädigen;</w:t>
      </w:r>
    </w:p>
    <w:p w14:paraId="19DA6921" w14:textId="77777777" w:rsidR="008647FF" w:rsidRPr="00CA20B5" w:rsidRDefault="008647FF" w:rsidP="005211CB">
      <w:pPr>
        <w:ind w:left="851" w:hanging="284"/>
        <w:rPr>
          <w:color w:val="auto"/>
        </w:rPr>
      </w:pPr>
      <w:r>
        <w:t>d) „wiedergewonnene Gesteinskörnung“; Abfälle im Sinne der Buchstaben a und b, die infolge eines oder mehrerer Verwertungsverfahren gemäß Artikel 184b Absatz 1 des gesetzvertretendes Dekrets Nr. 152 vom 3. April 2006 und den Bestimmungen dieses Dekrets nicht mehr als Abfall anzusehen sind;</w:t>
      </w:r>
    </w:p>
    <w:p w14:paraId="6AFFD208" w14:textId="77777777" w:rsidR="008647FF" w:rsidRPr="00CA20B5" w:rsidRDefault="008647FF" w:rsidP="005211CB">
      <w:pPr>
        <w:ind w:left="851" w:hanging="284"/>
      </w:pPr>
      <w:r>
        <w:t>e) „wiedergewonnene Gesteinskörnungpartie“: höchstens 3000 Kubikmeter wiedergewonnener Gesteinskörnung;</w:t>
      </w:r>
    </w:p>
    <w:p w14:paraId="73295BD6" w14:textId="77777777" w:rsidR="008647FF" w:rsidRPr="00CA20B5" w:rsidRDefault="008647FF" w:rsidP="005211CB">
      <w:pPr>
        <w:ind w:left="851" w:hanging="284"/>
      </w:pPr>
      <w:r>
        <w:t>f) „Hersteller wiedergewonnener Gesteinskörnung“: der Betreiber der Anlage, die für die Erzeugung von wiedergewonnener Gesteinskörnung zugelassen ist (im Folgenden nur: Hersteller);</w:t>
      </w:r>
    </w:p>
    <w:p w14:paraId="14B52658" w14:textId="77777777" w:rsidR="008647FF" w:rsidRPr="00CA20B5" w:rsidRDefault="008647FF" w:rsidP="005211CB">
      <w:pPr>
        <w:ind w:left="851" w:hanging="284"/>
      </w:pPr>
      <w:r>
        <w:t>g) „Konformitätserklärung“: eine Erklärung anstelle einer eidesstattlichen Erklärung des Herstellers, in der die Merkmale der wiedergewonnenen Gesteinskörnung gemäß Artikel 5 bescheinigt werden;</w:t>
      </w:r>
    </w:p>
    <w:p w14:paraId="5542E487" w14:textId="048CAC5A" w:rsidR="008647FF" w:rsidRPr="00CA20B5" w:rsidRDefault="008647FF" w:rsidP="005211CB">
      <w:pPr>
        <w:ind w:left="851" w:hanging="284"/>
      </w:pPr>
      <w:r>
        <w:t>h) „zuständige Behörde“: eine Behörde, die die Genehmigung nach Teil II Titel IIIa oder Teil IV Titel I Kapitel IV des gesetzvertretendes Dekrets Nr. 152 vom 3. April 2006 erteilt, d. h. eine Behörde, die die Mitteilung gemäß Artikel 216 dieses Dekrets erhält.</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Artikel 3 </w:t>
      </w:r>
    </w:p>
    <w:p w14:paraId="147552D8" w14:textId="688C6A32" w:rsidR="000B2060" w:rsidRPr="00607D0C" w:rsidRDefault="009E72B8" w:rsidP="00F51F5E">
      <w:pPr>
        <w:pStyle w:val="Heading1"/>
        <w:spacing w:after="120"/>
        <w:ind w:left="11" w:right="62" w:hanging="11"/>
        <w:rPr>
          <w:b w:val="0"/>
          <w:i/>
        </w:rPr>
      </w:pPr>
      <w:r>
        <w:rPr>
          <w:b w:val="0"/>
          <w:i/>
        </w:rPr>
        <w:t xml:space="preserve">Kriterien für den Status Ende der Abfalleigenschaft  </w:t>
      </w:r>
    </w:p>
    <w:p w14:paraId="73F7D280" w14:textId="12E55F31" w:rsidR="000B2060" w:rsidRDefault="009E72B8" w:rsidP="00CA20B5">
      <w:pPr>
        <w:pStyle w:val="ListParagraph"/>
        <w:numPr>
          <w:ilvl w:val="0"/>
          <w:numId w:val="40"/>
        </w:numPr>
        <w:spacing w:after="12" w:line="267" w:lineRule="auto"/>
        <w:ind w:right="51"/>
      </w:pPr>
      <w:r>
        <w:t xml:space="preserve">Für die Zwecke des Artikels 1 und gemäß Artikel 184b des gesetzvertretendes Dekrets Nr. 152 vom 3. April 2006 werden Inertabfälle aus Bau- und Abbrucharbeiten und andere Inertabfälle mineralischer Herkunft im Sinne von Artikel 2 Buchstaben a und b nicht mehr als </w:t>
      </w:r>
      <w:r>
        <w:lastRenderedPageBreak/>
        <w:t xml:space="preserve">Abfall eingestuft und werden als wiedergewonnene Gesteinskörnung eingestuft, wenn </w:t>
      </w:r>
      <w:r>
        <w:rPr>
          <w:color w:val="auto"/>
        </w:rPr>
        <w:t xml:space="preserve">das gleiche den Kriterien in </w:t>
      </w:r>
      <w:r>
        <w:t xml:space="preserve">Anhang 1 entspricht.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t xml:space="preserve">Artikel 4 </w:t>
      </w:r>
    </w:p>
    <w:p w14:paraId="6DB7C9A8" w14:textId="1626EFD9" w:rsidR="000B2060" w:rsidRPr="008610D3" w:rsidRDefault="009E72B8" w:rsidP="00F51F5E">
      <w:pPr>
        <w:pStyle w:val="Heading1"/>
        <w:spacing w:after="120"/>
        <w:ind w:left="11" w:right="62" w:hanging="11"/>
        <w:rPr>
          <w:b w:val="0"/>
          <w:i/>
        </w:rPr>
      </w:pPr>
      <w:r>
        <w:rPr>
          <w:b w:val="0"/>
          <w:i/>
        </w:rPr>
        <w:t xml:space="preserve">Spezifische Verwendungszwecke </w:t>
      </w:r>
    </w:p>
    <w:p w14:paraId="0D851D94" w14:textId="66DC1D1D" w:rsidR="000B2060" w:rsidRDefault="009E72B8" w:rsidP="00CA20B5">
      <w:pPr>
        <w:pStyle w:val="ListParagraph"/>
        <w:numPr>
          <w:ilvl w:val="0"/>
          <w:numId w:val="41"/>
        </w:numPr>
        <w:spacing w:after="12" w:line="267" w:lineRule="auto"/>
        <w:ind w:right="51"/>
      </w:pPr>
      <w:r>
        <w:t xml:space="preserve">Die wiedergewonnene Gesteinskörnung darf nur für die in Anhang 2 aufgeführten spezifischen Zwecke verwendet werden.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t xml:space="preserve">Artikel 5 </w:t>
      </w:r>
    </w:p>
    <w:p w14:paraId="2A0C2A18" w14:textId="26FCCECD" w:rsidR="000B2060" w:rsidRPr="008610D3" w:rsidRDefault="009E72B8" w:rsidP="00F51F5E">
      <w:pPr>
        <w:pStyle w:val="Heading1"/>
        <w:spacing w:after="120"/>
        <w:ind w:left="11" w:right="62" w:hanging="11"/>
        <w:rPr>
          <w:i/>
        </w:rPr>
      </w:pPr>
      <w:r>
        <w:rPr>
          <w:b w:val="0"/>
          <w:i/>
        </w:rPr>
        <w:t xml:space="preserve">Konformitätserklärung und Vorkehrungen für die Aufbewahrung von Stichproben </w:t>
      </w:r>
    </w:p>
    <w:p w14:paraId="2FB7AF9D" w14:textId="6C743069" w:rsidR="000B2060" w:rsidRDefault="009E72B8" w:rsidP="00CA20B5">
      <w:pPr>
        <w:pStyle w:val="ListParagraph"/>
        <w:numPr>
          <w:ilvl w:val="0"/>
          <w:numId w:val="42"/>
        </w:numPr>
        <w:spacing w:after="12" w:line="267" w:lineRule="auto"/>
        <w:ind w:right="51"/>
      </w:pPr>
      <w:r>
        <w:t xml:space="preserve">Die Einhaltung der in Artikel 3 genannten Kriterien wird vom Hersteller wiedergewonnener Gesteinskörnung durch eine Erklärung anstelle der eidesstattlichen Erklärung gemäß Artikel 47 des Präsidialdekrets Nr. 445 vom 28. Dezember 2000 bescheinigt, der für jede hergestellte wiedergewonnene Gesteinskörnungpartie vorbereitet wurde. Die Erklärung wird unter Verwendung des Formulars in Anhang 3 erstellt und der zuständigen Behörde und der zuständigen Umweltschutzbehörde vor Ort nach einer der in Artikel 65 des gesetzvertretendes Dekrets Nr. 82 vom 7. März 2005 genannten Methoden übermittelt. </w:t>
      </w:r>
    </w:p>
    <w:p w14:paraId="34D8EC28" w14:textId="599778F9" w:rsidR="000B2060" w:rsidRDefault="009E72B8" w:rsidP="00CA20B5">
      <w:pPr>
        <w:pStyle w:val="ListParagraph"/>
        <w:numPr>
          <w:ilvl w:val="0"/>
          <w:numId w:val="40"/>
        </w:numPr>
        <w:ind w:right="51"/>
      </w:pPr>
      <w:r>
        <w:t xml:space="preserve">Der Hersteller wiedergewonnener Gesteinskörnung bewahrt eine Kopie der in Absatz 1 genannten Erklärung in der Produktionsanlage oder an seinem Sitz, einschließlich in elektronischer Form auf, und stellt sie den Aufsichtsbehörden, die sie beantragen, zur Verfügung.  </w:t>
      </w:r>
    </w:p>
    <w:p w14:paraId="00E8975F" w14:textId="26A2EED6" w:rsidR="000B2060" w:rsidRDefault="005211CB" w:rsidP="00CA20B5">
      <w:pPr>
        <w:pStyle w:val="ListParagraph"/>
        <w:numPr>
          <w:ilvl w:val="0"/>
          <w:numId w:val="40"/>
        </w:numPr>
        <w:ind w:right="51"/>
      </w:pPr>
      <w:r>
        <w:t xml:space="preserve">Um die Kriterien des Artikels 3 zu erfüllen, bewahrt der Hersteller wiedergewonnener Gesteinskörnung fünf Jahre lang eine Stichprobe der wiedergewonnenen Gesteinskörnung, die am Ende des Produktionsprozesses jeder wiedergewonnenen Gesteinskörnungpartie gemäß UNI 10802 entnommen wurde, in der Produktionsanlage oder an seinem Sitz auf. Das Verfahren zum Aufbewahren der Stichprobe muss gewährleisten, dass die chemischen und physikalischen Eigenschaften der wiedergewonnenen Gesteinskörnung nicht verändert werden und zu wiederholten Analysen geeignet sind.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Artikel 6 </w:t>
      </w:r>
    </w:p>
    <w:p w14:paraId="0ADCBA18" w14:textId="61BFB2AB" w:rsidR="000B2060" w:rsidRPr="008610D3" w:rsidRDefault="009E72B8" w:rsidP="007B53AC">
      <w:pPr>
        <w:pStyle w:val="Heading1"/>
        <w:spacing w:after="120"/>
        <w:ind w:left="11" w:right="62" w:hanging="11"/>
        <w:rPr>
          <w:b w:val="0"/>
          <w:i/>
        </w:rPr>
      </w:pPr>
      <w:r>
        <w:rPr>
          <w:b w:val="0"/>
          <w:i/>
        </w:rPr>
        <w:t xml:space="preserve">Bewirtschaftungssystem  </w:t>
      </w:r>
    </w:p>
    <w:p w14:paraId="0DD1A645" w14:textId="3688D537" w:rsidR="000B2060" w:rsidRPr="00CA20B5" w:rsidRDefault="005211CB" w:rsidP="00CA20B5">
      <w:pPr>
        <w:pStyle w:val="ListParagraph"/>
        <w:numPr>
          <w:ilvl w:val="0"/>
          <w:numId w:val="43"/>
        </w:numPr>
        <w:ind w:right="51"/>
      </w:pPr>
      <w:r>
        <w:t>Der Hersteller wiedergewonnener Gesteinskörnung wendet ein Qualitätsmanagementsystem gemäß der Norm UNI EN ISO 9001 an, das von einer nach den geltenden Rechtsvorschriften akkreditierten Organisation zertifiziert wurde und die Einhaltung der in dieser Verordnung festgelegten Kriterien belegt. Das Qualitätshandbuch enthält operationelle Verfahren zur Überprüfung der Merkmale der Einhaltung der Kriterien in Anhang 1 des Probenahme- und Selbstüberwachungsplans.</w:t>
      </w:r>
    </w:p>
    <w:p w14:paraId="71F6D2EA" w14:textId="171C3204" w:rsidR="005211CB" w:rsidRPr="001B60FC" w:rsidRDefault="005211CB" w:rsidP="00CA20B5">
      <w:pPr>
        <w:pStyle w:val="ListParagraph"/>
        <w:numPr>
          <w:ilvl w:val="0"/>
          <w:numId w:val="43"/>
        </w:numPr>
        <w:ind w:right="51"/>
      </w:pPr>
      <w:r>
        <w:t>Die in Artikel 5 Absatz 3 genannten Bestimmungen gelten nicht für eingetragene Gesellschaften gemäß der Verordnung (EG) Nr. 1221/2009 des Europäischen Parlaments und des Rates vom 25. November 2009 oder für Unternehmen, die im Besitz der Umweltzertifizierung UNI EN ISO 14001 sind, die von einer akkreditierten Stelle gemäß den geltenden Rechtsvorschriften ausgestellt wurde.</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Artikel 7 </w:t>
      </w:r>
    </w:p>
    <w:p w14:paraId="3EE44B21" w14:textId="4328195D" w:rsidR="000B2060" w:rsidRPr="001571B3" w:rsidRDefault="009E72B8" w:rsidP="007B53AC">
      <w:pPr>
        <w:pStyle w:val="Heading1"/>
        <w:spacing w:after="120"/>
        <w:ind w:left="11" w:right="62" w:hanging="11"/>
        <w:rPr>
          <w:b w:val="0"/>
          <w:i/>
        </w:rPr>
      </w:pPr>
      <w:r>
        <w:rPr>
          <w:b w:val="0"/>
          <w:i/>
        </w:rPr>
        <w:t xml:space="preserve">Übergangs- und Schlussbestimmungen </w:t>
      </w:r>
    </w:p>
    <w:p w14:paraId="77F5A694" w14:textId="21F82AE1" w:rsidR="000B2060" w:rsidRDefault="009E72B8" w:rsidP="00CA20B5">
      <w:pPr>
        <w:pStyle w:val="ListParagraph"/>
        <w:numPr>
          <w:ilvl w:val="0"/>
          <w:numId w:val="44"/>
        </w:numPr>
        <w:ind w:right="51"/>
      </w:pPr>
      <w:r>
        <w:t xml:space="preserve"> Um die in dieser Verordnung festgelegten Kriterien zu erfüllen, übermittelt der Hersteller der zuständigen Behörde innerhalb von 180 Tagen nach Inkrafttreten dieser Verordnung eine Aktualisierung der Mitteilung gemäß Artikel 216 des gesetzvertretendes Dekrets Nr. 152 vom 3. April 2006, in der der einzuziehende Höchstbetrag angegeben ist, oder einen Antrag auf Aktualisierung der gemäß Kapitel IV Titel I Teil IV oder Titel IIIa des zweiten Teils des gesetzvertretendes Dekrets Nr. 152 vom 3. April 2006 erteilten Genehmigung. Bei vereinfachten Verfahren bleiben die im Dekret des Umweltministers vom 5. Februar 1998 in Anhang 4 festgelegten Höchstmengen, die technischen Normen in Anhang 5 und die Emissionsgrenzwerte gemäß Anhang 1 Unteranhang 2 fest. </w:t>
      </w:r>
    </w:p>
    <w:p w14:paraId="26047A06" w14:textId="77777777" w:rsidR="000B2060" w:rsidRDefault="009E72B8" w:rsidP="00CA20B5">
      <w:pPr>
        <w:pStyle w:val="ListParagraph"/>
        <w:numPr>
          <w:ilvl w:val="0"/>
          <w:numId w:val="44"/>
        </w:numPr>
        <w:ind w:right="51"/>
      </w:pPr>
      <w:r>
        <w:t xml:space="preserve">Bis zu der in Absatz 1 genannten Anpassung können Materialien, die sich aus bereits genehmigten Verwertungsverfahren ergeben, für die in Artikel 4 genannten spezifischen Zwecke verwendet werden, wenn sie Merkmale aufweisen, die den in Artikel 3 genannten Kriterien entsprechen und durch eine Konformitätserklärung gemäß Artikel 5 bescheinigt wurden. </w:t>
      </w:r>
    </w:p>
    <w:p w14:paraId="14C9EE35" w14:textId="3E32E2C5" w:rsidR="000B2060" w:rsidRDefault="009E72B8" w:rsidP="00CA20B5">
      <w:pPr>
        <w:pStyle w:val="ListParagraph"/>
        <w:numPr>
          <w:ilvl w:val="0"/>
          <w:numId w:val="44"/>
        </w:numPr>
        <w:ind w:right="51"/>
      </w:pPr>
      <w:r>
        <w:t xml:space="preserve">Die Anhänge sind integraler Bestandteil dieser Verordnung.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Das vorliegende Dekret, versehen mit dem Staatssiegel, wird in die amtliche Sammlung der Rechtsakte der italienischen Republik aufgenommen. Alle interessierten Parteien sind verpflichtet, diese Verordnung einzuhalten und dies zu gewährleisten.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Anhang 1 (Artikel 3)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förderfähige Abfälle. </w:t>
      </w:r>
    </w:p>
    <w:p w14:paraId="14E32E02" w14:textId="44D47E89" w:rsidR="001A66C5" w:rsidRPr="00E126AE" w:rsidRDefault="001A66C5" w:rsidP="001A66C5">
      <w:pPr>
        <w:spacing w:after="0" w:line="259" w:lineRule="auto"/>
        <w:ind w:left="0" w:firstLine="0"/>
        <w:rPr>
          <w:color w:val="auto"/>
          <w:sz w:val="22"/>
        </w:rPr>
      </w:pPr>
      <w:r>
        <w:rPr>
          <w:color w:val="auto"/>
        </w:rPr>
        <w:t>Für die Herstellung wiedergewonnener Gesteinskörnung dürfen nur nicht gefährliche Bau- und Abbruchabfälle gemäß Tabelle 1 Nummer 1 und nicht gefährliche Inertabfälle mineralischen Ursprungs gemäß Tabelle 1 Nummer 2 verwendet werden.</w:t>
      </w:r>
    </w:p>
    <w:p w14:paraId="520B0D8E" w14:textId="0360FF1C" w:rsidR="001A66C5" w:rsidRPr="00E126AE" w:rsidRDefault="00D55B0D" w:rsidP="00435FEC">
      <w:pPr>
        <w:spacing w:after="0" w:line="259" w:lineRule="auto"/>
        <w:ind w:left="0" w:firstLine="0"/>
        <w:rPr>
          <w:color w:val="auto"/>
        </w:rPr>
      </w:pPr>
      <w:r>
        <w:rPr>
          <w:color w:val="auto"/>
        </w:rPr>
        <w:t>Abfälle, die für die Herstellung wiedergewonnener Gesteinskörnung in Frage kommen, stammen ausschließlich aus Produkten, die zuvor dekontaminiert/saniert wurden, um asbesthaltige Materialien, PCB enthaltende/kontaminierte Ausstattung, bituminöse Hüllen, potenziell gefährliche Beschichtungen und Isoliermaterial sowie andere kontaminierte Materialien bzw. Materialien, die gefährliche Stoffe enthalten, im Sinne der Entscheidung 2000/532/EG und der Richtlinie 2008/98/EG zu entfernen. Die zulässigen Abfälle stammen bevorzugt aus wahlweise zerstörten Produkten.</w:t>
      </w:r>
    </w:p>
    <w:p w14:paraId="3AB8468F" w14:textId="5C103CE9" w:rsidR="000B2060" w:rsidRPr="00E126AE" w:rsidRDefault="001A66C5" w:rsidP="001A66C5">
      <w:pPr>
        <w:spacing w:after="0" w:line="259" w:lineRule="auto"/>
        <w:ind w:left="0" w:firstLine="0"/>
        <w:rPr>
          <w:color w:val="auto"/>
        </w:rPr>
      </w:pPr>
      <w:r>
        <w:rPr>
          <w:color w:val="auto"/>
        </w:rPr>
        <w:t xml:space="preserve">Abfälle aus verlassenen oder verschütteten Bau- und Abbrucharbeiten kommen für die Erzeugung wiedergewonnener Gesteinskörnung nicht in Betracht.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Inertabfälle aus Bau- und Abbrucharbeiten </w:t>
            </w:r>
            <w:r>
              <w:rPr>
                <w:color w:val="auto"/>
              </w:rPr>
              <w:t xml:space="preserve">(Kapitel 17 der Europäischen Abfallliste)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Zement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Ziegel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Fliesen und Keramik </w:t>
            </w:r>
          </w:p>
          <w:p w14:paraId="26105786" w14:textId="0427E9EF" w:rsidR="00563958" w:rsidRDefault="00563958" w:rsidP="001F73B8">
            <w:pPr>
              <w:spacing w:after="0" w:line="259" w:lineRule="auto"/>
              <w:ind w:left="708" w:right="60" w:hanging="708"/>
              <w:rPr>
                <w:color w:val="auto"/>
              </w:rPr>
            </w:pPr>
            <w:r>
              <w:rPr>
                <w:color w:val="auto"/>
              </w:rPr>
              <w:t xml:space="preserve">170107 Zementmischungen oder Schlackenzement, Ziegeln, Fliesen und Keramik, mit Ausnahme derjenigen, die unter die Position 170106 fallen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Bituminöse Mischungen, mit Ausnahme derjenigen, die unter die Position 170301 fallen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Bodenaushub und Gesteine, mit Ausnahme derjenigen, die unter die Position 170503 fallen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Splitt für Gleisschotter, mit Ausnahme derjenigen, die unter die Position 170507 fallen </w:t>
            </w:r>
          </w:p>
          <w:p w14:paraId="1FC36289" w14:textId="77777777" w:rsidR="00563958" w:rsidRPr="001A66C5" w:rsidRDefault="00563958" w:rsidP="001F73B8">
            <w:pPr>
              <w:spacing w:after="0" w:line="259" w:lineRule="auto"/>
              <w:ind w:left="699" w:right="60" w:hanging="708"/>
              <w:rPr>
                <w:color w:val="auto"/>
              </w:rPr>
            </w:pPr>
            <w:r>
              <w:rPr>
                <w:color w:val="auto"/>
              </w:rPr>
              <w:t>170904 Gemischte Bau- und Abbruchabfälle, mit Ausnahme derjenigen, die unter die Position 170901, 170902 und 170903 fallen</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Andere Inertabfälle mineralischer Herkunft (</w:t>
            </w:r>
            <w:r>
              <w:rPr>
                <w:color w:val="auto"/>
              </w:rPr>
              <w:t>die nicht zu Kapitel 17 der Europäischen Abfallliste gehören)</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Abfälle von Kies und Schotter mit Ausnahme derjenigen, die unter die Position 01 04 07 fallen </w:t>
            </w:r>
          </w:p>
          <w:p w14:paraId="23AB3524" w14:textId="09169AA3" w:rsidR="000B2060" w:rsidRPr="001A66C5" w:rsidRDefault="009E72B8">
            <w:pPr>
              <w:spacing w:after="16" w:line="259" w:lineRule="auto"/>
              <w:ind w:left="0" w:firstLine="0"/>
              <w:jc w:val="left"/>
              <w:rPr>
                <w:color w:val="auto"/>
              </w:rPr>
            </w:pPr>
            <w:r>
              <w:rPr>
                <w:color w:val="auto"/>
              </w:rPr>
              <w:t xml:space="preserve">010409 Abfälle von Sand und Ton </w:t>
            </w:r>
          </w:p>
          <w:p w14:paraId="7A226E88" w14:textId="77777777" w:rsidR="000B2060" w:rsidRPr="001A66C5" w:rsidRDefault="009E72B8">
            <w:pPr>
              <w:spacing w:after="16" w:line="259" w:lineRule="auto"/>
              <w:ind w:left="0" w:firstLine="0"/>
              <w:jc w:val="left"/>
              <w:rPr>
                <w:color w:val="auto"/>
              </w:rPr>
            </w:pPr>
            <w:r>
              <w:rPr>
                <w:color w:val="auto"/>
              </w:rPr>
              <w:t xml:space="preserve">010410 Staub und ähnliche Rückstände, mit Ausnahme derjenigen, die unter die Position 010407 fallen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Abfälle vom Zerteilen und Sägen von Steinen, mit Ausnahme derjenigen, die unter die Position 010407 fallen </w:t>
            </w:r>
          </w:p>
          <w:p w14:paraId="4AE084E7" w14:textId="18C3375C" w:rsidR="000B2060" w:rsidRPr="001A66C5" w:rsidRDefault="009E72B8">
            <w:pPr>
              <w:spacing w:after="16" w:line="259" w:lineRule="auto"/>
              <w:ind w:left="0" w:firstLine="0"/>
              <w:jc w:val="left"/>
              <w:rPr>
                <w:color w:val="auto"/>
              </w:rPr>
            </w:pPr>
            <w:r>
              <w:rPr>
                <w:color w:val="auto"/>
              </w:rPr>
              <w:t xml:space="preserve">101201 Rückstände von Zubereitungsmischungen, die nicht wärmebehandelt wurden </w:t>
            </w:r>
          </w:p>
          <w:p w14:paraId="7FE59863" w14:textId="77777777" w:rsidR="000B2060" w:rsidRDefault="009E72B8">
            <w:pPr>
              <w:spacing w:after="0" w:line="259" w:lineRule="auto"/>
              <w:ind w:left="708" w:right="60" w:hanging="708"/>
              <w:rPr>
                <w:color w:val="auto"/>
              </w:rPr>
            </w:pPr>
            <w:r>
              <w:rPr>
                <w:color w:val="auto"/>
              </w:rPr>
              <w:t xml:space="preserve">101206 Verschrottene Formen, die ausschließlich aus Spänen und Abfällen von angebrannten glasierten und gebrannten keramischen Erzeugnissen oder aus gebrannten Terrakottaspänen und Blähton bestehen, die möglicherweise mit ungebrannter Glasur in einer Konzentration von &lt; 10 % Gewichtsprozent bedeckt sind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Keramikabfälle, Ziegel, Fliesen und Baustoffe (wärmebehandelt)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Abfälle aus der Herstellung von Verbundstoffen auf Zementbasis, mit Ausnahme derjenigen, die unter 101309 und 101310 fallen </w:t>
            </w:r>
          </w:p>
          <w:p w14:paraId="4442198A" w14:textId="43BD1BC2" w:rsidR="00D55B0D" w:rsidRDefault="00563958" w:rsidP="00563958">
            <w:pPr>
              <w:spacing w:after="0" w:line="259" w:lineRule="auto"/>
              <w:ind w:left="708" w:right="60" w:hanging="708"/>
              <w:rPr>
                <w:color w:val="auto"/>
              </w:rPr>
            </w:pPr>
            <w:r>
              <w:rPr>
                <w:color w:val="auto"/>
              </w:rPr>
              <w:lastRenderedPageBreak/>
              <w:t xml:space="preserve">120117 Rückstände von Strahlmitteln, mit Ausnahme derjenigen, die unter die Position 120116 fallen und ausschließlich aus abrasiven Abfallsanden bestehen </w:t>
            </w:r>
          </w:p>
          <w:p w14:paraId="225763E4" w14:textId="46F1C5E7" w:rsidR="00563958" w:rsidRPr="001A66C5" w:rsidRDefault="00563958" w:rsidP="00563958">
            <w:pPr>
              <w:spacing w:after="0" w:line="259" w:lineRule="auto"/>
              <w:ind w:left="708" w:right="60" w:hanging="708"/>
              <w:rPr>
                <w:color w:val="auto"/>
              </w:rPr>
            </w:pPr>
            <w:r>
              <w:rPr>
                <w:color w:val="auto"/>
              </w:rPr>
              <w:t>191209 Mineralien (z. B. Sand, Gestein)</w:t>
            </w:r>
          </w:p>
        </w:tc>
      </w:tr>
    </w:tbl>
    <w:p w14:paraId="2957BE6E" w14:textId="68A671EE" w:rsidR="000B2060" w:rsidRDefault="001A66C5" w:rsidP="001A66C5">
      <w:pPr>
        <w:spacing w:after="0" w:line="259" w:lineRule="auto"/>
        <w:ind w:left="0" w:firstLine="0"/>
        <w:jc w:val="center"/>
      </w:pPr>
      <w:r>
        <w:rPr>
          <w:sz w:val="18"/>
        </w:rPr>
        <w:lastRenderedPageBreak/>
        <w:t>Tabelle 1 – Abfälle, die für die Herstellung wiedergewonnener Gesteinskörnung zulässig sind</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t xml:space="preserve">b) Kontrolle der angelieferten Abfälle.  </w:t>
      </w:r>
    </w:p>
    <w:p w14:paraId="2EC2AED3" w14:textId="77777777" w:rsidR="00E126AE" w:rsidRPr="00E126AE" w:rsidRDefault="00E126AE" w:rsidP="00E126AE">
      <w:pPr>
        <w:spacing w:after="0" w:line="259" w:lineRule="auto"/>
        <w:ind w:left="0" w:firstLine="0"/>
        <w:rPr>
          <w:color w:val="auto"/>
          <w:sz w:val="22"/>
        </w:rPr>
      </w:pPr>
      <w:r>
        <w:rPr>
          <w:color w:val="auto"/>
        </w:rPr>
        <w:t>Abfälle, die für die Herstellung von wiedergewonnener Gesteinskörnung zugelassen sind, unterliegen einer Prüfung der den angelieferten Abfällen beigefügten Unterlagen, einer Sichtkontrolle und zusätzlichen Prüfungen, soweit erforderlich.</w:t>
      </w:r>
    </w:p>
    <w:p w14:paraId="7DB9A040" w14:textId="281FD861" w:rsidR="00E126AE" w:rsidRPr="00E126AE" w:rsidRDefault="00E126AE" w:rsidP="00E126AE">
      <w:pPr>
        <w:spacing w:after="0" w:line="259" w:lineRule="auto"/>
        <w:ind w:left="0" w:firstLine="0"/>
        <w:rPr>
          <w:color w:val="auto"/>
        </w:rPr>
      </w:pPr>
      <w:r>
        <w:rPr>
          <w:color w:val="auto"/>
        </w:rPr>
        <w:t>Daher muss der Hersteller der wiedergewonnenen Gesteinskörnung über ein System verfügen, mit dem überprüft wird, ob die Abfälle den in dieser Verordnung festgelegten Merkmalen entsprechen.</w:t>
      </w:r>
    </w:p>
    <w:p w14:paraId="5545C204" w14:textId="44B7EC22" w:rsidR="00E126AE" w:rsidRPr="00E126AE" w:rsidRDefault="00E126AE" w:rsidP="00E126AE">
      <w:pPr>
        <w:spacing w:after="0" w:line="259" w:lineRule="auto"/>
        <w:ind w:left="0" w:firstLine="0"/>
        <w:rPr>
          <w:color w:val="auto"/>
        </w:rPr>
      </w:pPr>
      <w:r>
        <w:rPr>
          <w:color w:val="auto"/>
        </w:rPr>
        <w:t xml:space="preserve">Für Unternehmen, die gemäß der Verordnung (EG) Nr. 1221/2009 des Europäischen Parlaments und des Rates vom 25. November 2009 registriert sind, und für Unternehmen, die Besitzer der Umweltzertifizierung UNI EN ISO 14001 sind, die von einer nach den geltenden Rechtsvorschriften akkreditierten Organisation ausgestellt wurde, ist dieses System in das Umweltmanagementsystem aufzunehmen. </w:t>
      </w:r>
    </w:p>
    <w:p w14:paraId="7030FC93" w14:textId="77777777" w:rsidR="00E126AE" w:rsidRPr="00E126AE" w:rsidRDefault="00E126AE" w:rsidP="00E126AE">
      <w:pPr>
        <w:spacing w:after="0" w:line="259" w:lineRule="auto"/>
        <w:ind w:left="0" w:firstLine="0"/>
        <w:rPr>
          <w:color w:val="auto"/>
        </w:rPr>
      </w:pPr>
      <w:r>
        <w:rPr>
          <w:color w:val="auto"/>
        </w:rPr>
        <w:t>Das System gewährleistet zumindest die Einhaltung der folgenden Verpflichtungen und erfordert die Einführung eines Verfahrens für die Verwaltung, Rückverfolgbarkeit und Meldung festgestellter Verstöße:</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die Prüfung der Unterlagen, die den angelieferten Abfällen durch das Personal mit einem angemessenen Schulungsniveau beigefügt sind;</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Sichtkontrolle der angelieferten Abfälle;</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solche Abfälle nur dann anzunehmen, wenn die Prüfung der Begleitunterlagen und die Sichtkontrolle unter der Aufsicht des Personals mit Abschluss einer jährlichen Schulung und der Auffrischungskurse zur Sortierung der Abfälle und zur Entfernung und Trennung von Fremdkörpern erfolgreich abgelaufen ist;</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Wiegen und Aufzeichnen der Lastangabe der angelieferten Abfälle;</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getrennte Lagerung in einem speziellen Gebiet von Abfällen, die nicht den in dieser Verordnung festgelegten Kriterien entsprechen;</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die Einbringung konformer Abfälle gemäß Tabelle l dieses Anhangs in den ausschließlich dafür vorgesehenen Bereich, der so strukturiert ist, dass das Vermischen, einschließlich unbeabsichtigter Vermischung mit anderen nicht zulässigen Abfallarten verhindert wird;</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die Behandlung von Abfällen, die vom Personal mit Abschluss einer jährlichen Schulung und der Auffrischungskurse zur Herstellung von wiedergewonnener Gesteinskörnung verschickt wurden, um eine Kontamination der Abfälle mit anderen Abfällen oder Fremdkörpern zu verhindern;</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Durchführung zusätzlicher Prüfungen, einschließlich analytischer Prüfungen auf Stichprobenbasis oder, wenn die Analyse der Unterlagen und/oder die Sichtkontrolle auf diese Notwendigkeit hindeuten. </w:t>
      </w:r>
    </w:p>
    <w:p w14:paraId="0164859B" w14:textId="77777777" w:rsidR="000B2060" w:rsidRDefault="009E72B8">
      <w:pPr>
        <w:spacing w:after="18" w:line="259" w:lineRule="auto"/>
        <w:ind w:left="-5"/>
        <w:jc w:val="left"/>
      </w:pPr>
      <w:r>
        <w:rPr>
          <w:b/>
        </w:rPr>
        <w:t xml:space="preserve">c) Mindestherstellungsprozess und Lagerung beim Hersteller </w:t>
      </w:r>
    </w:p>
    <w:p w14:paraId="0866423C" w14:textId="77777777" w:rsidR="000B2060" w:rsidRDefault="009E72B8">
      <w:pPr>
        <w:spacing w:after="35" w:line="267" w:lineRule="auto"/>
        <w:ind w:left="-5" w:right="49"/>
      </w:pPr>
      <w:r>
        <w:t xml:space="preserve">Das Verfahren zur Behandlung und Verwertung von "Inertabfällen aus Bau- und Abbrucharbeiten“ und "sonstiger Inertabfälle mineralischer Herkunft“ im Sinne des Artikels 2 Buchstaben a und b für die Herstellung der wiedergewonnenen Gesteinskörnung verläuft in mechanisch und technologisch miteinander verbundenen Schritten, wie z. B.: </w:t>
      </w:r>
    </w:p>
    <w:p w14:paraId="5607B0BE" w14:textId="77777777" w:rsidR="000B2060" w:rsidRDefault="009E72B8">
      <w:pPr>
        <w:numPr>
          <w:ilvl w:val="0"/>
          <w:numId w:val="6"/>
        </w:numPr>
        <w:spacing w:after="44"/>
        <w:ind w:right="51" w:hanging="708"/>
      </w:pPr>
      <w:r>
        <w:t xml:space="preserve">Abfallzerkleinerung,  </w:t>
      </w:r>
    </w:p>
    <w:p w14:paraId="0014502B" w14:textId="77777777" w:rsidR="000B2060" w:rsidRDefault="009E72B8">
      <w:pPr>
        <w:numPr>
          <w:ilvl w:val="0"/>
          <w:numId w:val="6"/>
        </w:numPr>
        <w:spacing w:after="46"/>
        <w:ind w:right="51" w:hanging="708"/>
      </w:pPr>
      <w:r>
        <w:lastRenderedPageBreak/>
        <w:t xml:space="preserve">Aussonderung,  </w:t>
      </w:r>
    </w:p>
    <w:p w14:paraId="2654230A" w14:textId="77777777" w:rsidR="000B2060" w:rsidRDefault="009E72B8">
      <w:pPr>
        <w:numPr>
          <w:ilvl w:val="0"/>
          <w:numId w:val="6"/>
        </w:numPr>
        <w:spacing w:after="44"/>
        <w:ind w:right="51" w:hanging="708"/>
      </w:pPr>
      <w:r>
        <w:t xml:space="preserve">Auswahl der Granulometrie, </w:t>
      </w:r>
    </w:p>
    <w:p w14:paraId="04D110ED" w14:textId="77777777" w:rsidR="000B2060" w:rsidRDefault="009E72B8">
      <w:pPr>
        <w:numPr>
          <w:ilvl w:val="0"/>
          <w:numId w:val="6"/>
        </w:numPr>
        <w:ind w:right="51" w:hanging="708"/>
      </w:pPr>
      <w:r>
        <w:t xml:space="preserve">Trennung der Metallfraktion und unerwünschter Fraktionen.  </w:t>
      </w:r>
    </w:p>
    <w:p w14:paraId="6383107D" w14:textId="77777777" w:rsidR="000B2060" w:rsidRDefault="009E72B8">
      <w:pPr>
        <w:ind w:left="-5" w:right="51"/>
      </w:pPr>
      <w:r>
        <w:t xml:space="preserve">Der Verwertungsprozess wird je nach Art des Materials durch den Abschluss aller oder nur einiger der genannten Verfahrensschritte oder durch andere mechanische Verfahren durchgeführt, die die Einhaltung der in diesem Dekret festgelegten Kriterien ermöglichen. </w:t>
      </w:r>
    </w:p>
    <w:p w14:paraId="0F8FFEA4" w14:textId="6463D22A" w:rsidR="00FC1B37" w:rsidRDefault="00FC1B37" w:rsidP="00FC1B37">
      <w:pPr>
        <w:spacing w:after="19" w:line="259" w:lineRule="auto"/>
        <w:ind w:left="0" w:firstLine="0"/>
      </w:pPr>
      <w:r>
        <w:t>Während der Überprüfung der Einhaltung der Vorschriften bezüglich der wiedergewonnenen Gesteinskörnung ist die Lagerung und die Behandlung beim Hersteller so organisiert, dass die einzelnen Produktionspartien nicht miteinander gemischt werden.</w:t>
      </w:r>
    </w:p>
    <w:p w14:paraId="57AFE5D5" w14:textId="2228A33C" w:rsidR="000B2060" w:rsidRDefault="00FC1B37" w:rsidP="00FC1B37">
      <w:pPr>
        <w:spacing w:after="19" w:line="259" w:lineRule="auto"/>
        <w:ind w:left="0" w:firstLine="0"/>
      </w:pPr>
      <w:r>
        <w:t xml:space="preserve">Bis zum Transport zum Standort, an dem sie verwendet wird, wird die wiedergewonnene Gesteinskörnung in der Anlage, in der sie hergestellt wurde, und in den dafür genutzten Lagerräumen gelagert und behandelt. Dies gilt unbeschadet aller geltenden Bestimmungen über die Sicherheit und Vorsorge am Arbeitsplatz und der besonderen Zulassungsbestimmungen.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Qualitätsanforderungen an die wiedergewonnene Gesteinskörnung </w:t>
      </w:r>
    </w:p>
    <w:p w14:paraId="5AC1392F" w14:textId="77777777" w:rsidR="000B2060" w:rsidRDefault="009E72B8">
      <w:pPr>
        <w:tabs>
          <w:tab w:val="center" w:pos="2519"/>
        </w:tabs>
        <w:spacing w:after="23" w:line="259" w:lineRule="auto"/>
        <w:ind w:left="-15" w:firstLine="0"/>
        <w:jc w:val="left"/>
      </w:pPr>
      <w:r>
        <w:rPr>
          <w:b/>
        </w:rPr>
        <w:t xml:space="preserve">d.1) Prüfungen der wiedergewonnenen Gesteinskörnung  </w:t>
      </w:r>
    </w:p>
    <w:p w14:paraId="121A2F5D" w14:textId="4189B06B" w:rsidR="008817D3" w:rsidRDefault="008817D3" w:rsidP="008817D3">
      <w:pPr>
        <w:ind w:left="-5" w:right="51"/>
        <w:rPr>
          <w:color w:val="auto"/>
        </w:rPr>
      </w:pPr>
      <w:r>
        <w:rPr>
          <w:color w:val="auto"/>
        </w:rPr>
        <w:t xml:space="preserve">Für jede Partie wiedergewonnener Gesteinskörnung ist die Einhaltung der in Tabelle 2 festgelegten Parameter zu gewährleisten. </w:t>
      </w:r>
    </w:p>
    <w:p w14:paraId="5A41C855" w14:textId="77777777" w:rsidR="00F75776" w:rsidRPr="001E2424" w:rsidRDefault="00F75776" w:rsidP="008817D3">
      <w:pPr>
        <w:ind w:left="-5" w:right="51"/>
        <w:rPr>
          <w:color w:val="auto"/>
        </w:rPr>
      </w:pPr>
    </w:p>
    <w:tbl>
      <w:tblPr>
        <w:tblStyle w:val="TableGrid"/>
        <w:tblW w:w="797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787"/>
        <w:gridCol w:w="2599"/>
        <w:gridCol w:w="2592"/>
      </w:tblGrid>
      <w:tr w:rsidR="008817D3" w:rsidRPr="00FD253E" w14:paraId="77338EB7" w14:textId="77777777" w:rsidTr="008A3661">
        <w:trPr>
          <w:trHeight w:val="772"/>
        </w:trPr>
        <w:tc>
          <w:tcPr>
            <w:tcW w:w="2787"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Parameter </w:t>
            </w:r>
          </w:p>
        </w:tc>
        <w:tc>
          <w:tcPr>
            <w:tcW w:w="259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Maßeinheit </w:t>
            </w:r>
          </w:p>
        </w:tc>
        <w:tc>
          <w:tcPr>
            <w:tcW w:w="2592"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Konzentrationsgrenzwerte </w:t>
            </w:r>
          </w:p>
        </w:tc>
      </w:tr>
      <w:tr w:rsidR="008817D3" w:rsidRPr="00FD253E" w14:paraId="1A15B09F" w14:textId="77777777" w:rsidTr="008A3661">
        <w:trPr>
          <w:trHeight w:val="648"/>
        </w:trPr>
        <w:tc>
          <w:tcPr>
            <w:tcW w:w="2787"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Asbest </w:t>
            </w:r>
          </w:p>
        </w:tc>
        <w:tc>
          <w:tcPr>
            <w:tcW w:w="259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ausgedrückt als Trockenmasse </w:t>
            </w:r>
          </w:p>
        </w:tc>
        <w:tc>
          <w:tcPr>
            <w:tcW w:w="2592"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8A3661">
        <w:trPr>
          <w:trHeight w:val="362"/>
        </w:trPr>
        <w:tc>
          <w:tcPr>
            <w:tcW w:w="2787" w:type="dxa"/>
            <w:vAlign w:val="center"/>
          </w:tcPr>
          <w:p w14:paraId="0DE8F35D" w14:textId="5FD9E2DF" w:rsidR="00453851" w:rsidRDefault="000A5B7E" w:rsidP="000A5B7E">
            <w:pPr>
              <w:spacing w:after="0" w:line="259" w:lineRule="auto"/>
              <w:ind w:left="0" w:right="63" w:firstLine="0"/>
              <w:jc w:val="center"/>
              <w:rPr>
                <w:sz w:val="22"/>
              </w:rPr>
            </w:pPr>
            <w:r>
              <w:rPr>
                <w:sz w:val="22"/>
              </w:rPr>
              <w:t>(AROMATISCH</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KOHLENWASSERSTOFFE) </w:t>
            </w:r>
          </w:p>
        </w:tc>
        <w:tc>
          <w:tcPr>
            <w:tcW w:w="259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592"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8A3661">
        <w:trPr>
          <w:trHeight w:val="362"/>
        </w:trPr>
        <w:tc>
          <w:tcPr>
            <w:tcW w:w="2787"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Benzol</w:t>
            </w:r>
          </w:p>
        </w:tc>
        <w:tc>
          <w:tcPr>
            <w:tcW w:w="259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ausgedrückt als Trockenmasse</w:t>
            </w:r>
          </w:p>
        </w:tc>
        <w:tc>
          <w:tcPr>
            <w:tcW w:w="2592"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8A3661">
        <w:trPr>
          <w:trHeight w:val="648"/>
        </w:trPr>
        <w:tc>
          <w:tcPr>
            <w:tcW w:w="2787"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Ethylbenzol </w:t>
            </w:r>
          </w:p>
        </w:tc>
        <w:tc>
          <w:tcPr>
            <w:tcW w:w="259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8A3661">
        <w:trPr>
          <w:trHeight w:val="648"/>
        </w:trPr>
        <w:tc>
          <w:tcPr>
            <w:tcW w:w="2787"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Styrol </w:t>
            </w:r>
          </w:p>
        </w:tc>
        <w:tc>
          <w:tcPr>
            <w:tcW w:w="259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8A3661">
        <w:trPr>
          <w:trHeight w:val="648"/>
        </w:trPr>
        <w:tc>
          <w:tcPr>
            <w:tcW w:w="2787"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Toluol </w:t>
            </w:r>
          </w:p>
        </w:tc>
        <w:tc>
          <w:tcPr>
            <w:tcW w:w="259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8A3661">
        <w:trPr>
          <w:trHeight w:val="648"/>
        </w:trPr>
        <w:tc>
          <w:tcPr>
            <w:tcW w:w="2787"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Xylol </w:t>
            </w:r>
          </w:p>
        </w:tc>
        <w:tc>
          <w:tcPr>
            <w:tcW w:w="259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8A3661">
        <w:trPr>
          <w:trHeight w:val="648"/>
        </w:trPr>
        <w:tc>
          <w:tcPr>
            <w:tcW w:w="2787"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Organische aromatische Zusatzstoffe (20 bis 23) </w:t>
            </w:r>
          </w:p>
        </w:tc>
        <w:tc>
          <w:tcPr>
            <w:tcW w:w="259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8A3661">
        <w:trPr>
          <w:trHeight w:val="648"/>
        </w:trPr>
        <w:tc>
          <w:tcPr>
            <w:tcW w:w="2787"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(POLYZYKLISCHE AROMATISCHE KOHLENWASSERSTOFFE) </w:t>
            </w:r>
          </w:p>
        </w:tc>
        <w:tc>
          <w:tcPr>
            <w:tcW w:w="259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592"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8A3661">
        <w:trPr>
          <w:trHeight w:val="648"/>
        </w:trPr>
        <w:tc>
          <w:tcPr>
            <w:tcW w:w="2787"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Benzo(a)anthracen </w:t>
            </w:r>
          </w:p>
        </w:tc>
        <w:tc>
          <w:tcPr>
            <w:tcW w:w="259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8A3661">
        <w:trPr>
          <w:trHeight w:val="648"/>
        </w:trPr>
        <w:tc>
          <w:tcPr>
            <w:tcW w:w="2787"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lastRenderedPageBreak/>
              <w:t xml:space="preserve">Benzo(a)pyren </w:t>
            </w:r>
          </w:p>
        </w:tc>
        <w:tc>
          <w:tcPr>
            <w:tcW w:w="259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8A3661">
        <w:trPr>
          <w:trHeight w:val="648"/>
        </w:trPr>
        <w:tc>
          <w:tcPr>
            <w:tcW w:w="2787"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Benzo(b)fluoranthen </w:t>
            </w:r>
          </w:p>
        </w:tc>
        <w:tc>
          <w:tcPr>
            <w:tcW w:w="259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8A3661">
        <w:trPr>
          <w:trHeight w:val="648"/>
        </w:trPr>
        <w:tc>
          <w:tcPr>
            <w:tcW w:w="2787"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Benzo(k)fluoranthen </w:t>
            </w:r>
          </w:p>
        </w:tc>
        <w:tc>
          <w:tcPr>
            <w:tcW w:w="259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8A3661">
        <w:trPr>
          <w:trHeight w:val="648"/>
        </w:trPr>
        <w:tc>
          <w:tcPr>
            <w:tcW w:w="2787"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t>Benzo(ghi)perylen</w:t>
            </w:r>
          </w:p>
        </w:tc>
        <w:tc>
          <w:tcPr>
            <w:tcW w:w="259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8A3661">
        <w:trPr>
          <w:trHeight w:val="648"/>
        </w:trPr>
        <w:tc>
          <w:tcPr>
            <w:tcW w:w="2787"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t xml:space="preserve">Chrysen </w:t>
            </w:r>
          </w:p>
        </w:tc>
        <w:tc>
          <w:tcPr>
            <w:tcW w:w="259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8A3661">
        <w:trPr>
          <w:trHeight w:val="648"/>
        </w:trPr>
        <w:tc>
          <w:tcPr>
            <w:tcW w:w="2787"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t xml:space="preserve">Dibenzo(a,e)pyren </w:t>
            </w:r>
          </w:p>
        </w:tc>
        <w:tc>
          <w:tcPr>
            <w:tcW w:w="259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8A3661">
        <w:trPr>
          <w:trHeight w:val="648"/>
        </w:trPr>
        <w:tc>
          <w:tcPr>
            <w:tcW w:w="2787"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t xml:space="preserve">Dibenzo(a,l)pyren </w:t>
            </w:r>
          </w:p>
        </w:tc>
        <w:tc>
          <w:tcPr>
            <w:tcW w:w="259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8A3661">
        <w:trPr>
          <w:trHeight w:val="648"/>
        </w:trPr>
        <w:tc>
          <w:tcPr>
            <w:tcW w:w="2787"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 xml:space="preserve">Dibenzo(a,i)pyren </w:t>
            </w:r>
          </w:p>
        </w:tc>
        <w:tc>
          <w:tcPr>
            <w:tcW w:w="259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8A3661">
        <w:trPr>
          <w:trHeight w:val="648"/>
        </w:trPr>
        <w:tc>
          <w:tcPr>
            <w:tcW w:w="2787"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Dibenzo(a,h)pyren </w:t>
            </w:r>
          </w:p>
        </w:tc>
        <w:tc>
          <w:tcPr>
            <w:tcW w:w="2599" w:type="dxa"/>
            <w:vAlign w:val="center"/>
          </w:tcPr>
          <w:p w14:paraId="41624DC3" w14:textId="08A2E31A" w:rsidR="000A5B7E" w:rsidRPr="00FD253E" w:rsidRDefault="000C15EF" w:rsidP="000A5B7E">
            <w:pPr>
              <w:spacing w:after="0" w:line="259" w:lineRule="auto"/>
              <w:ind w:left="0" w:firstLine="0"/>
              <w:jc w:val="center"/>
              <w:rPr>
                <w:color w:val="auto"/>
                <w:sz w:val="22"/>
              </w:rPr>
            </w:pPr>
            <w:r>
              <w:rPr>
                <w:color w:val="auto"/>
                <w:sz w:val="22"/>
              </w:rPr>
              <w:t>m</w:t>
            </w:r>
            <w:r w:rsidR="00453851">
              <w:rPr>
                <w:color w:val="auto"/>
                <w:sz w:val="22"/>
              </w:rPr>
              <w:t>g/kg, ausgedrückt als Trockenmasse</w:t>
            </w:r>
          </w:p>
        </w:tc>
        <w:tc>
          <w:tcPr>
            <w:tcW w:w="2592"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8A3661">
        <w:trPr>
          <w:trHeight w:val="648"/>
        </w:trPr>
        <w:tc>
          <w:tcPr>
            <w:tcW w:w="2787"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Dibenzo(a,h)anthracen</w:t>
            </w:r>
          </w:p>
        </w:tc>
        <w:tc>
          <w:tcPr>
            <w:tcW w:w="2599" w:type="dxa"/>
            <w:vAlign w:val="center"/>
          </w:tcPr>
          <w:p w14:paraId="42798929" w14:textId="4B5158C7" w:rsidR="00453851" w:rsidRPr="00FD253E" w:rsidRDefault="000C15EF" w:rsidP="000A5B7E">
            <w:pPr>
              <w:spacing w:after="0" w:line="259" w:lineRule="auto"/>
              <w:ind w:left="0" w:firstLine="0"/>
              <w:jc w:val="center"/>
              <w:rPr>
                <w:color w:val="auto"/>
                <w:sz w:val="22"/>
              </w:rPr>
            </w:pPr>
            <w:r>
              <w:rPr>
                <w:color w:val="auto"/>
                <w:sz w:val="22"/>
              </w:rPr>
              <w:t>m</w:t>
            </w:r>
            <w:r w:rsidR="00453851">
              <w:rPr>
                <w:color w:val="auto"/>
                <w:sz w:val="22"/>
              </w:rPr>
              <w:t>g/kg, ausgedrückt als Trockenmasse</w:t>
            </w:r>
          </w:p>
        </w:tc>
        <w:tc>
          <w:tcPr>
            <w:tcW w:w="2592"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8A3661">
        <w:trPr>
          <w:trHeight w:val="648"/>
        </w:trPr>
        <w:tc>
          <w:tcPr>
            <w:tcW w:w="2787"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Indenopyren</w:t>
            </w:r>
          </w:p>
        </w:tc>
        <w:tc>
          <w:tcPr>
            <w:tcW w:w="2599" w:type="dxa"/>
            <w:vAlign w:val="center"/>
          </w:tcPr>
          <w:p w14:paraId="0361AC22" w14:textId="2B3D9801" w:rsidR="00453851" w:rsidRPr="00FD253E" w:rsidRDefault="000C15EF" w:rsidP="000A5B7E">
            <w:pPr>
              <w:spacing w:after="0" w:line="259" w:lineRule="auto"/>
              <w:ind w:left="0" w:firstLine="0"/>
              <w:jc w:val="center"/>
              <w:rPr>
                <w:color w:val="auto"/>
                <w:sz w:val="22"/>
              </w:rPr>
            </w:pPr>
            <w:r>
              <w:rPr>
                <w:color w:val="auto"/>
                <w:sz w:val="22"/>
              </w:rPr>
              <w:t>m</w:t>
            </w:r>
            <w:r w:rsidR="00453851">
              <w:rPr>
                <w:color w:val="auto"/>
                <w:sz w:val="22"/>
              </w:rPr>
              <w:t>g/kg, ausgedrückt als Trockenmasse</w:t>
            </w:r>
          </w:p>
        </w:tc>
        <w:tc>
          <w:tcPr>
            <w:tcW w:w="2592"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8A3661">
        <w:trPr>
          <w:trHeight w:val="648"/>
        </w:trPr>
        <w:tc>
          <w:tcPr>
            <w:tcW w:w="2787" w:type="dxa"/>
            <w:vAlign w:val="center"/>
          </w:tcPr>
          <w:p w14:paraId="7205FC89" w14:textId="7C0E86E2" w:rsidR="00453851" w:rsidRDefault="00453851" w:rsidP="000A5B7E">
            <w:pPr>
              <w:spacing w:after="0" w:line="259" w:lineRule="auto"/>
              <w:ind w:left="0" w:right="63" w:firstLine="0"/>
              <w:jc w:val="center"/>
              <w:rPr>
                <w:sz w:val="22"/>
              </w:rPr>
            </w:pPr>
            <w:r>
              <w:rPr>
                <w:sz w:val="22"/>
              </w:rPr>
              <w:t>Pyren</w:t>
            </w:r>
          </w:p>
        </w:tc>
        <w:tc>
          <w:tcPr>
            <w:tcW w:w="2599" w:type="dxa"/>
            <w:vAlign w:val="center"/>
          </w:tcPr>
          <w:p w14:paraId="6AB60582" w14:textId="2DF81BE1" w:rsidR="00453851" w:rsidRPr="00FD253E" w:rsidRDefault="000C15EF" w:rsidP="000A5B7E">
            <w:pPr>
              <w:spacing w:after="0" w:line="259" w:lineRule="auto"/>
              <w:ind w:left="0" w:firstLine="0"/>
              <w:jc w:val="center"/>
              <w:rPr>
                <w:color w:val="auto"/>
                <w:sz w:val="22"/>
              </w:rPr>
            </w:pPr>
            <w:r>
              <w:rPr>
                <w:color w:val="auto"/>
                <w:sz w:val="22"/>
              </w:rPr>
              <w:t>m</w:t>
            </w:r>
            <w:r w:rsidR="00453851">
              <w:rPr>
                <w:color w:val="auto"/>
                <w:sz w:val="22"/>
              </w:rPr>
              <w:t>g/kg, ausgedrückt als Trockenmasse</w:t>
            </w:r>
          </w:p>
        </w:tc>
        <w:tc>
          <w:tcPr>
            <w:tcW w:w="2592"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8A3661">
        <w:trPr>
          <w:trHeight w:val="648"/>
        </w:trPr>
        <w:tc>
          <w:tcPr>
            <w:tcW w:w="2787"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Polyzyklische aromatische Zusatzstoffe (25 bis 34) </w:t>
            </w:r>
          </w:p>
        </w:tc>
        <w:tc>
          <w:tcPr>
            <w:tcW w:w="259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ausgedrückt als Trockenmasse</w:t>
            </w:r>
          </w:p>
        </w:tc>
        <w:tc>
          <w:tcPr>
            <w:tcW w:w="2592"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8A3661">
        <w:trPr>
          <w:trHeight w:val="672"/>
        </w:trPr>
        <w:tc>
          <w:tcPr>
            <w:tcW w:w="2787"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Phenol </w:t>
            </w:r>
          </w:p>
        </w:tc>
        <w:tc>
          <w:tcPr>
            <w:tcW w:w="259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ausgedrückt als Trockenmasse </w:t>
            </w:r>
          </w:p>
        </w:tc>
        <w:tc>
          <w:tcPr>
            <w:tcW w:w="2592"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8A3661">
        <w:trPr>
          <w:trHeight w:val="672"/>
        </w:trPr>
        <w:tc>
          <w:tcPr>
            <w:tcW w:w="2787"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59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ausgedrückt als Trockenmasse </w:t>
            </w:r>
          </w:p>
        </w:tc>
        <w:tc>
          <w:tcPr>
            <w:tcW w:w="2592"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8A3661">
        <w:trPr>
          <w:trHeight w:val="672"/>
        </w:trPr>
        <w:tc>
          <w:tcPr>
            <w:tcW w:w="2787"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C&gt;12 </w:t>
            </w:r>
          </w:p>
        </w:tc>
        <w:tc>
          <w:tcPr>
            <w:tcW w:w="259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ausgedrückt als Trockenmasse </w:t>
            </w:r>
          </w:p>
        </w:tc>
        <w:tc>
          <w:tcPr>
            <w:tcW w:w="2592"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8A3661">
        <w:trPr>
          <w:trHeight w:val="672"/>
        </w:trPr>
        <w:tc>
          <w:tcPr>
            <w:tcW w:w="2787"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CrVI </w:t>
            </w:r>
          </w:p>
        </w:tc>
        <w:tc>
          <w:tcPr>
            <w:tcW w:w="259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ausgedrückt als Trockenmasse </w:t>
            </w:r>
          </w:p>
        </w:tc>
        <w:tc>
          <w:tcPr>
            <w:tcW w:w="2592"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8A3661">
        <w:trPr>
          <w:trHeight w:val="382"/>
        </w:trPr>
        <w:tc>
          <w:tcPr>
            <w:tcW w:w="2787"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Schwimmstoffe </w:t>
            </w:r>
            <w:r>
              <w:rPr>
                <w:i/>
                <w:color w:val="auto"/>
                <w:sz w:val="22"/>
              </w:rPr>
              <w:t>(**)</w:t>
            </w:r>
          </w:p>
        </w:tc>
        <w:tc>
          <w:tcPr>
            <w:tcW w:w="259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592"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&lt;5 </w:t>
            </w:r>
          </w:p>
        </w:tc>
      </w:tr>
      <w:tr w:rsidR="000A5B7E" w:rsidRPr="00FD253E" w14:paraId="608A5E6D" w14:textId="77777777" w:rsidTr="008A3661">
        <w:trPr>
          <w:trHeight w:val="381"/>
        </w:trPr>
        <w:tc>
          <w:tcPr>
            <w:tcW w:w="2787"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Fremdkörperanteil </w:t>
            </w:r>
            <w:r>
              <w:rPr>
                <w:i/>
                <w:color w:val="auto"/>
                <w:sz w:val="22"/>
              </w:rPr>
              <w:t>(**)</w:t>
            </w:r>
          </w:p>
        </w:tc>
        <w:tc>
          <w:tcPr>
            <w:tcW w:w="259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 des Gewichts </w:t>
            </w:r>
          </w:p>
        </w:tc>
        <w:tc>
          <w:tcPr>
            <w:tcW w:w="2592"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&lt;1 % </w:t>
            </w:r>
          </w:p>
        </w:tc>
      </w:tr>
    </w:tbl>
    <w:p w14:paraId="37556506" w14:textId="2E2B0C23" w:rsidR="00D630D6" w:rsidRPr="00B6618B" w:rsidRDefault="00B6618B" w:rsidP="00B6618B">
      <w:pPr>
        <w:spacing w:line="267" w:lineRule="auto"/>
        <w:ind w:right="62"/>
        <w:jc w:val="left"/>
        <w:rPr>
          <w:sz w:val="18"/>
          <w:szCs w:val="18"/>
        </w:rPr>
      </w:pPr>
      <w:r>
        <w:rPr>
          <w:sz w:val="18"/>
        </w:rPr>
        <w:t xml:space="preserve">            Tabelle 2 – Zu untersuchende Parameter und Grenzwerte</w:t>
      </w:r>
    </w:p>
    <w:p w14:paraId="62116075" w14:textId="77777777" w:rsidR="00D630D6" w:rsidRPr="008A3661" w:rsidRDefault="00D630D6" w:rsidP="00D630D6">
      <w:pPr>
        <w:spacing w:line="267" w:lineRule="auto"/>
        <w:ind w:right="62"/>
        <w:jc w:val="center"/>
        <w:rPr>
          <w:sz w:val="20"/>
          <w:szCs w:val="18"/>
        </w:rP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Entsprechend der Nachweisgrenze des Analyseverfahrens (Mikroskopie und/oder im Hinblick auf die Nachweisfähigkeit gleichwertige Verfahren). In jedem Fall ist die offiziell anerkannte Methodik im gesamten Gebiet eines Staates anzuwenden, was die Erkennung niedrigerer Konzentrationswerte ermöglicht.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Soweit nicht durch anwendbare technische Normen definiert</w:t>
      </w: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Freigabeprüfung für wiedergewonnene Gesteinskörnung.  </w:t>
      </w:r>
    </w:p>
    <w:p w14:paraId="05765F60" w14:textId="50B4051B" w:rsidR="000B2060" w:rsidRPr="00751073" w:rsidRDefault="009E72B8" w:rsidP="005F0151">
      <w:pPr>
        <w:ind w:left="-5" w:right="51"/>
        <w:rPr>
          <w:color w:val="auto"/>
        </w:rPr>
      </w:pPr>
      <w:r>
        <w:rPr>
          <w:color w:val="auto"/>
        </w:rPr>
        <w:t>Jede Partie wiedergewonnener Gesteinskörnung, mit Ausnahme derjenigen, die für die Verpackung von Beton gemäß UNI EN 12620 mit Widerstandsklasse Rck/Leq ≥ 15 MPa bestimmt ist, muss einer Freigabeprüfung unterzogen werden, um die Einhaltung der Konzentrationsgrenzwerte der in Tabelle 3genannten Parameter zu bewerten</w:t>
      </w:r>
      <w:r>
        <w:rPr>
          <w:b/>
          <w:color w:val="auto"/>
        </w:rPr>
        <w:t xml:space="preserve">. </w:t>
      </w:r>
      <w:r>
        <w:rPr>
          <w:color w:val="auto"/>
        </w:rPr>
        <w:t xml:space="preserve"> </w:t>
      </w:r>
    </w:p>
    <w:p w14:paraId="2935AABC" w14:textId="77777777" w:rsidR="000B2060" w:rsidRDefault="009E72B8">
      <w:pPr>
        <w:ind w:left="-5" w:right="51"/>
      </w:pPr>
      <w:r>
        <w:t xml:space="preserve">Zur Bestimmung der Freigabeprüfung sind Anlage A zur Norm UNI 10802 und die in der Norm UNI EN 12457-2 vorgesehene Methodik anzuwenden.  </w:t>
      </w:r>
    </w:p>
    <w:p w14:paraId="0AE3C55E" w14:textId="77777777" w:rsidR="000B2060" w:rsidRDefault="009E72B8">
      <w:pPr>
        <w:ind w:left="-5" w:right="51"/>
      </w:pPr>
      <w:r>
        <w:t xml:space="preserve">Nur in Fällen, in denen die zu analysierende Stichprobe eine sehr feine Korngröße aufweist, sollte eine Ultrazentrifuge (20000 G) mindestens 10 Minuten lang verwendet werden, ohne zu dem Schritt natürlicher Sedimentierung zu übergehen.  </w:t>
      </w:r>
    </w:p>
    <w:p w14:paraId="5F175D2C" w14:textId="77777777" w:rsidR="000B2060" w:rsidRDefault="009E72B8">
      <w:pPr>
        <w:ind w:left="-5" w:right="51"/>
      </w:pPr>
      <w:r>
        <w:t xml:space="preserve">Erst nach diesem Schritt kann der anschließende Schritt der Filtration gemäß Punkt 5.2.2 des UNI EN 12457-2 gemacht werden.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Parameter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Maßeinheit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Konzentrationsgrenzwerte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Nitrat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Fluoride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Zyanid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Barium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Kupfer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Zink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Beryllium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Kobalt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Nickel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Vanadium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Arsen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Kadmium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Chrom insgesamt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Blei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Selen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Quecksilber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COD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Sulfate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Chloride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pH-Wert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Tabelle 3 – zu untersuchende Analyten und Grenzwerte. </w:t>
      </w:r>
    </w:p>
    <w:p w14:paraId="7112D065" w14:textId="77777777" w:rsidR="000B2060" w:rsidRDefault="009E72B8">
      <w:pPr>
        <w:spacing w:after="16" w:line="259" w:lineRule="auto"/>
        <w:ind w:left="0" w:firstLine="0"/>
        <w:jc w:val="center"/>
      </w:pPr>
      <w:r>
        <w:lastRenderedPageBreak/>
        <w:t xml:space="preserve"> </w:t>
      </w:r>
    </w:p>
    <w:p w14:paraId="7B08611C" w14:textId="77A45346" w:rsidR="000B2060" w:rsidRDefault="009E72B8" w:rsidP="000A5B7E">
      <w:pPr>
        <w:spacing w:after="16" w:line="259" w:lineRule="auto"/>
        <w:ind w:left="0" w:firstLine="0"/>
        <w:jc w:val="center"/>
      </w:pPr>
      <w:r>
        <w:t xml:space="preserve">  </w:t>
      </w:r>
    </w:p>
    <w:p w14:paraId="0B826CAE" w14:textId="77777777" w:rsidR="000B2060" w:rsidRDefault="009E72B8">
      <w:pPr>
        <w:spacing w:after="18" w:line="259" w:lineRule="auto"/>
        <w:ind w:left="-5"/>
        <w:jc w:val="left"/>
      </w:pPr>
      <w:r>
        <w:rPr>
          <w:b/>
        </w:rPr>
        <w:t xml:space="preserve">e) Referentielle technische Normen für die EG-Zertifizierung der wiedergewonnenen Gesteinskörnung. </w:t>
      </w:r>
    </w:p>
    <w:p w14:paraId="25900C48" w14:textId="2534B946" w:rsidR="000B2060" w:rsidRDefault="009E72B8">
      <w:pPr>
        <w:spacing w:after="12" w:line="267" w:lineRule="auto"/>
        <w:ind w:left="-5" w:right="49"/>
      </w:pPr>
      <w:r>
        <w:t xml:space="preserve">Tabelle 4 enthält referentielle technische Normen für die Zuordnung der CE-Kennzeichnung der wiedergewonnenen Gesteinskörnung.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t xml:space="preserve">Norm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Titel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Gesteinskörnung für nicht legierte Stoffe und Legierungen mit hydraulischen Bindemitteln für den Gebrauch im Bau und im Straßenbau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Betonzuschläge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Zuschlagsstoffe zum Mörtel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Gesteinskörnungen für bituminöse Mischung und Oberflächenbehandlungen für Straßen, Flugplätze und andere Verkehrsflächen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Leichte Gesteinskörnung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Gesteinskörnungen für Eisenbahngleisschotter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 xml:space="preserve">Gesteinskörnungen für Schutzarbeiten (Wasserbausteine) – Spezifikation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Tabelle 4 – Technische Normen für die EG-Zertifizierung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Anhang 2 (Artikel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Die wiedergewonnene Gesteinskörnung wird gemäß den in Tabelle 5 festgelegten technischen Verwendungsnormen verwendet für: </w:t>
      </w:r>
    </w:p>
    <w:p w14:paraId="3C7300BE" w14:textId="77777777" w:rsidR="00D55B0D" w:rsidRDefault="00D55B0D" w:rsidP="00D55B0D">
      <w:pPr>
        <w:numPr>
          <w:ilvl w:val="0"/>
          <w:numId w:val="8"/>
        </w:numPr>
        <w:ind w:right="51" w:hanging="282"/>
      </w:pPr>
      <w:r>
        <w:t>den Bau der Böschungskörper in Tiefbau/Erdarbeiten;</w:t>
      </w:r>
    </w:p>
    <w:p w14:paraId="22F0545D" w14:textId="77777777" w:rsidR="00D55B0D" w:rsidRDefault="00D55B0D" w:rsidP="00D55B0D">
      <w:pPr>
        <w:numPr>
          <w:ilvl w:val="0"/>
          <w:numId w:val="8"/>
        </w:numPr>
        <w:ind w:right="51" w:hanging="282"/>
      </w:pPr>
      <w:r>
        <w:t>den Bau von Straßen-, Schienen-, Flughafengrundplatten und zivilen und industriellen Vorplätzen;</w:t>
      </w:r>
    </w:p>
    <w:p w14:paraId="78E1375E" w14:textId="77777777" w:rsidR="00D55B0D" w:rsidRDefault="00D55B0D" w:rsidP="00D55B0D">
      <w:pPr>
        <w:numPr>
          <w:ilvl w:val="0"/>
          <w:numId w:val="8"/>
        </w:numPr>
        <w:ind w:right="51" w:hanging="282"/>
      </w:pPr>
      <w:r>
        <w:t>den Bau von Fundamenten für die Verkehrsinfrastruktur sowie zivile und industrielle Vorplätze;</w:t>
      </w:r>
    </w:p>
    <w:p w14:paraId="73160B34" w14:textId="77777777" w:rsidR="00D55B0D" w:rsidRDefault="00D55B0D" w:rsidP="00D55B0D">
      <w:pPr>
        <w:numPr>
          <w:ilvl w:val="0"/>
          <w:numId w:val="8"/>
        </w:numPr>
        <w:ind w:right="51" w:hanging="282"/>
      </w:pPr>
      <w:r>
        <w:t>die Wiederherstellung der Umwelt, Herstellung einer Schüttung und Brückenbildung;</w:t>
      </w:r>
    </w:p>
    <w:p w14:paraId="2FB8C60C" w14:textId="77777777" w:rsidR="00D55B0D" w:rsidRDefault="00D55B0D" w:rsidP="00D55B0D">
      <w:pPr>
        <w:numPr>
          <w:ilvl w:val="0"/>
          <w:numId w:val="8"/>
        </w:numPr>
        <w:ind w:right="51" w:hanging="282"/>
      </w:pPr>
      <w:r>
        <w:t>die Schaffung von Zusatzschichten mit Kapillarbruch, Frostschutz, Entwässerung und ähnlichen Funktionen;</w:t>
      </w:r>
    </w:p>
    <w:p w14:paraId="5E929373" w14:textId="77777777" w:rsidR="00D55B0D" w:rsidRDefault="00D55B0D" w:rsidP="00D55B0D">
      <w:pPr>
        <w:numPr>
          <w:ilvl w:val="0"/>
          <w:numId w:val="8"/>
        </w:numPr>
        <w:ind w:right="51" w:hanging="282"/>
      </w:pPr>
      <w:r>
        <w:t>die Verpackung von Beton und Mischungen, die mit hydraulischen Bindemitteln (Zementmischungen, Betonmischungen, usw.) legiert werden.</w:t>
      </w:r>
    </w:p>
    <w:p w14:paraId="34A920B7" w14:textId="25DB438E" w:rsidR="000B2060" w:rsidRDefault="000B2060">
      <w:pPr>
        <w:spacing w:after="0" w:line="259" w:lineRule="auto"/>
        <w:ind w:left="0" w:firstLine="0"/>
        <w:jc w:val="left"/>
      </w:pPr>
    </w:p>
    <w:tbl>
      <w:tblPr>
        <w:tblStyle w:val="TableGrid"/>
        <w:tblW w:w="10617" w:type="dxa"/>
        <w:tblInd w:w="-714" w:type="dxa"/>
        <w:tblCellMar>
          <w:top w:w="58" w:type="dxa"/>
          <w:left w:w="223" w:type="dxa"/>
          <w:right w:w="115" w:type="dxa"/>
        </w:tblCellMar>
        <w:tblLook w:val="04A0" w:firstRow="1" w:lastRow="0" w:firstColumn="1" w:lastColumn="0" w:noHBand="0" w:noVBand="1"/>
      </w:tblPr>
      <w:tblGrid>
        <w:gridCol w:w="4537"/>
        <w:gridCol w:w="2715"/>
        <w:gridCol w:w="3365"/>
      </w:tblGrid>
      <w:tr w:rsidR="000B2060" w14:paraId="05074170" w14:textId="77777777" w:rsidTr="008A3661">
        <w:trPr>
          <w:trHeight w:val="883"/>
        </w:trPr>
        <w:tc>
          <w:tcPr>
            <w:tcW w:w="4537"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Verwendung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Einhaltung europäischer harmonisierter Normen/Leistungen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Technische Fähigkeiten </w:t>
            </w:r>
          </w:p>
        </w:tc>
      </w:tr>
      <w:tr w:rsidR="000B2060" w14:paraId="487C5BF0" w14:textId="77777777" w:rsidTr="008A3661">
        <w:trPr>
          <w:trHeight w:val="590"/>
        </w:trPr>
        <w:tc>
          <w:tcPr>
            <w:tcW w:w="4537"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Füllungen, Hinterfüllungen, morphologische Wiederherstellung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Zeitplan 4a </w:t>
            </w:r>
          </w:p>
        </w:tc>
      </w:tr>
      <w:tr w:rsidR="000B2060" w14:paraId="1A31165C" w14:textId="77777777" w:rsidTr="008A3661">
        <w:trPr>
          <w:trHeight w:val="593"/>
        </w:trPr>
        <w:tc>
          <w:tcPr>
            <w:tcW w:w="4537"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Böschungskörper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Zeitplan 4a </w:t>
            </w:r>
          </w:p>
        </w:tc>
      </w:tr>
      <w:tr w:rsidR="000B2060" w14:paraId="67F846B1" w14:textId="77777777" w:rsidTr="008A3661">
        <w:trPr>
          <w:trHeight w:val="590"/>
        </w:trPr>
        <w:tc>
          <w:tcPr>
            <w:tcW w:w="4537"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Unlegierte Mischungen, kapillarbrechende Schicht, Fundament, Grundlage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Zeitplan 4b </w:t>
            </w:r>
          </w:p>
        </w:tc>
      </w:tr>
      <w:tr w:rsidR="000B2060" w14:paraId="22B0A1AE" w14:textId="77777777" w:rsidTr="008A3661">
        <w:trPr>
          <w:trHeight w:val="884"/>
        </w:trPr>
        <w:tc>
          <w:tcPr>
            <w:tcW w:w="4537"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Herstellung von Mischungen mit hydraulischen Bindemitteln (Zementmischungen, Betonmischungen, usw.)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rsidTr="008A3661">
        <w:trPr>
          <w:trHeight w:val="2921"/>
        </w:trPr>
        <w:tc>
          <w:tcPr>
            <w:tcW w:w="4537"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Herstellung von Beton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Zeitplan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Anhang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Zeitplan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Anhang E </w:t>
            </w:r>
          </w:p>
          <w:p w14:paraId="1A14DB3D" w14:textId="77777777" w:rsidR="000B2060" w:rsidRDefault="009E72B8">
            <w:pPr>
              <w:spacing w:after="14" w:line="259" w:lineRule="auto"/>
              <w:ind w:left="0" w:right="221" w:firstLine="0"/>
              <w:jc w:val="center"/>
            </w:pPr>
            <w:r>
              <w:rPr>
                <w:sz w:val="22"/>
              </w:rPr>
              <w:t xml:space="preserve">Ministerialerlass vom 17 Januar 2018 </w:t>
            </w:r>
          </w:p>
          <w:p w14:paraId="2D2B7699" w14:textId="77777777" w:rsidR="000B2060" w:rsidRDefault="009E72B8">
            <w:pPr>
              <w:spacing w:after="0" w:line="259" w:lineRule="auto"/>
              <w:ind w:left="0" w:right="223" w:firstLine="0"/>
              <w:jc w:val="center"/>
            </w:pPr>
            <w:r>
              <w:rPr>
                <w:sz w:val="22"/>
              </w:rPr>
              <w:t xml:space="preserve">NTC: Tabelle 11.2.III </w:t>
            </w:r>
          </w:p>
        </w:tc>
      </w:tr>
    </w:tbl>
    <w:p w14:paraId="1B0D5020" w14:textId="134EABAA" w:rsidR="000B2060" w:rsidRDefault="009E72B8">
      <w:pPr>
        <w:spacing w:after="24" w:line="253" w:lineRule="auto"/>
        <w:ind w:left="4820" w:right="2444" w:hanging="2393"/>
        <w:jc w:val="left"/>
      </w:pPr>
      <w:r>
        <w:rPr>
          <w:sz w:val="18"/>
        </w:rPr>
        <w:t xml:space="preserve">Tabelle 5 Technische Nutzungsnormen für die wiedergewonnene Gesteinskörnung </w:t>
      </w:r>
      <w:r>
        <w:t xml:space="preserve"> </w:t>
      </w:r>
    </w:p>
    <w:p w14:paraId="14D42672" w14:textId="77777777" w:rsidR="00D17D7F" w:rsidRDefault="00D17D7F" w:rsidP="00D17D7F">
      <w:pPr>
        <w:ind w:left="-5" w:right="51"/>
      </w:pPr>
    </w:p>
    <w:p w14:paraId="68C7A01B" w14:textId="1B9C9237" w:rsidR="000B2060" w:rsidRDefault="009E72B8">
      <w:pPr>
        <w:ind w:left="-5" w:right="51"/>
      </w:pPr>
      <w:r>
        <w:t xml:space="preserve">Für alle Verwendungszwecke mit Ausnahme der unter Buchstabe d genannten Verwendungen ist die Anwendung der CE-Kennzeichnung gemäß der Verordnung (EU) Nr. 305/2011 des Europäischen Parlaments und des Rates vom 9. März 2011 erforderlich.  </w:t>
      </w:r>
    </w:p>
    <w:p w14:paraId="24B2FD2B" w14:textId="3BDE4F41" w:rsidR="001E2424" w:rsidRDefault="00B90036" w:rsidP="00B90036">
      <w:pPr>
        <w:ind w:left="-5" w:right="51"/>
        <w:rPr>
          <w:color w:val="auto"/>
        </w:rPr>
      </w:pPr>
      <w:r>
        <w:rPr>
          <w:color w:val="auto"/>
        </w:rPr>
        <w:t xml:space="preserve">Bodennutzung darf keine potenzielle Kontaminationsquelle für Boden, Untergrund und Grundwasser sein. </w:t>
      </w:r>
    </w:p>
    <w:p w14:paraId="5A934368" w14:textId="1DEDE070" w:rsidR="00605A70" w:rsidRDefault="00605A70" w:rsidP="00605A70">
      <w:pPr>
        <w:ind w:left="-5" w:right="51"/>
        <w:rPr>
          <w:color w:val="auto"/>
        </w:rPr>
      </w:pPr>
      <w:r>
        <w:rPr>
          <w:color w:val="auto"/>
        </w:rPr>
        <w:lastRenderedPageBreak/>
        <w:t>Für die unter Nummer 1 Buchstabe f genannten Grenzwerte sind die in Anhang XVII Position 47 der Verordnung (EG) Nr. 1907/2006 festgelegten Grenzwerte für das Vorhandensein von CrVI in Zement und Zement enthaltenden Gemischen einzuhalten.</w:t>
      </w:r>
    </w:p>
    <w:p w14:paraId="4C8081AB" w14:textId="77777777" w:rsidR="001E2424" w:rsidRDefault="001E2424">
      <w:pPr>
        <w:spacing w:after="160" w:line="259" w:lineRule="auto"/>
        <w:ind w:left="0" w:firstLine="0"/>
        <w:jc w:val="left"/>
        <w:rPr>
          <w:color w:val="auto"/>
        </w:rPr>
      </w:pPr>
      <w:r>
        <w:br w:type="page"/>
      </w:r>
    </w:p>
    <w:p w14:paraId="7B8EBBB4" w14:textId="599EC0B8" w:rsidR="000B2060" w:rsidRDefault="009E72B8">
      <w:pPr>
        <w:pStyle w:val="Heading1"/>
        <w:ind w:right="64"/>
      </w:pPr>
      <w:r>
        <w:lastRenderedPageBreak/>
        <w:t xml:space="preserve">Anhang 3 Konformitätserklärung (Artikel 5)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KONFORMITÄTSERKLÄRUNG (DoC)</w:t>
      </w:r>
      <w:r>
        <w:rPr>
          <w:b/>
        </w:rPr>
        <w:t xml:space="preserve">  </w:t>
      </w:r>
    </w:p>
    <w:p w14:paraId="3B572F20" w14:textId="77777777" w:rsidR="000B2060" w:rsidRPr="00CA20B5" w:rsidRDefault="009E72B8">
      <w:pPr>
        <w:spacing w:after="18" w:line="259" w:lineRule="auto"/>
        <w:ind w:left="10" w:right="69"/>
        <w:jc w:val="center"/>
        <w:rPr>
          <w:color w:val="auto"/>
        </w:rPr>
      </w:pPr>
      <w:r>
        <w:t>ERKLÄRUNG ANSTELLE EINER EIDESSTATTLICHEN ERKLÄRUNG DES HERSTELLERS</w:t>
      </w:r>
      <w:r>
        <w:rPr>
          <w:color w:val="auto"/>
        </w:rPr>
        <w:t xml:space="preserve"> </w:t>
      </w:r>
    </w:p>
    <w:p w14:paraId="013C2F6D" w14:textId="60C550CC" w:rsidR="000B2060" w:rsidRDefault="009E72B8" w:rsidP="00EA0449">
      <w:pPr>
        <w:spacing w:after="18" w:line="259" w:lineRule="auto"/>
        <w:ind w:left="10" w:right="58"/>
        <w:jc w:val="center"/>
      </w:pPr>
      <w:r>
        <w:rPr>
          <w:color w:val="auto"/>
        </w:rPr>
        <w:t xml:space="preserve">GEMÄSS UND IN ÜBEREINSTIMMUMG MIT DEM ARTIKEL 5 DES </w:t>
      </w:r>
      <w:r>
        <w:t>DECREE DES MINISTERS FÜR DEN ÖKOLOGISCHEN ÜBERGANG, NR. [•] vom [•] [•] [202•] VERÖFFENTLICHT IN [•]</w:t>
      </w:r>
    </w:p>
    <w:p w14:paraId="7CF40EA8" w14:textId="77777777" w:rsidR="000B2060" w:rsidRDefault="009E72B8">
      <w:pPr>
        <w:spacing w:after="17" w:line="259" w:lineRule="auto"/>
        <w:ind w:left="10" w:right="62"/>
        <w:jc w:val="center"/>
      </w:pPr>
      <w:r>
        <w:t xml:space="preserve">(Artikel 47 und 38 des Präsidialdekrets Nr. 445 vom 28. Dezember 2000)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Nummer der Erklärung </w:t>
            </w:r>
          </w:p>
          <w:p w14:paraId="50F66536" w14:textId="77777777" w:rsidR="000B2060" w:rsidRDefault="009E72B8">
            <w:pPr>
              <w:spacing w:after="0" w:line="259" w:lineRule="auto"/>
              <w:ind w:left="0" w:firstLine="0"/>
              <w:jc w:val="left"/>
            </w:pPr>
            <w:r>
              <w:t xml:space="preserve">(Partie-Nr.)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Jahr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(yyyy)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(HINWEIS: die Nummer der Erklärung ist inkremental aufzuzeichnen)</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Detaillierte Informationen zum Hersteller wiedergewonnener Gesteinskörnung gemäß Artikel 2 Absatz 1 Buchstabe f des Dekrets </w:t>
            </w:r>
            <w:r>
              <w:rPr>
                <w:color w:val="auto"/>
              </w:rPr>
              <w:t>[</w:t>
            </w:r>
            <w:r>
              <w:rPr>
                <w:rFonts w:ascii="Segoe UI Symbol" w:hAnsi="Segoe UI Symbol"/>
                <w:color w:val="auto"/>
              </w:rPr>
              <w:t xml:space="preserve"> </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Firmenname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Steuer-/MwSt-Nummer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Eintragung in das Firmenbuch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Adresse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Hausnummer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Postleitzahl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Stadt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Provinz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Produktionsanlage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Adresse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Hausnummer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Postleitzahl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Stadt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Provinz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Zulassung/Zulassungsstelle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Herausgegeben am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Der oben genannte Hersteller erklärt, dass </w:t>
      </w:r>
    </w:p>
    <w:p w14:paraId="5A7DFBB1" w14:textId="4188EACE" w:rsidR="000B2060" w:rsidRDefault="009E72B8">
      <w:pPr>
        <w:numPr>
          <w:ilvl w:val="0"/>
          <w:numId w:val="9"/>
        </w:numPr>
        <w:spacing w:after="0" w:line="259" w:lineRule="auto"/>
        <w:ind w:right="51" w:hanging="360"/>
      </w:pPr>
      <w:r>
        <w:t xml:space="preserve">die wiedergewonnene Gesteinskörnungpartie durch die folgende Menge in </w:t>
      </w:r>
      <w:r>
        <w:rPr>
          <w:color w:val="auto"/>
        </w:rPr>
        <w:t>Volumen</w:t>
      </w:r>
      <w:r>
        <w:t xml:space="preserve">ausgedrückt wird: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HINWEIS: </w:t>
      </w:r>
      <w:r>
        <w:rPr>
          <w:i/>
          <w:color w:val="auto"/>
        </w:rPr>
        <w:t>Angabe der Kubikmeter in Zahlen und in Worten</w:t>
      </w:r>
      <w:r>
        <w:rPr>
          <w:color w:val="auto"/>
        </w:rPr>
        <w:t xml:space="preserve">) </w:t>
      </w:r>
    </w:p>
    <w:p w14:paraId="381D82F8" w14:textId="12A3AC51" w:rsidR="000B2060" w:rsidRDefault="009E72B8">
      <w:pPr>
        <w:numPr>
          <w:ilvl w:val="0"/>
          <w:numId w:val="9"/>
        </w:numPr>
        <w:spacing w:after="33" w:line="267" w:lineRule="auto"/>
        <w:ind w:right="51" w:hanging="360"/>
      </w:pPr>
      <w:r>
        <w:t xml:space="preserve">die oben genannte Partie der wiedergewonnene Gesteinskörnung entspricht den Kriterien des Artikels 3 des Dekrets Nr. [•] des Ministers für den ökologischen Übergang vom [•] [•] [202•], veröffentlicht in [•]; </w:t>
      </w:r>
    </w:p>
    <w:p w14:paraId="5F363D2F" w14:textId="77777777" w:rsidR="000B2060" w:rsidRDefault="009E72B8">
      <w:pPr>
        <w:numPr>
          <w:ilvl w:val="0"/>
          <w:numId w:val="9"/>
        </w:numPr>
        <w:ind w:right="51" w:hanging="360"/>
      </w:pPr>
      <w:r>
        <w:t xml:space="preserve">die oben genannte Partie der wiedergewonnene Gesteinskörnung weist Merkmale auf, die in der folgenden Tabelle 1 genauer beschrieben sind.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t xml:space="preserve">Tabelle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Merkmale der wiedergewonnene Gesteinskörnung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Referentielle technische Normen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Spezifische Zwecke (Anhang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Gesteinskörnungen für nicht legierte Stoffe und Legierungen mit hydraulischen Bindemitteln für den Bau und den Straßenbau;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Mit hydraulischen Bindemitteln legierte Mischungen – Spezifikationen – Teil 1: Granulatmischungen, die mit Zement für Straßenunterbauten und Grundplatten gebunden sind;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Betonzuschläge;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Zuschlagsstoffe zum Mörtel;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Gesteinskörnungen für bituminöse Mischung und Oberflächenbehandlung für Straßen, Flugplätze und andere Verkehrsflächen;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lastRenderedPageBreak/>
              <w:t></w:t>
            </w:r>
            <w:r>
              <w:rPr>
                <w:rFonts w:ascii="Arial" w:hAnsi="Arial"/>
                <w:color w:val="00B050"/>
                <w:sz w:val="16"/>
              </w:rPr>
              <w:t xml:space="preserve"> </w:t>
            </w:r>
            <w:r>
              <w:t xml:space="preserve">UNI EN 13055: Leichte Gesteinskörnungen;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Gesteinskörnungen für Eisenbahngleisschotter;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Gesteinskörnungen für Schutzarbeiten (Wasserbausteine) – Spezifikation.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Zum Schluss stellen die Hersteller fest: </w:t>
      </w:r>
    </w:p>
    <w:p w14:paraId="0F0B2894" w14:textId="77777777" w:rsidR="000B2060" w:rsidRDefault="009E72B8">
      <w:pPr>
        <w:numPr>
          <w:ilvl w:val="0"/>
          <w:numId w:val="9"/>
        </w:numPr>
        <w:ind w:right="51" w:hanging="360"/>
      </w:pPr>
      <w:r>
        <w:t xml:space="preserve">sie sind sich der strafrechtlichen Sanktionen für die Abgabe falscher oder unrichtiger Erklärungen in amtlichen Unterlagen und des daraus resultierenden Verlustes von Leistungen gemäß den Artikeln 75 und 76 des </w:t>
      </w:r>
    </w:p>
    <w:p w14:paraId="3A205EC1" w14:textId="77777777" w:rsidR="000B2060" w:rsidRDefault="009E72B8">
      <w:pPr>
        <w:spacing w:after="36"/>
        <w:ind w:left="798" w:right="51"/>
      </w:pPr>
      <w:r>
        <w:t xml:space="preserve">PRÄSIDIALDEKRETS NR. 445/2000 bewusst; </w:t>
      </w:r>
    </w:p>
    <w:p w14:paraId="06DFD34E" w14:textId="77777777" w:rsidR="000B2060" w:rsidRDefault="009E72B8">
      <w:pPr>
        <w:numPr>
          <w:ilvl w:val="0"/>
          <w:numId w:val="9"/>
        </w:numPr>
        <w:ind w:right="51" w:hanging="360"/>
      </w:pPr>
      <w:r>
        <w:t xml:space="preserve">sie wurden darüber informiert, dass alle erhobenen personenbezogenen Daten ausschließlich für das Verfahren, für das die Erklärung eingereicht wird (Artikel 13 der Verordnung (EU) Nr. 679/2016), elektronisch verarbeitet werden.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_________ , am _______________ </w:t>
            </w:r>
          </w:p>
          <w:p w14:paraId="28DE5481" w14:textId="77777777" w:rsidR="000B2060" w:rsidRDefault="009E72B8">
            <w:pPr>
              <w:spacing w:after="16" w:line="259" w:lineRule="auto"/>
              <w:ind w:left="926" w:firstLine="0"/>
              <w:jc w:val="left"/>
            </w:pPr>
            <w:r>
              <w:rPr>
                <w:i/>
              </w:rPr>
              <w:t>(HINWEIS: Ort und Datum angeben)</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HINWEIS: (Unterschrift und Stempel des Herstellers)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(frei von der Stempelsteuer gemäß Artikel 37 des Präsidialdekrets Nr. 445/2000)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Anhänge: Kopie des Ausweisdokuments des Beziehers und des Analyseberichtes.</w:t>
      </w:r>
      <w:r>
        <w:t xml:space="preserve"> </w:t>
      </w:r>
    </w:p>
    <w:p w14:paraId="4E02FF04" w14:textId="6BA03B8C" w:rsidR="000B2060" w:rsidRDefault="009E72B8" w:rsidP="008A3661">
      <w:pPr>
        <w:spacing w:after="17" w:line="259" w:lineRule="auto"/>
        <w:ind w:left="0" w:firstLine="0"/>
        <w:jc w:val="left"/>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15EF"/>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855A4"/>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B53AC"/>
    <w:rsid w:val="007D34E4"/>
    <w:rsid w:val="007F7B0C"/>
    <w:rsid w:val="00842EDF"/>
    <w:rsid w:val="00851DB7"/>
    <w:rsid w:val="008610D3"/>
    <w:rsid w:val="008647FF"/>
    <w:rsid w:val="008716AC"/>
    <w:rsid w:val="0087254B"/>
    <w:rsid w:val="0087338D"/>
    <w:rsid w:val="008817D3"/>
    <w:rsid w:val="008A3661"/>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4191</Words>
  <Characters>23891</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6</cp:revision>
  <dcterms:created xsi:type="dcterms:W3CDTF">2022-03-10T16:09:00Z</dcterms:created>
  <dcterms:modified xsi:type="dcterms:W3CDTF">2022-03-31T13:56:00Z</dcterms:modified>
</cp:coreProperties>
</file>