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0140FF" w:rsidRDefault="009E72B8">
      <w:pPr>
        <w:spacing w:after="0" w:line="239" w:lineRule="auto"/>
        <w:ind w:left="504" w:right="497" w:firstLine="0"/>
        <w:jc w:val="center"/>
        <w:rPr>
          <w:sz w:val="84"/>
          <w:szCs w:val="84"/>
        </w:rPr>
      </w:pPr>
      <w:r w:rsidRPr="000140FF">
        <w:rPr>
          <w:i/>
          <w:color w:val="0000FF"/>
          <w:sz w:val="84"/>
        </w:rPr>
        <w:t xml:space="preserve">Ekologinės pertvarkos ministras,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ATSIŽVELGDAMAS Į</w:t>
      </w:r>
      <w:r>
        <w:tab/>
        <w:t xml:space="preserve">1988 m. rugpjūčio 23 d. Įstatymo Nr. 400 17 straipsnio 3 dalį,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ATSIŽVELGDAMAS Į</w:t>
      </w:r>
      <w:r>
        <w:rPr>
          <w:b/>
        </w:rPr>
        <w:tab/>
      </w:r>
      <w:r>
        <w:t xml:space="preserve">2006 m. balandžio 3 d. pagal Teisėkūros procedūrą priimto dekreto Nr. 152 184b straipsnį, ypač jo 2 dalį, kurioje numatyta, kad „1 dalyje nurodyti kriterijai priimami pagal ES taisyklių nuostatas arba, nesant ES kriterijų, kiekvienu konkrečiu atveju – konkrečių atliekų rūšių atveju – viename ar keliuose Aplinkos bei sausumos ir jūrų apsaugos ministro dekretuose pagal 1988 m. rugpjūčio 23 d. Įstatymo Nr. 400 17 straipsnio 3 dalį“,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ATSIŽVELGDAMAS Į</w:t>
      </w:r>
      <w:r>
        <w:rPr>
          <w:b/>
        </w:rPr>
        <w:tab/>
      </w:r>
      <w:r>
        <w:t xml:space="preserve">2008 m. lapkričio 19 d. Europos Parlamento ir Tarybos direktyvą 2008/98/EB, ypač jos 11 straipsnio 1 dalį, kurioje, be kita ko, nustatyta, kad valstybės narės imasi priemonių, kuriomis skatinamas selektyvus griovimas, kad būtų galima saugiai pašalinti ir apdoroti pavojingas medžiagas ir sudaryti palankesnes sąlygas aukštos kokybės pakartotiniam naudojimui ir perdirbimui selektyviai pašalinant medžiagas,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ATSIŽVELGDAMAS Į</w:t>
      </w:r>
      <w:r>
        <w:rPr>
          <w:b/>
        </w:rPr>
        <w:tab/>
      </w:r>
      <w:r>
        <w:t>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ATSIŽVELGDAMAS Į</w:t>
      </w:r>
      <w:r>
        <w:rPr>
          <w:b/>
        </w:rPr>
        <w:tab/>
      </w:r>
      <w:r>
        <w:t>2009 m. lapkričio 25 d. Europos Parlamento ir Tarybos reglamentą (EB) Nr. 1221/2009 dėl organizacijų savanoriško Bendrijos aplinkosaugos vadybos ir audito sistemos (EMAS) taikymo, panaikinantį Reglamentą (EB) Nr. 761/2001 ir Komisijos sprendimus 2001/681/EB bei 2006/193/EB,</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lastRenderedPageBreak/>
        <w:t>ATSIŽVELGDAMAS Į</w:t>
      </w:r>
      <w:r>
        <w:rPr>
          <w:b/>
        </w:rPr>
        <w:tab/>
      </w:r>
      <w:r>
        <w:t>2005 m. kovo 7 d. remiantis Teisėkūros procedūra priimtą dekretą Nr. 82, kuriame pateikiamas „Skaitmeninio administravimo kodeksas“,</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t>ATSIŽVELGDAMAS Į</w:t>
      </w:r>
      <w:r>
        <w:tab/>
        <w:t>2000 m. gruodžio 28 d. Prezidento dekretą Nr. 445 „Konsoliduota redakcija dėl įstatymų ir kitų teisės aktų nuostatų, susijusių su administraciniais dokumentais“,</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ATSIŽVELGDAMAS Į</w:t>
      </w:r>
      <w:r>
        <w:tab/>
        <w:t>1998 m. vasario 5 d. Aplinkos ministro dekretą dėl nepavojingų atliekų, kurioms taikomos supaprastintos naudojimo procedūros pagal 1997 m. vasario 5 d. remiantis Teisėkūros procedūra priimto dekreto Nr. 22 31 ir 33 straipsnius, nustatymo, paskelbtą 1998 m. balandžio 16 d. Italijos Respublikos oficialiajame leidinyje Nr. 88,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APSVARSTĘS</w:t>
      </w:r>
      <w:r>
        <w:tab/>
        <w:t xml:space="preserve">tai, kad regeneruotų nerūdinių medžiagų rinka yra dėl to, kad jos paprastai naudojamos civilinės inžinerijos darbams, pakeičiant natūralią žaliavą, ir turi realią ekonominę vertę, kad yra konkrečių tikslų, kuriems šios medžiagos gali būti naudojamos pagal šiame reglamente nustatytus kriterijus, ir kad jos atitinka teisės aktus ir esamus produktams taikomus </w:t>
      </w:r>
      <w:r>
        <w:rPr>
          <w:i/>
          <w:iCs/>
        </w:rPr>
        <w:t>standartus</w:t>
      </w:r>
      <w:r>
        <w:t>,</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APSVARSTĘS</w:t>
      </w:r>
      <w:r>
        <w:tab/>
        <w:t>tai, kad atlikus tyrimą nustatyta, kad regeneruotos nerūdinės medžiagos, atitinkančios šiame reglamente nustatytus kriterijus, neturi bendro neigiamo poveikio žmonių sveikatai ar aplinkai,</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GAVĘS</w:t>
      </w:r>
      <w:r>
        <w:rPr>
          <w:b/>
        </w:rPr>
        <w:tab/>
      </w:r>
      <w:r>
        <w:t xml:space="preserve">Valstybės Tarybos nuomonę, kurią pareiškė Konsultacinis skyrius dėl remiantis Teisėkūros procedūra priimtų įstatymų ……………………. posėdyje,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ATSIŽVELGDAMAS Į</w:t>
      </w:r>
      <w:r>
        <w:tab/>
        <w:t xml:space="preserve">pranešimą Ministrų Tarybos pirmininkui su pastaba ......., remiantis 1988 m. rugpjūčio 23 d. Įstatymu Nr. 400,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ATSIŽVELGDAMAS Į</w:t>
      </w:r>
      <w:r>
        <w:tab/>
        <w:t xml:space="preserve">Direktyvos (ES) 2015/1535, kuria nustatoma informacijos apie techninius reglamentus ir informacinės visuomenės paslaugų taisykles teikimo tvarka, 5 straipsnyje nurodytą pranešimą su pastaba …..,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priima  </w:t>
      </w:r>
    </w:p>
    <w:p w14:paraId="09CAE138" w14:textId="77777777" w:rsidR="000B2060" w:rsidRDefault="009E72B8">
      <w:pPr>
        <w:spacing w:after="17" w:line="259" w:lineRule="auto"/>
        <w:ind w:left="10" w:right="63"/>
        <w:jc w:val="center"/>
      </w:pPr>
      <w:r>
        <w:t xml:space="preserve">šį reglamentą.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1 straipsnis </w:t>
      </w:r>
    </w:p>
    <w:p w14:paraId="685448BB" w14:textId="4EFAB624" w:rsidR="000B2060" w:rsidRPr="005428D2" w:rsidRDefault="009E72B8" w:rsidP="00F51F5E">
      <w:pPr>
        <w:pStyle w:val="Heading1"/>
        <w:spacing w:after="120"/>
        <w:ind w:left="11" w:right="62" w:hanging="11"/>
        <w:rPr>
          <w:b w:val="0"/>
          <w:i/>
        </w:rPr>
      </w:pPr>
      <w:r>
        <w:rPr>
          <w:b w:val="0"/>
          <w:i/>
        </w:rPr>
        <w:t xml:space="preserve">Paskirtis ir tikslai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Šiame reglamente nustatomi konkretūs kriterijai, pagal kuriuos statybos ir griovimo darbų metu susidariusios inertinės atliekos ir kitos mineralinės kilmės inertinės atliekos, kaip apibrėžta šio reglamento 2 straipsnio 1 dalies a ir b punktuose, kurioms taikomos naudojimo operacijos, nebelaikomos atliekomis pagal 2006 m. balandžio 3 d. remiantis Teisėkūros procedūra priimto dekreto Nr. 152 184b straipsnį ir jo taikymo tikslais.</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2 straipsnis </w:t>
      </w:r>
    </w:p>
    <w:p w14:paraId="160D19CA" w14:textId="6C79CD75" w:rsidR="000B2060" w:rsidRPr="00607D0C" w:rsidRDefault="009E72B8" w:rsidP="00F51F5E">
      <w:pPr>
        <w:pStyle w:val="Heading1"/>
        <w:spacing w:after="120"/>
        <w:ind w:left="11" w:right="62" w:hanging="11"/>
        <w:rPr>
          <w:b w:val="0"/>
          <w:i/>
        </w:rPr>
      </w:pPr>
      <w:r>
        <w:rPr>
          <w:b w:val="0"/>
          <w:i/>
        </w:rPr>
        <w:t xml:space="preserve">Apibrėžtys </w:t>
      </w:r>
    </w:p>
    <w:p w14:paraId="0E8DB7DF" w14:textId="6AD3A87B" w:rsidR="008647FF" w:rsidRPr="00607D0C" w:rsidRDefault="008647FF" w:rsidP="00CA20B5">
      <w:pPr>
        <w:pStyle w:val="ListParagraph"/>
        <w:numPr>
          <w:ilvl w:val="0"/>
          <w:numId w:val="39"/>
        </w:numPr>
        <w:spacing w:after="60" w:line="266" w:lineRule="auto"/>
        <w:ind w:right="51"/>
        <w:contextualSpacing w:val="0"/>
      </w:pPr>
      <w:r>
        <w:t>Šiame reglamente vartojamos 2006 m. balandžio 3 d. remiantis Teisėkūros procedūra priimto dekreto Nr. 152 183 straipsnyje pateiktos apibrėžtys:</w:t>
      </w:r>
    </w:p>
    <w:p w14:paraId="6DD3AD7E" w14:textId="19D52C13" w:rsidR="008647FF" w:rsidRPr="00CA20B5" w:rsidRDefault="008647FF" w:rsidP="005211CB">
      <w:pPr>
        <w:ind w:left="851" w:hanging="284"/>
        <w:rPr>
          <w:color w:val="000000" w:themeColor="text1"/>
        </w:rPr>
      </w:pPr>
      <w:r>
        <w:rPr>
          <w:color w:val="000000" w:themeColor="text1"/>
        </w:rPr>
        <w:t>a) statybos ir griovimo darbų metu susidariusios inertinės atliekos – statybos ir griovimo operacijų metu susidariusios atliekos, nurodytos Sprendime 2000/532/EB pateikto Europos atliekų sąrašo 17 skyriuje ir išvardytos šio reglamento 1 priedo 1 lentelės 1 punkte;</w:t>
      </w:r>
    </w:p>
    <w:p w14:paraId="6CB39F8D" w14:textId="3ED766B8" w:rsidR="008647FF" w:rsidRPr="00CA20B5" w:rsidRDefault="008647FF" w:rsidP="005211CB">
      <w:pPr>
        <w:ind w:left="851" w:hanging="284"/>
        <w:rPr>
          <w:color w:val="000000" w:themeColor="text1"/>
        </w:rPr>
      </w:pPr>
      <w:r>
        <w:rPr>
          <w:color w:val="000000" w:themeColor="text1"/>
        </w:rPr>
        <w:t>b) kitos inertinės mineralinės kilmės atliekos – atliekos, nepriklausančios Sprendime 2000/532/EB nurodyto Europos atliekų sąrašo 17 skyriui ir išvardytos šio reglamento 1 priedo 1 lentelės 2 punkte;</w:t>
      </w:r>
    </w:p>
    <w:p w14:paraId="41FCC9E7" w14:textId="77777777" w:rsidR="008647FF" w:rsidRPr="00CA20B5" w:rsidRDefault="008647FF" w:rsidP="005211CB">
      <w:pPr>
        <w:ind w:left="851" w:hanging="284"/>
        <w:rPr>
          <w:color w:val="000000" w:themeColor="text1"/>
        </w:rPr>
      </w:pPr>
      <w:r>
        <w:rPr>
          <w:color w:val="000000" w:themeColor="text1"/>
        </w:rPr>
        <w:t>c) inertinės atliekos – statybos ir griovimo veiklos metu susidariusios kietosios atliekos ir kitos mineralinės kilmės inertinės atliekos, kurios fiziškai, chemiškai ar biologiškai labai nesitransformuoja; inertinės atliekos neturi būti ištirpusios, deginamos, neturi patirti jokių kitų fizinių ar cheminių reakcijų, neturi būti biologiškai skaidžios, o, susilietusios su kitomis medžiagomis, neturi sukelti kenksmingo poveikio, galinčio sukelti aplinkos taršą ar padaryti žalą žmonių sveikatai;</w:t>
      </w:r>
    </w:p>
    <w:p w14:paraId="19DA6921" w14:textId="77777777" w:rsidR="008647FF" w:rsidRPr="00CA20B5" w:rsidRDefault="008647FF" w:rsidP="005211CB">
      <w:pPr>
        <w:ind w:left="851" w:hanging="284"/>
        <w:rPr>
          <w:color w:val="auto"/>
        </w:rPr>
      </w:pPr>
      <w:r>
        <w:t>d) regeneruotos nerūdinės medžiagos – a ir b punktuose nurodytoms atliekoms, kurios nebelaikomos atliekomis dėl vienos ar kelių naudojimo operacijų, laikantis 2006 m. balandžio 3 d. pagal Teisėkūros procedūrą priimto dekreto Nr. 152 184b straipsnio 1 dalyje ir šio dekreto nuostatose nustatytų sąlygų;</w:t>
      </w:r>
    </w:p>
    <w:p w14:paraId="6AFFD208" w14:textId="77777777" w:rsidR="008647FF" w:rsidRPr="00CA20B5" w:rsidRDefault="008647FF" w:rsidP="005211CB">
      <w:pPr>
        <w:ind w:left="851" w:hanging="284"/>
      </w:pPr>
      <w:r>
        <w:t>e) regeneruotų nerūdinių medžiagų partija – ne daugiau kaip 3000 kubinių metrų regeneruotų nerūdinių medžiagų;</w:t>
      </w:r>
    </w:p>
    <w:p w14:paraId="73295BD6" w14:textId="77777777" w:rsidR="008647FF" w:rsidRPr="00CA20B5" w:rsidRDefault="008647FF" w:rsidP="005211CB">
      <w:pPr>
        <w:ind w:left="851" w:hanging="284"/>
      </w:pPr>
      <w:r>
        <w:t>f) regeneruotų nerūdinių medžiagų gamintojas – gamyklos, kuriai leidžiama gaminti regeneruotas nerūdines medžiagas, operatorius (toliau taip pat tik – gamintojas);</w:t>
      </w:r>
    </w:p>
    <w:p w14:paraId="14B52658" w14:textId="77777777" w:rsidR="008647FF" w:rsidRPr="00CA20B5" w:rsidRDefault="008647FF" w:rsidP="005211CB">
      <w:pPr>
        <w:ind w:left="851" w:hanging="284"/>
      </w:pPr>
      <w:r>
        <w:t>g) atitikties deklaracija – vietoj gamintojo išduoto priesaika patvirtinto pareiškimo, patvirtinančio regeneruotų nerūdinių medžiagų savybes, kaip nurodyta 5 straipsnyje;</w:t>
      </w:r>
    </w:p>
    <w:p w14:paraId="5542E487" w14:textId="048CAC5A" w:rsidR="008647FF" w:rsidRPr="00CA20B5" w:rsidRDefault="008647FF" w:rsidP="005211CB">
      <w:pPr>
        <w:ind w:left="851" w:hanging="284"/>
      </w:pPr>
      <w:r>
        <w:t>h) kompetentinga institucija – institucija, išduodanti leidimą pagal 2006 m. balandžio 3 d. remiantis Teisėkūros procedūra priimto dekreto Nr. 152 II dalies IIIa antraštinę dalį arba IV dalies I antraštinės dalies IV skyrių, t. y. institucija, gaunanti minėto dekreto 216 straipsnyje nurodytą pranešimą.</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3 straipsnis </w:t>
      </w:r>
    </w:p>
    <w:p w14:paraId="147552D8" w14:textId="688C6A32" w:rsidR="000B2060" w:rsidRPr="00607D0C" w:rsidRDefault="009E72B8" w:rsidP="00F51F5E">
      <w:pPr>
        <w:pStyle w:val="Heading1"/>
        <w:spacing w:after="120"/>
        <w:ind w:left="11" w:right="62" w:hanging="11"/>
        <w:rPr>
          <w:b w:val="0"/>
          <w:i/>
        </w:rPr>
      </w:pPr>
      <w:r>
        <w:rPr>
          <w:b w:val="0"/>
          <w:i/>
        </w:rPr>
        <w:t xml:space="preserve">Nebelaikymo atliekomis kriterijai  </w:t>
      </w:r>
    </w:p>
    <w:p w14:paraId="73F7D280" w14:textId="12E55F31" w:rsidR="000B2060" w:rsidRDefault="009E72B8" w:rsidP="00CA20B5">
      <w:pPr>
        <w:pStyle w:val="ListParagraph"/>
        <w:numPr>
          <w:ilvl w:val="0"/>
          <w:numId w:val="40"/>
        </w:numPr>
        <w:spacing w:after="12" w:line="267" w:lineRule="auto"/>
        <w:ind w:right="51"/>
      </w:pPr>
      <w:r>
        <w:t xml:space="preserve">Taikant 2006 m. balandžio 3 d. pagal Teisėkūros procedūrą priimto dekreto Nr. 152 1 straipsnį ir pagal bei taikant jo 184b straipsnį, inertinės statybos ir griovimo veiklos atliekos bei kitos mineralinės kilmės inertinės atliekos, kaip apibrėžta 2 straipsnio a ir b punktuose, nebelaikomos atliekomis ir klasifikuojamos kaip regeneruotos nerūdinės medžiagos, jeigu tos atliekos atitinka 1 priede nustatytus kriterijus.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4 straipsnis </w:t>
      </w:r>
    </w:p>
    <w:p w14:paraId="6DB7C9A8" w14:textId="1626EFD9" w:rsidR="000B2060" w:rsidRPr="008610D3" w:rsidRDefault="009E72B8" w:rsidP="00F51F5E">
      <w:pPr>
        <w:pStyle w:val="Heading1"/>
        <w:spacing w:after="120"/>
        <w:ind w:left="11" w:right="62" w:hanging="11"/>
        <w:rPr>
          <w:b w:val="0"/>
          <w:i/>
        </w:rPr>
      </w:pPr>
      <w:r>
        <w:rPr>
          <w:b w:val="0"/>
          <w:i/>
        </w:rPr>
        <w:t xml:space="preserve">Konkretūs naudojimo tikslai </w:t>
      </w:r>
    </w:p>
    <w:p w14:paraId="0D851D94" w14:textId="66DC1D1D" w:rsidR="000B2060" w:rsidRDefault="009E72B8" w:rsidP="00CA20B5">
      <w:pPr>
        <w:pStyle w:val="ListParagraph"/>
        <w:numPr>
          <w:ilvl w:val="0"/>
          <w:numId w:val="41"/>
        </w:numPr>
        <w:spacing w:after="12" w:line="267" w:lineRule="auto"/>
        <w:ind w:right="51"/>
      </w:pPr>
      <w:r>
        <w:t xml:space="preserve">Regeneruotą nerūdinę medžiagą galima naudoti tik 2 priede išvardytais konkrečiais tikslais.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5 straipsnis </w:t>
      </w:r>
    </w:p>
    <w:p w14:paraId="2A0C2A18" w14:textId="26FCCECD" w:rsidR="000B2060" w:rsidRPr="008610D3" w:rsidRDefault="009E72B8" w:rsidP="00F51F5E">
      <w:pPr>
        <w:pStyle w:val="Heading1"/>
        <w:spacing w:after="120"/>
        <w:ind w:left="11" w:right="62" w:hanging="11"/>
        <w:rPr>
          <w:i/>
        </w:rPr>
      </w:pPr>
      <w:r>
        <w:rPr>
          <w:b w:val="0"/>
          <w:i/>
        </w:rPr>
        <w:t xml:space="preserve">Atitikties pareiškimas ir mėginių laikymo būdas </w:t>
      </w:r>
    </w:p>
    <w:p w14:paraId="2FB7AF9D" w14:textId="6C743069" w:rsidR="000B2060" w:rsidRDefault="009E72B8" w:rsidP="00CA20B5">
      <w:pPr>
        <w:pStyle w:val="ListParagraph"/>
        <w:numPr>
          <w:ilvl w:val="0"/>
          <w:numId w:val="42"/>
        </w:numPr>
        <w:spacing w:after="12" w:line="267" w:lineRule="auto"/>
        <w:ind w:right="51"/>
      </w:pPr>
      <w:r>
        <w:t xml:space="preserve">Regeneruotų nerūdinių medžiagų gamintojas, remdamasis 2000 m. gruodžio 28 d. Prezidento dekreto Nr. 445 47 straipsniu, vietoj pareiškimo, parengto kiekvienai pagamintai regeneruotų nerūdinių medžiagų partijai, patvirtina, kad laikomasi 3 straipsnyje nurodytų kriterijų. Deklaracija parengiama naudojant 3 priede pateiktą formą ir siunčiama kompetentingai institucijai ir vietos kompetentingai aplinkos apsaugos agentūrai vienu iš 2005 m. kovo 7 d. remiantis Teisėkūros procedūra priimto dekreto Nr. 82 65 straipsnyje nurodytų būdų. </w:t>
      </w:r>
    </w:p>
    <w:p w14:paraId="34D8EC28" w14:textId="599778F9" w:rsidR="000B2060" w:rsidRDefault="009E72B8" w:rsidP="00CA20B5">
      <w:pPr>
        <w:pStyle w:val="ListParagraph"/>
        <w:numPr>
          <w:ilvl w:val="0"/>
          <w:numId w:val="40"/>
        </w:numPr>
        <w:ind w:right="51"/>
      </w:pPr>
      <w:r>
        <w:t xml:space="preserve">Regeneruotų nerūdinių medžiagų gamintojas 1 dalyje nurodytos deklaracijos kopiją saugo gamybos įmonėje arba jos registruotoje buveinėje, įskaitant elektroninę formą, ir pateikia ją kontrolės institucijoms, kurios jos paprašo.  </w:t>
      </w:r>
    </w:p>
    <w:p w14:paraId="00E8975F" w14:textId="26A2EED6" w:rsidR="000B2060" w:rsidRDefault="005211CB" w:rsidP="00CA20B5">
      <w:pPr>
        <w:pStyle w:val="ListParagraph"/>
        <w:numPr>
          <w:ilvl w:val="0"/>
          <w:numId w:val="40"/>
        </w:numPr>
        <w:ind w:right="51"/>
      </w:pPr>
      <w:r>
        <w:t xml:space="preserve">Kad atitiktų 3 straipsnyje nustatytus kriterijus, regeneruotų nerūdinių medžiagų gamintojas penkerius metus gamybos įmonėje arba registruotoje buveinėje saugo regeneruotų nerūdinių medžiagų mėginį, paimtą kiekvienos regeneruotos nerūdinės partijos gamybos proceso pabaigoje pagal UNI 10802. Mėginio laikymo metodas turi būti toks, kad būtų užtikrinta, jog regeneruotos nerūdinės medžiagos cheminės ir fizinės savybės nepasikeistų ir būtų tinkamos analizei kartoti.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6 straipsnis </w:t>
      </w:r>
    </w:p>
    <w:p w14:paraId="0ADCBA18" w14:textId="61BFB2AB" w:rsidR="000B2060" w:rsidRPr="008610D3" w:rsidRDefault="009E72B8" w:rsidP="007B53AC">
      <w:pPr>
        <w:pStyle w:val="Heading1"/>
        <w:spacing w:after="120"/>
        <w:ind w:left="11" w:right="62" w:hanging="11"/>
        <w:rPr>
          <w:b w:val="0"/>
          <w:i/>
        </w:rPr>
      </w:pPr>
      <w:r>
        <w:rPr>
          <w:b w:val="0"/>
          <w:i/>
        </w:rPr>
        <w:t xml:space="preserve">Valdymo sistema  </w:t>
      </w:r>
    </w:p>
    <w:p w14:paraId="0DD1A645" w14:textId="3688D537" w:rsidR="000B2060" w:rsidRPr="00CA20B5" w:rsidRDefault="005211CB" w:rsidP="00CA20B5">
      <w:pPr>
        <w:pStyle w:val="ListParagraph"/>
        <w:numPr>
          <w:ilvl w:val="0"/>
          <w:numId w:val="43"/>
        </w:numPr>
        <w:ind w:right="51"/>
      </w:pPr>
      <w:r>
        <w:t>Regeneruotų nerūdinių medžiagų gamintojas taiko kokybės valdymo sistemą pagal UNI EN ISO 9001 standartą, sertifikuotą pagal galiojančius teisės aktus akredituotos organizacijos, įrodydamas atitiktį šiame reglamente nustatytiems kriterijams. Kokybės vadove pateikiamos veiklos procedūros, skirtos patikrinti, ar laikomasi mėginių ėmimo ir savikontrolės plano 1 priede nustatytų kriterijų.</w:t>
      </w:r>
    </w:p>
    <w:p w14:paraId="71F6D2EA" w14:textId="171C3204" w:rsidR="005211CB" w:rsidRPr="001B60FC" w:rsidRDefault="005211CB" w:rsidP="00CA20B5">
      <w:pPr>
        <w:pStyle w:val="ListParagraph"/>
        <w:numPr>
          <w:ilvl w:val="0"/>
          <w:numId w:val="43"/>
        </w:numPr>
        <w:ind w:right="51"/>
      </w:pPr>
      <w:r>
        <w:t>5 straipsnio 3 dalyje nurodytos nuostatos netaikomos registruotoms bendrovėms pagal 2009 m. lapkričio 25 d. Europos Parlamento ir Tarybos reglamentą (EB) Nr. 1221/2009 arba bendrovėms, turinčioms aplinkosaugos sertifikatą UNI EN ISO 14001, išduotą akredituotos įstaigos pagal taikomus teisės aktus.</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7 straipsnis </w:t>
      </w:r>
    </w:p>
    <w:p w14:paraId="3EE44B21" w14:textId="4328195D" w:rsidR="000B2060" w:rsidRPr="001571B3" w:rsidRDefault="009E72B8" w:rsidP="007B53AC">
      <w:pPr>
        <w:pStyle w:val="Heading1"/>
        <w:spacing w:after="120"/>
        <w:ind w:left="11" w:right="62" w:hanging="11"/>
        <w:rPr>
          <w:b w:val="0"/>
          <w:i/>
        </w:rPr>
      </w:pPr>
      <w:r>
        <w:rPr>
          <w:b w:val="0"/>
          <w:i/>
        </w:rPr>
        <w:t xml:space="preserve">Pereinamojo laikotarpio ir baigiamosios nuostatos </w:t>
      </w:r>
    </w:p>
    <w:p w14:paraId="77F5A694" w14:textId="21F82AE1" w:rsidR="000B2060" w:rsidRDefault="009E72B8" w:rsidP="00CA20B5">
      <w:pPr>
        <w:pStyle w:val="ListParagraph"/>
        <w:numPr>
          <w:ilvl w:val="0"/>
          <w:numId w:val="44"/>
        </w:numPr>
        <w:ind w:right="51"/>
      </w:pPr>
      <w:r>
        <w:t xml:space="preserve"> Kad atitiktų šiame reglamente nustatytus kriterijus, gamintojas per 180 dienų nuo šio reglamento įsigaliojimo kompetentingai institucijai pateikia atnaujintą pranešimą, pateiktą pagal 2006 m. balandžio 3 d. remiantis Teisėkūros procedūra priimto dekreto Nr. 152 216 straipsnį, nurodydamas didžiausią susigrąžintiną sumą, arba prašymą atnaujinti leidimą, išduotą pagal 2006 m. balandžio 3 d. remiantis Teisėkūros procedūra priimto dekreto Nr. 152 IV skyriaus I antraštinės dalies IV dalį arba IIIa antraštinę dalį. Supaprastintoms procedūroms toliau nustatomos kiekybinės normos, nustatytos 1998 m. vasario 5 d. aplinkos ministro dekreto 4 priede, 5 priede nurodyti techniniai standartai ir 1 priedo 2 papildomame priede nustatytos išmetamųjų teršalų ribinės vertės. </w:t>
      </w:r>
    </w:p>
    <w:p w14:paraId="26047A06" w14:textId="77777777" w:rsidR="000B2060" w:rsidRDefault="009E72B8" w:rsidP="00CA20B5">
      <w:pPr>
        <w:pStyle w:val="ListParagraph"/>
        <w:numPr>
          <w:ilvl w:val="0"/>
          <w:numId w:val="44"/>
        </w:numPr>
        <w:ind w:right="51"/>
      </w:pPr>
      <w:r>
        <w:t xml:space="preserve">Kol bus atliktas 1 dalyje nurodytas koregavimas, medžiagos, gautos atlikus naudojimo procedūras, kurioms jau išduotas leidimas, gali būti naudojamos 4 straipsnyje nurodytais </w:t>
      </w:r>
      <w:r>
        <w:lastRenderedPageBreak/>
        <w:t xml:space="preserve">konkrečiais tikslais, jei jos pasižymi savybėmis, kurios atitinka 3 straipsnyje nustatytus kriterijus, patvirtintus atitikties deklaracija pagal 5 straipsnį. </w:t>
      </w:r>
    </w:p>
    <w:p w14:paraId="14C9EE35" w14:textId="3E32E2C5" w:rsidR="000B2060" w:rsidRDefault="009E72B8" w:rsidP="00CA20B5">
      <w:pPr>
        <w:pStyle w:val="ListParagraph"/>
        <w:numPr>
          <w:ilvl w:val="0"/>
          <w:numId w:val="44"/>
        </w:numPr>
        <w:ind w:right="51"/>
      </w:pPr>
      <w:r>
        <w:t xml:space="preserve">Priedai yra neatskiriama šio reglamento dalis.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Šis valstybės antspaudu patvirtintas dekretas įtraukiamas į oficialų Italijos Respublikos teisės aktų rinkinį. Jis yra privalomas tiems, kurie turi jo laikytis ir užtikrinti, kad jo būtų laikomasi.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1 priedas (3 straipsnis)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Reikalavimus atitinkančios atliekos </w:t>
      </w:r>
    </w:p>
    <w:p w14:paraId="14E32E02" w14:textId="44D47E89" w:rsidR="001A66C5" w:rsidRPr="00E126AE" w:rsidRDefault="001A66C5" w:rsidP="001A66C5">
      <w:pPr>
        <w:spacing w:after="0" w:line="259" w:lineRule="auto"/>
        <w:ind w:left="0" w:firstLine="0"/>
        <w:rPr>
          <w:color w:val="auto"/>
          <w:sz w:val="22"/>
        </w:rPr>
      </w:pPr>
      <w:r>
        <w:rPr>
          <w:color w:val="auto"/>
        </w:rPr>
        <w:t>Regeneruotų nerūdinių medžiagų gamybai gali būti naudojamos tik 1 lentelės 1 punkte nurodytos nepavojingos statybos ir griovimo inertinės atliekos ir 1 lentelės 2 punkte išvardytos nepavojingos inertinės mineralinės kilmės atliekos.</w:t>
      </w:r>
    </w:p>
    <w:p w14:paraId="520B0D8E" w14:textId="0360FF1C" w:rsidR="001A66C5" w:rsidRPr="00E126AE" w:rsidRDefault="00D55B0D" w:rsidP="00435FEC">
      <w:pPr>
        <w:spacing w:after="0" w:line="259" w:lineRule="auto"/>
        <w:ind w:left="0" w:firstLine="0"/>
        <w:rPr>
          <w:color w:val="auto"/>
        </w:rPr>
      </w:pPr>
      <w:r>
        <w:rPr>
          <w:color w:val="auto"/>
        </w:rPr>
        <w:t>Atliekos, kurios gali būti naudojamos regeneruotų nerūdinių medžiagų gamybai, yra gautos tik iš produktų, kurie prieš tai buvo nukenksminti ir (arba) rekonstruoti, siekiant pašalinti asbesto turinčias medžiagas, įrangą, kurioje yra polichlorintojo bifenilo, ir (arba) juo užterštą įrangą, bituminius apvalkalus, potencialiai pavojingas dangas ir izoliacines medžiagas bei kitas medžiagas, užterštas kitomis pavojingomis medžiagomis arba kuriose yra kitų pavojingų medžiagų, kaip apibrėžta Sprendime 2000/532/EB ir Direktyvoje 2008/98/EB. Atliekos, kurias leidžiama naudoti pirmiausia, gaunamos iš pasirinktinai nugriautų produktų.</w:t>
      </w:r>
    </w:p>
    <w:p w14:paraId="3AB8468F" w14:textId="5C103CE9" w:rsidR="000B2060" w:rsidRPr="00E126AE" w:rsidRDefault="001A66C5" w:rsidP="001A66C5">
      <w:pPr>
        <w:spacing w:after="0" w:line="259" w:lineRule="auto"/>
        <w:ind w:left="0" w:firstLine="0"/>
        <w:rPr>
          <w:color w:val="auto"/>
        </w:rPr>
      </w:pPr>
      <w:r>
        <w:rPr>
          <w:color w:val="auto"/>
        </w:rPr>
        <w:t xml:space="preserve">Apleistų arba palaidotų statybos ir griovimo darbų metu susidariusios atliekos negali būti naudojamos regeneruotų nerūdinių medžiagų gamybai.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Statybos ir griovimo darbų metu susidariusios inertinės atliekos </w:t>
            </w:r>
            <w:r>
              <w:rPr>
                <w:color w:val="auto"/>
              </w:rPr>
              <w:t xml:space="preserve">(Europos atliekų sąrašo 17 skyrius)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Cementas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Plytos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Plytelės ir keramika </w:t>
            </w:r>
          </w:p>
          <w:p w14:paraId="26105786" w14:textId="0427E9EF" w:rsidR="00563958" w:rsidRDefault="00563958" w:rsidP="001F73B8">
            <w:pPr>
              <w:spacing w:after="0" w:line="259" w:lineRule="auto"/>
              <w:ind w:left="708" w:right="60" w:hanging="708"/>
              <w:rPr>
                <w:color w:val="auto"/>
              </w:rPr>
            </w:pPr>
            <w:r>
              <w:rPr>
                <w:color w:val="auto"/>
              </w:rPr>
              <w:t xml:space="preserve">170107 Cemento, plytų, plytelių ir keramikos mišiniai arba šlakas, išskyrus nurodytus 170106 pozicijoje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Bituminiai mišiniai, nenurodyti 170301 pozicijoje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Iškastos žemės ir uolienos, nenurodytos 170503 pozicijoje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Skalda, skirta geležinkelio balastui, išskyrus nurodytą 170507 pozicijoje </w:t>
            </w:r>
          </w:p>
          <w:p w14:paraId="1FC36289" w14:textId="77777777" w:rsidR="00563958" w:rsidRPr="001A66C5" w:rsidRDefault="00563958" w:rsidP="001F73B8">
            <w:pPr>
              <w:spacing w:after="0" w:line="259" w:lineRule="auto"/>
              <w:ind w:left="699" w:right="60" w:hanging="708"/>
              <w:rPr>
                <w:color w:val="auto"/>
              </w:rPr>
            </w:pPr>
            <w:r>
              <w:rPr>
                <w:color w:val="auto"/>
              </w:rPr>
              <w:t>170904 Mišrios statybos ir griovimo atliekos, nenurodytos 170901, 170902 ir 170903 pozicijose</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 xml:space="preserve">Kitos inertinės mineralinės kilmės atliekos </w:t>
            </w:r>
            <w:r>
              <w:rPr>
                <w:color w:val="auto"/>
              </w:rPr>
              <w:t>(nepriklausančios Europos atliekų sąrašo 17 skyriui)</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Žvyro ir skaldytų akmenų atliekos, nenurodytos 01 04 07 pozicijoje </w:t>
            </w:r>
          </w:p>
          <w:p w14:paraId="23AB3524" w14:textId="09169AA3" w:rsidR="000B2060" w:rsidRPr="001A66C5" w:rsidRDefault="009E72B8">
            <w:pPr>
              <w:spacing w:after="16" w:line="259" w:lineRule="auto"/>
              <w:ind w:left="0" w:firstLine="0"/>
              <w:jc w:val="left"/>
              <w:rPr>
                <w:color w:val="auto"/>
              </w:rPr>
            </w:pPr>
            <w:r>
              <w:rPr>
                <w:color w:val="auto"/>
              </w:rPr>
              <w:t xml:space="preserve">010409 Smėlio ir molio atliekos </w:t>
            </w:r>
          </w:p>
          <w:p w14:paraId="7A226E88" w14:textId="77777777" w:rsidR="000B2060" w:rsidRPr="001A66C5" w:rsidRDefault="009E72B8">
            <w:pPr>
              <w:spacing w:after="16" w:line="259" w:lineRule="auto"/>
              <w:ind w:left="0" w:firstLine="0"/>
              <w:jc w:val="left"/>
              <w:rPr>
                <w:color w:val="auto"/>
              </w:rPr>
            </w:pPr>
            <w:r>
              <w:rPr>
                <w:color w:val="auto"/>
              </w:rPr>
              <w:t xml:space="preserve">010410 Dulkės ir panašios liekanos, nenurodytos 010407 pozicijoje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Akmenų skaldymo ir pjaustymo, nenurodytos 010407 pozicijoje </w:t>
            </w:r>
          </w:p>
          <w:p w14:paraId="4AE084E7" w14:textId="18C3375C" w:rsidR="000B2060" w:rsidRPr="001A66C5" w:rsidRDefault="009E72B8">
            <w:pPr>
              <w:spacing w:after="16" w:line="259" w:lineRule="auto"/>
              <w:ind w:left="0" w:firstLine="0"/>
              <w:jc w:val="left"/>
              <w:rPr>
                <w:color w:val="auto"/>
              </w:rPr>
            </w:pPr>
            <w:r>
              <w:rPr>
                <w:color w:val="auto"/>
              </w:rPr>
              <w:t xml:space="preserve">101201 Mišinio paruošimo liekanos, kurios nebuvo termiškai apdorotos </w:t>
            </w:r>
          </w:p>
          <w:p w14:paraId="7FE59863" w14:textId="77777777" w:rsidR="000B2060" w:rsidRDefault="009E72B8">
            <w:pPr>
              <w:spacing w:after="0" w:line="259" w:lineRule="auto"/>
              <w:ind w:left="708" w:right="60" w:hanging="708"/>
              <w:rPr>
                <w:color w:val="auto"/>
              </w:rPr>
            </w:pPr>
            <w:r>
              <w:rPr>
                <w:color w:val="auto"/>
              </w:rPr>
              <w:t xml:space="preserve">101206 Laužo formos, sudarytos tik iš skiedrų ir nedegtų glazūruotų ir kūrenamų keramikos produktų atliekų arba iš keptų terakotos skiedrų ir keramzito, kurie gali būti padengti nedegta glazūra, kurios koncentracija – 10 % masės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Keramikos atliekos, plytos, plytelės ir statybinės medžiagos (termiškai apdorotos)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Kompozitinių cemento medžiagų gamybos atliekos, nenurodytos 101309 ir 101310 pozicijose </w:t>
            </w:r>
          </w:p>
          <w:p w14:paraId="4442198A" w14:textId="43BD1BC2" w:rsidR="00D55B0D" w:rsidRDefault="00563958" w:rsidP="00563958">
            <w:pPr>
              <w:spacing w:after="0" w:line="259" w:lineRule="auto"/>
              <w:ind w:left="708" w:right="60" w:hanging="708"/>
              <w:rPr>
                <w:color w:val="auto"/>
              </w:rPr>
            </w:pPr>
            <w:r>
              <w:rPr>
                <w:color w:val="auto"/>
              </w:rPr>
              <w:t xml:space="preserve">120117 Sprogdinimo medžiagų liekanos, nenurodytos 120116 pozicijoje, sudarytos tik iš šlifuotų smėlio atliekų </w:t>
            </w:r>
          </w:p>
          <w:p w14:paraId="225763E4" w14:textId="46F1C5E7" w:rsidR="00563958" w:rsidRPr="001A66C5" w:rsidRDefault="00563958" w:rsidP="00563958">
            <w:pPr>
              <w:spacing w:after="0" w:line="259" w:lineRule="auto"/>
              <w:ind w:left="708" w:right="60" w:hanging="708"/>
              <w:rPr>
                <w:color w:val="auto"/>
              </w:rPr>
            </w:pPr>
            <w:r>
              <w:rPr>
                <w:color w:val="auto"/>
              </w:rPr>
              <w:t>191209 Mineralai (pvz., smėlis, uolienos)</w:t>
            </w:r>
          </w:p>
        </w:tc>
      </w:tr>
    </w:tbl>
    <w:p w14:paraId="2957BE6E" w14:textId="68A671EE" w:rsidR="000B2060" w:rsidRDefault="001A66C5" w:rsidP="001A66C5">
      <w:pPr>
        <w:spacing w:after="0" w:line="259" w:lineRule="auto"/>
        <w:ind w:left="0" w:firstLine="0"/>
        <w:jc w:val="center"/>
      </w:pPr>
      <w:r>
        <w:rPr>
          <w:sz w:val="18"/>
        </w:rPr>
        <w:t>1 lentelė. Atliekos, kurias leidžiama naudoti regeneruotoms nerūdinėms medžiagoms gaminti</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lastRenderedPageBreak/>
        <w:t xml:space="preserve">b) Gaunamų atliekų patikrinimai  </w:t>
      </w:r>
    </w:p>
    <w:p w14:paraId="2EC2AED3" w14:textId="77777777" w:rsidR="00E126AE" w:rsidRPr="00E126AE" w:rsidRDefault="00E126AE" w:rsidP="00E126AE">
      <w:pPr>
        <w:spacing w:after="0" w:line="259" w:lineRule="auto"/>
        <w:ind w:left="0" w:firstLine="0"/>
        <w:rPr>
          <w:color w:val="auto"/>
          <w:sz w:val="22"/>
        </w:rPr>
      </w:pPr>
      <w:r>
        <w:rPr>
          <w:color w:val="auto"/>
        </w:rPr>
        <w:t>Atliekos, kurias leidžiama naudoti regeneruotoms nerūdinėms medžiagoms gaminti, tikrinamos kartu su gaunamomis atliekomis, vizualiai patikrinamos ir prireikus patikrinamos papildomai.</w:t>
      </w:r>
    </w:p>
    <w:p w14:paraId="7DB9A040" w14:textId="281FD861" w:rsidR="00E126AE" w:rsidRPr="00E126AE" w:rsidRDefault="00E126AE" w:rsidP="00E126AE">
      <w:pPr>
        <w:spacing w:after="0" w:line="259" w:lineRule="auto"/>
        <w:ind w:left="0" w:firstLine="0"/>
        <w:rPr>
          <w:color w:val="auto"/>
        </w:rPr>
      </w:pPr>
      <w:r>
        <w:rPr>
          <w:color w:val="auto"/>
        </w:rPr>
        <w:t>Šiuo tikslu regeneruotų nerūdinių medžiagų gamintojas turi įdiegti atliekų priėmimo tikrinimo sistemą, kad patikrintų, ar atliekos atitinka šiame reglamente nustatytas charakteristikas.</w:t>
      </w:r>
    </w:p>
    <w:p w14:paraId="5545C204" w14:textId="44B7EC22" w:rsidR="00E126AE" w:rsidRPr="00E126AE" w:rsidRDefault="00E126AE" w:rsidP="00E126AE">
      <w:pPr>
        <w:spacing w:after="0" w:line="259" w:lineRule="auto"/>
        <w:ind w:left="0" w:firstLine="0"/>
        <w:rPr>
          <w:color w:val="auto"/>
        </w:rPr>
      </w:pPr>
      <w:r>
        <w:rPr>
          <w:color w:val="auto"/>
        </w:rPr>
        <w:t xml:space="preserve">Įmonių, registruotų pagal 2009 m. lapkričio 25 d. Europos Parlamento ir Tarybos reglamentą (EB) Nr. 1221/2009, ir įmonių, turinčių pagal galiojančius teisės aktus akredituotos organizacijos išduotą aplinkosaugos sertifikatą UNI EN ISO 14001, atveju ta sistema turi būti integruota į aplinkosaugos vadybos sistemą. </w:t>
      </w:r>
    </w:p>
    <w:p w14:paraId="7030FC93" w14:textId="77777777" w:rsidR="00E126AE" w:rsidRPr="00E126AE" w:rsidRDefault="00E126AE" w:rsidP="00E126AE">
      <w:pPr>
        <w:spacing w:after="0" w:line="259" w:lineRule="auto"/>
        <w:ind w:left="0" w:firstLine="0"/>
        <w:rPr>
          <w:color w:val="auto"/>
        </w:rPr>
      </w:pPr>
      <w:r>
        <w:rPr>
          <w:color w:val="auto"/>
        </w:rPr>
        <w:t>Sistema užtikrinama, kad būtų laikomasi bent toliau nurodytų įpareigojimų, ir pagal ją turi būti nustatyta pateiktų reikalavimų nesilaikymo valdymo, atsekamumo ir pranešimo apie reikalavimų nesilaikymą tvarka:</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atitinkamo lygio darbuotojų atliekamas su vežamų atliekų kroviniu susijusių dokumentų tikrinimas;</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vizuali įeinančių atliekų krovinio apžiūra;</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tokių atliekų priėmimas tik tuo atveju, jei lydimųjų dokumentų tikrinimas ir vizualinė apžiūra yra sėkmingi, prižiūrint darbuotojams, kurie kasmet išeina mokymus ir lanko žinių atnaujinimo kursus, susijusius su atliekų rūšiavimu, taip pat atskirų bet kokių pašalinių medžiagų pašalinimu ir laikymu;</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gaunamų atliekų apkrovos duomenų svėrimas ir registravimas;</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atskiras šiame reglamente nustatytų kriterijų neatitinkančių atliekų saugojimas tam skirtoje vietoje;</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į atsargoms taikomus reikalavimus atitinkančias atliekas, kaip nurodyta šio priedo l lentelėje, patenka tik joms skirtoje srityje, kurios struktūra yra tokia, kad būtų išvengta jų maišymosi, įskaitant atsitiktinį susimaišymą, su kitų rūšių atliekomis, kurios neleidžiamos;</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atliekų, siunčiamų į regeneruotų nerūdinių medžiagų gamybą, tvarkymas, kurį kasmet rengia darbuotojai, išeinantys kasmetinius mokymus ir lankantys žinių atnaujinimo kursus, kad būtų išvengta atliekų užteršimo kitomis atliekomis ar pašalinėmis medžiagomis;</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atliekant papildomus patikrinimus, įskaitant analitinius patikrinimus, paimant mėginį arba kai dokumentų analizė ir (arba) apžiūra rodo, kad tai būtina. </w:t>
      </w:r>
    </w:p>
    <w:p w14:paraId="0164859B" w14:textId="77777777" w:rsidR="000B2060" w:rsidRDefault="009E72B8">
      <w:pPr>
        <w:spacing w:after="18" w:line="259" w:lineRule="auto"/>
        <w:ind w:left="-5"/>
        <w:jc w:val="left"/>
      </w:pPr>
      <w:r>
        <w:rPr>
          <w:b/>
        </w:rPr>
        <w:t xml:space="preserve">c) Minimalus gamybos procesas ir saugojimas gamintojo vietoje </w:t>
      </w:r>
    </w:p>
    <w:p w14:paraId="0866423C" w14:textId="77777777" w:rsidR="000B2060" w:rsidRDefault="009E72B8">
      <w:pPr>
        <w:spacing w:after="35" w:line="267" w:lineRule="auto"/>
        <w:ind w:left="-5" w:right="49"/>
      </w:pPr>
      <w:r>
        <w:t xml:space="preserve">„Statybos ir griovimo veiklos metu susidariusių inertinių atliekų“ ir „kitų inertinių mineralinės kilmės atliekų“, kaip apibrėžta 2 straipsnio a ir b punktuose, apdorojimo ir panaudojimo procesas regeneruotų nerūdinių medžiagų gamybai vyksta mechaniškai ir technologiškai tarpusavyje susijusiais etapais, kaip antai, pateikiama tik kaip pavyzdys: </w:t>
      </w:r>
    </w:p>
    <w:p w14:paraId="5607B0BE" w14:textId="77777777" w:rsidR="000B2060" w:rsidRDefault="009E72B8">
      <w:pPr>
        <w:numPr>
          <w:ilvl w:val="0"/>
          <w:numId w:val="6"/>
        </w:numPr>
        <w:spacing w:after="44"/>
        <w:ind w:right="51" w:hanging="708"/>
      </w:pPr>
      <w:r>
        <w:t xml:space="preserve">malimas,  </w:t>
      </w:r>
    </w:p>
    <w:p w14:paraId="0014502B" w14:textId="77777777" w:rsidR="000B2060" w:rsidRDefault="009E72B8">
      <w:pPr>
        <w:numPr>
          <w:ilvl w:val="0"/>
          <w:numId w:val="6"/>
        </w:numPr>
        <w:spacing w:after="46"/>
        <w:ind w:right="51" w:hanging="708"/>
      </w:pPr>
      <w:r>
        <w:t xml:space="preserve">sijojimas,  </w:t>
      </w:r>
    </w:p>
    <w:p w14:paraId="2654230A" w14:textId="77777777" w:rsidR="000B2060" w:rsidRDefault="009E72B8">
      <w:pPr>
        <w:numPr>
          <w:ilvl w:val="0"/>
          <w:numId w:val="6"/>
        </w:numPr>
        <w:spacing w:after="44"/>
        <w:ind w:right="51" w:hanging="708"/>
      </w:pPr>
      <w:r>
        <w:t xml:space="preserve">granuliometrinė atranka, </w:t>
      </w:r>
    </w:p>
    <w:p w14:paraId="04D110ED" w14:textId="77777777" w:rsidR="000B2060" w:rsidRDefault="009E72B8">
      <w:pPr>
        <w:numPr>
          <w:ilvl w:val="0"/>
          <w:numId w:val="6"/>
        </w:numPr>
        <w:ind w:right="51" w:hanging="708"/>
      </w:pPr>
      <w:r>
        <w:t xml:space="preserve">metalo frakcijos ir nepageidaujamų frakcijų atskyrimas.  </w:t>
      </w:r>
    </w:p>
    <w:p w14:paraId="6383107D" w14:textId="77777777" w:rsidR="000B2060" w:rsidRDefault="009E72B8">
      <w:pPr>
        <w:ind w:left="-5" w:right="51"/>
      </w:pPr>
      <w:r>
        <w:t xml:space="preserve">Panaudojimo procesas, atsižvelgiant į medžiagos rūšį, atliekamas užbaigiant visus arba tik kai kuriuos nurodytus veiksmus ar kitus mechaninius procesus, kurie leidžia laikytis šiame dekrete nustatytų kriterijų. </w:t>
      </w:r>
    </w:p>
    <w:p w14:paraId="0F8FFEA4" w14:textId="6463D22A" w:rsidR="00FC1B37" w:rsidRDefault="00FC1B37" w:rsidP="00FC1B37">
      <w:pPr>
        <w:spacing w:after="19" w:line="259" w:lineRule="auto"/>
        <w:ind w:left="0" w:firstLine="0"/>
      </w:pPr>
      <w:r>
        <w:t>Regeneruotos nerūdinės medžiagos atitikties reikalavimams patikros etapu gamintojo vykdomas saugojimas ir tvarkymas organizuojamas taip, kad atskiros produkcijos partijos nebūtų maišomos.</w:t>
      </w:r>
    </w:p>
    <w:p w14:paraId="57AFE5D5" w14:textId="2228A33C" w:rsidR="000B2060" w:rsidRDefault="00FC1B37" w:rsidP="00FC1B37">
      <w:pPr>
        <w:spacing w:after="19" w:line="259" w:lineRule="auto"/>
        <w:ind w:left="0" w:firstLine="0"/>
      </w:pPr>
      <w:r>
        <w:lastRenderedPageBreak/>
        <w:t xml:space="preserve">Kol bus išvežtos į vietą, kurioje jos bus naudojamos, regeneruotos nerūdinės medžiagos saugomos ir tvarkomos gamykloje, kurioje jos buvo pagamintos, ir šiam tikslui naudojamose sandėliavimo vietose. Tai nepažeidžia visų galiojančių nuostatų dėl saugos ir prevencijos darbo vietoje ir konkrečių leidimų suteikimo nuostatų.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Regeneruotos nerūdinės medžiagos kokybės reikalavimai </w:t>
      </w:r>
    </w:p>
    <w:p w14:paraId="5AC1392F" w14:textId="77777777" w:rsidR="000B2060" w:rsidRDefault="009E72B8">
      <w:pPr>
        <w:tabs>
          <w:tab w:val="center" w:pos="2519"/>
        </w:tabs>
        <w:spacing w:after="23" w:line="259" w:lineRule="auto"/>
        <w:ind w:left="-15" w:firstLine="0"/>
        <w:jc w:val="left"/>
      </w:pPr>
      <w:r>
        <w:rPr>
          <w:b/>
        </w:rPr>
        <w:t xml:space="preserve">d.1) Regeneruotos nerūdinės medžiagos patikrinimai  </w:t>
      </w:r>
    </w:p>
    <w:p w14:paraId="121A2F5D" w14:textId="4189B06B" w:rsidR="008817D3" w:rsidRDefault="008817D3" w:rsidP="008817D3">
      <w:pPr>
        <w:ind w:left="-5" w:right="51"/>
        <w:rPr>
          <w:color w:val="auto"/>
        </w:rPr>
      </w:pPr>
      <w:r>
        <w:rPr>
          <w:color w:val="auto"/>
        </w:rPr>
        <w:t xml:space="preserve">Kiekvienos regeneruotų nerūdinių medžiagų produkcijos partijos atveju užtikrinama atitiktis 2 lentelėje nustatytiems parametrams.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481"/>
        <w:gridCol w:w="2227"/>
        <w:gridCol w:w="2141"/>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Parametrai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Matavimo vienetas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Ribinės koncentracijos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Asbestas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(išreikšta kaip sausoji medžiaga)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(AROMATINIAI</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NGLIAVANDENILIAI)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Benzenas</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(išreikšta kaip sausoji medžiaga)</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Etilbenzenas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Stirenas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Toluenas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Ksilenas*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Organiniai aromatiniai priedai (20–23)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(POLICIKLINIAI AROMATINIAI ANGLIAVANDENILIAI)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Benzo(a)antracenas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Benzo(a)pirenas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Benzo(b)fluorantenas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Benzo(k)fluorantenas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Benzo(g,h,i)perilenas</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Chrisenas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lastRenderedPageBreak/>
              <w:t xml:space="preserve">Dibenzo(a,e)pirenas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Dibenzo(a,l)pirenas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Dibenzo(a,i)pirenas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Dibenzo(a,h)pirenas </w:t>
            </w:r>
          </w:p>
        </w:tc>
        <w:tc>
          <w:tcPr>
            <w:tcW w:w="2379" w:type="dxa"/>
            <w:vAlign w:val="center"/>
          </w:tcPr>
          <w:p w14:paraId="41624DC3" w14:textId="0287506E" w:rsidR="000A5B7E" w:rsidRPr="00FD253E" w:rsidRDefault="00453851"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Dibenzo(a,h)antracenas</w:t>
            </w:r>
          </w:p>
        </w:tc>
        <w:tc>
          <w:tcPr>
            <w:tcW w:w="2379" w:type="dxa"/>
            <w:vAlign w:val="center"/>
          </w:tcPr>
          <w:p w14:paraId="42798929" w14:textId="7288A4FD" w:rsidR="00453851" w:rsidRPr="00FD253E" w:rsidRDefault="00453851"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Indenopirenas</w:t>
            </w:r>
          </w:p>
        </w:tc>
        <w:tc>
          <w:tcPr>
            <w:tcW w:w="2379" w:type="dxa"/>
            <w:vAlign w:val="center"/>
          </w:tcPr>
          <w:p w14:paraId="0361AC22" w14:textId="7F2E5FFD" w:rsidR="00453851" w:rsidRPr="00FD253E" w:rsidRDefault="00453851"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Pirenas</w:t>
            </w:r>
          </w:p>
        </w:tc>
        <w:tc>
          <w:tcPr>
            <w:tcW w:w="2379" w:type="dxa"/>
            <w:vAlign w:val="center"/>
          </w:tcPr>
          <w:p w14:paraId="6AB60582" w14:textId="31256446" w:rsidR="00453851" w:rsidRPr="00FD253E" w:rsidRDefault="00453851"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Policikliniai aromatiniai priedai (25–34)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(išreikšta kaip sausoji medžiaga)</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Fenolis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(išreikšta kaip sausoji medžiaga)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(išreikšta kaip sausoji medžiaga)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(išreikšta kaip sausoji medžiaga)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(išreikšta kaip sausoji medžiaga)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Plūdriosios medžiagos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Pašalinės dalelės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masės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2 lentelė. Parametrai, kuriuos reikia tirti, ir ribinės vertės</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Atitinka analizės metodo aptikimo ribą (mikroskopija ir (arba) lygiavertė aptikimo vertė). Bet kuriuo atveju oficialiai pripažinta metodika taikoma visoje nacionalinėje teritorijoje, pagal kurią galima nustatyti mažesnes koncentracijos vertes.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Jei jos neapibrėžtos taikomuose techniniuose standartuose</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Regeneruotos nerūdinės medžiagos išleidimo bandymas  </w:t>
      </w:r>
    </w:p>
    <w:p w14:paraId="05765F60" w14:textId="50B4051B" w:rsidR="000B2060" w:rsidRPr="00751073" w:rsidRDefault="009E72B8" w:rsidP="005F0151">
      <w:pPr>
        <w:ind w:left="-5" w:right="51"/>
        <w:rPr>
          <w:color w:val="auto"/>
        </w:rPr>
      </w:pPr>
      <w:r>
        <w:rPr>
          <w:color w:val="auto"/>
        </w:rPr>
        <w:t>Su kiekviena pagamintų regeneruotų nerūdinių medžiagų partija, išskyrus tas, kurios skirtos UNI EN 12620 nurodytiems betonams, kurių atsparumo klasė Rck/leq ≥ 15 MPa, pakuoti, turi būti atliekamas medžiagų išsiskyrimo bandymas, siekiant įvertinti atitiktį 3 lentelėje nurodytų parametrų ribinėms koncentracijoms.</w:t>
      </w:r>
      <w:r>
        <w:rPr>
          <w:b/>
          <w:color w:val="auto"/>
        </w:rPr>
        <w:t xml:space="preserve"> </w:t>
      </w:r>
      <w:r>
        <w:rPr>
          <w:color w:val="auto"/>
        </w:rPr>
        <w:t xml:space="preserve"> </w:t>
      </w:r>
    </w:p>
    <w:p w14:paraId="2935AABC" w14:textId="77777777" w:rsidR="000B2060" w:rsidRDefault="009E72B8">
      <w:pPr>
        <w:ind w:left="-5" w:right="51"/>
      </w:pPr>
      <w:r>
        <w:t xml:space="preserve">Medžiagų išsiskyrimo bandymui nustatyti taikomas UNI 10802 standarto A priedėlis ir UNI EN 12457-2 standarte pateiktas metodas.  </w:t>
      </w:r>
    </w:p>
    <w:p w14:paraId="0AE3C55E" w14:textId="77777777" w:rsidR="000B2060" w:rsidRDefault="009E72B8">
      <w:pPr>
        <w:ind w:left="-5" w:right="51"/>
      </w:pPr>
      <w:r>
        <w:lastRenderedPageBreak/>
        <w:t xml:space="preserve">Tik tais atvejais, kai analizuojamas mėginys yra labai smulkių grūdelių dydžio, ultracentrifuga (20 000 G) turėtų būti naudojama ne trumpiau kaip 10 minučių be natūralaus nusodinimo etapo.  </w:t>
      </w:r>
    </w:p>
    <w:p w14:paraId="5F175D2C" w14:textId="77777777" w:rsidR="000B2060" w:rsidRDefault="009E72B8">
      <w:pPr>
        <w:ind w:left="-5" w:right="51"/>
      </w:pPr>
      <w:r>
        <w:t xml:space="preserve">Tik po šio etapo kitas filtravimo etapas gali būti atliekamas pagal UNI EN 12457-2 standarto 5.2.2 punktą.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Parametrai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Matavimo vienetas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Ribinės koncentracijos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Nitratai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Fluoridas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Cianidai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Baris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Varis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Cinkas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Berilis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Kobaltas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Nikelis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Vanadis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Arsenas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Kadmis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Bendrasis chromo kiekis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Švinas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Selenas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Gyvsidabris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mikrogramai/l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Sulfatai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Chloridai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3 lentelė. Analitės, kurias reikia ištirti, ir ribinės vertės.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Regeneruotos nerūdinės medžiagos EB sertifikavimui taikomi standartiniai techniniai standartai </w:t>
      </w:r>
    </w:p>
    <w:p w14:paraId="25900C48" w14:textId="2534B946" w:rsidR="000B2060" w:rsidRDefault="009E72B8">
      <w:pPr>
        <w:spacing w:after="12" w:line="267" w:lineRule="auto"/>
        <w:ind w:left="-5" w:right="49"/>
      </w:pPr>
      <w:r>
        <w:t xml:space="preserve">4 lentelėje pateikti standartiniai techniniai standartai, pagal kuriuos CE ženklas priskiriamas regeneruotai nerūdinei medžiagai.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rsidP="00F966EE">
            <w:pPr>
              <w:keepNext/>
              <w:spacing w:after="0" w:line="259" w:lineRule="auto"/>
              <w:ind w:left="1" w:firstLine="0"/>
              <w:jc w:val="center"/>
            </w:pPr>
            <w:r>
              <w:rPr>
                <w:b/>
                <w:sz w:val="22"/>
              </w:rPr>
              <w:lastRenderedPageBreak/>
              <w:t xml:space="preserve">Standartas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rsidP="00F966EE">
            <w:pPr>
              <w:keepNext/>
              <w:spacing w:after="0" w:line="259" w:lineRule="auto"/>
              <w:ind w:left="0" w:right="1" w:firstLine="0"/>
              <w:jc w:val="center"/>
            </w:pPr>
            <w:r>
              <w:rPr>
                <w:b/>
                <w:sz w:val="22"/>
              </w:rPr>
              <w:t xml:space="preserve">Pavadinimas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rsidP="00F966EE">
            <w:pPr>
              <w:keepNext/>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rsidP="00F966EE">
            <w:pPr>
              <w:keepNext/>
              <w:spacing w:after="0" w:line="259" w:lineRule="auto"/>
              <w:ind w:left="0" w:firstLine="0"/>
              <w:jc w:val="center"/>
            </w:pPr>
            <w:r>
              <w:rPr>
                <w:sz w:val="22"/>
              </w:rPr>
              <w:t xml:space="preserve">Nelegiruotų medžiagų ir lydinių su hidrauliniais rišikliais, naudojamais civilinėje inžinerijoje ir keliams tiesti, užpildai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rsidP="00F966EE">
            <w:pPr>
              <w:keepNext/>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rsidP="00F966EE">
            <w:pPr>
              <w:keepNext/>
              <w:spacing w:after="0" w:line="259" w:lineRule="auto"/>
              <w:ind w:left="0" w:right="4" w:firstLine="0"/>
              <w:jc w:val="center"/>
            </w:pPr>
            <w:r>
              <w:rPr>
                <w:sz w:val="22"/>
              </w:rPr>
              <w:t xml:space="preserve">Betono užpildai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rsidP="00F966EE">
            <w:pPr>
              <w:keepNext/>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rsidP="00F966EE">
            <w:pPr>
              <w:keepNext/>
              <w:spacing w:after="0" w:line="259" w:lineRule="auto"/>
              <w:ind w:left="0" w:firstLine="0"/>
              <w:jc w:val="center"/>
            </w:pPr>
            <w:r>
              <w:rPr>
                <w:sz w:val="22"/>
              </w:rPr>
              <w:t xml:space="preserve">Skiedinio užpildai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rsidP="00F966EE">
            <w:pPr>
              <w:keepNext/>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rsidP="00F966EE">
            <w:pPr>
              <w:keepNext/>
              <w:spacing w:after="0" w:line="259" w:lineRule="auto"/>
              <w:ind w:left="0" w:firstLine="0"/>
              <w:jc w:val="center"/>
            </w:pPr>
            <w:r>
              <w:rPr>
                <w:sz w:val="22"/>
              </w:rPr>
              <w:t xml:space="preserve">Keliams, skridimo aikštėms ir kitoms eismo zonoms naudojamų bituminių mišinių ir paviršiaus apdorojimo sluoksnio mineralinės medžiagos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rsidP="00F966EE">
            <w:pPr>
              <w:keepNext/>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rsidP="00F966EE">
            <w:pPr>
              <w:keepNext/>
              <w:spacing w:after="0" w:line="259" w:lineRule="auto"/>
              <w:ind w:left="0" w:right="2" w:firstLine="0"/>
              <w:jc w:val="center"/>
            </w:pPr>
            <w:r>
              <w:rPr>
                <w:sz w:val="22"/>
              </w:rPr>
              <w:t xml:space="preserve">Lengvieji užpildai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rsidP="00F966EE">
            <w:pPr>
              <w:keepNext/>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rsidP="00F966EE">
            <w:pPr>
              <w:keepNext/>
              <w:spacing w:after="0" w:line="259" w:lineRule="auto"/>
              <w:ind w:left="0" w:right="1" w:firstLine="0"/>
              <w:jc w:val="center"/>
            </w:pPr>
            <w:r>
              <w:rPr>
                <w:sz w:val="22"/>
              </w:rPr>
              <w:t xml:space="preserve">Geležinkelio balasto skalda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rsidP="00F966EE">
            <w:pPr>
              <w:keepNext/>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rsidP="00F966EE">
            <w:pPr>
              <w:keepNext/>
              <w:spacing w:after="0" w:line="259" w:lineRule="auto"/>
              <w:ind w:left="0" w:right="1" w:firstLine="0"/>
              <w:jc w:val="center"/>
            </w:pPr>
            <w:r>
              <w:rPr>
                <w:sz w:val="22"/>
              </w:rPr>
              <w:t xml:space="preserve">Apsauginių darbų užpildai (aptaiso akmuo). Techniniai reikalavimai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4 lentelė. EB sertifikavimo techniniai standartai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2 priedas (4 straipsnis)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Regeneruota nerūdinė medžiaga pagal 5 lentelėje nustatytus techninio naudojimo standartus naudojama: </w:t>
      </w:r>
    </w:p>
    <w:p w14:paraId="3C7300BE" w14:textId="77777777" w:rsidR="00D55B0D" w:rsidRDefault="00D55B0D" w:rsidP="00D55B0D">
      <w:pPr>
        <w:numPr>
          <w:ilvl w:val="0"/>
          <w:numId w:val="8"/>
        </w:numPr>
        <w:ind w:right="51" w:hanging="282"/>
      </w:pPr>
      <w:r>
        <w:t>dambų pagrindinės dalies statybai vykdant civilinės inžinerijos žemės darbus;</w:t>
      </w:r>
    </w:p>
    <w:p w14:paraId="22F0545D" w14:textId="77777777" w:rsidR="00D55B0D" w:rsidRDefault="00D55B0D" w:rsidP="00D55B0D">
      <w:pPr>
        <w:numPr>
          <w:ilvl w:val="0"/>
          <w:numId w:val="8"/>
        </w:numPr>
        <w:ind w:right="51" w:hanging="282"/>
      </w:pPr>
      <w:r>
        <w:t>kelių, geležinkelių, papildomų oro uostų bazių ir civilinių bei pramoninių priemiesčių statybai;</w:t>
      </w:r>
    </w:p>
    <w:p w14:paraId="78E1375E" w14:textId="77777777" w:rsidR="00D55B0D" w:rsidRDefault="00D55B0D" w:rsidP="00D55B0D">
      <w:pPr>
        <w:numPr>
          <w:ilvl w:val="0"/>
          <w:numId w:val="8"/>
        </w:numPr>
        <w:ind w:right="51" w:hanging="282"/>
      </w:pPr>
      <w:r>
        <w:t>transporto infrastruktūros ir civilinių bei pramoninių kiemų pamatų statybai;</w:t>
      </w:r>
    </w:p>
    <w:p w14:paraId="73160B34" w14:textId="77777777" w:rsidR="00D55B0D" w:rsidRDefault="00D55B0D" w:rsidP="00D55B0D">
      <w:pPr>
        <w:numPr>
          <w:ilvl w:val="0"/>
          <w:numId w:val="8"/>
        </w:numPr>
        <w:ind w:right="51" w:hanging="282"/>
      </w:pPr>
      <w:r>
        <w:t>aplinkos atkūrimo, užpildymo ir sujungimo darbų įvykdymui;</w:t>
      </w:r>
    </w:p>
    <w:p w14:paraId="2FB8C60C" w14:textId="77777777" w:rsidR="00D55B0D" w:rsidRDefault="00D55B0D" w:rsidP="00D55B0D">
      <w:pPr>
        <w:numPr>
          <w:ilvl w:val="0"/>
          <w:numId w:val="8"/>
        </w:numPr>
        <w:ind w:right="51" w:hanging="282"/>
      </w:pPr>
      <w:r>
        <w:t>papildomų sluoksnių, turinčių kapiliarų laužymo, antifrizo, drenažo ir kt. funkcijų, darymui;</w:t>
      </w:r>
    </w:p>
    <w:p w14:paraId="5E929373" w14:textId="77777777" w:rsidR="00D55B0D" w:rsidRDefault="00D55B0D" w:rsidP="00D55B0D">
      <w:pPr>
        <w:numPr>
          <w:ilvl w:val="0"/>
          <w:numId w:val="8"/>
        </w:numPr>
        <w:ind w:right="51" w:hanging="282"/>
      </w:pPr>
      <w:r>
        <w:t>betono ir su hidrauliniais rišikliais legiruotų mišinių (cemento mišinių, betono mišinių ir t. t.) pakavimas.</w:t>
      </w:r>
    </w:p>
    <w:p w14:paraId="34A920B7" w14:textId="25DB438E" w:rsidR="000B2060" w:rsidRDefault="000B2060">
      <w:pPr>
        <w:spacing w:after="0" w:line="259" w:lineRule="auto"/>
        <w:ind w:left="0" w:firstLine="0"/>
        <w:jc w:val="left"/>
      </w:pPr>
    </w:p>
    <w:tbl>
      <w:tblPr>
        <w:tblStyle w:val="TableGrid"/>
        <w:tblW w:w="9611" w:type="dxa"/>
        <w:tblInd w:w="171" w:type="dxa"/>
        <w:tblCellMar>
          <w:top w:w="58" w:type="dxa"/>
          <w:left w:w="223" w:type="dxa"/>
          <w:right w:w="115" w:type="dxa"/>
        </w:tblCellMar>
        <w:tblLook w:val="04A0" w:firstRow="1" w:lastRow="0" w:firstColumn="1" w:lastColumn="0" w:noHBand="0" w:noVBand="1"/>
      </w:tblPr>
      <w:tblGrid>
        <w:gridCol w:w="3531"/>
        <w:gridCol w:w="2715"/>
        <w:gridCol w:w="3365"/>
      </w:tblGrid>
      <w:tr w:rsidR="000B2060" w14:paraId="05074170" w14:textId="77777777">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Paskirtis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Atitiktis Europos darniesiems standartams ir (arba) eksploatacinėms savybėms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Techniniai pajėgumai </w:t>
            </w:r>
          </w:p>
        </w:tc>
      </w:tr>
      <w:tr w:rsidR="000B2060" w14:paraId="487C5BF0"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Užpylimas, užpildymas, morfologinis atkūrimas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4a priedas </w:t>
            </w:r>
          </w:p>
        </w:tc>
      </w:tr>
      <w:tr w:rsidR="000B2060" w14:paraId="1A31165C" w14:textId="77777777">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Dambų pagrindinė dalis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4a priedas </w:t>
            </w:r>
          </w:p>
        </w:tc>
      </w:tr>
      <w:tr w:rsidR="000B2060" w14:paraId="67F846B1"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Nelegiruoti mišiniai, kapiliarų laužymo sluoksnis, pamatas, pagrindas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4b priedas </w:t>
            </w:r>
          </w:p>
        </w:tc>
      </w:tr>
      <w:tr w:rsidR="000B2060" w14:paraId="22B0A1AE" w14:textId="77777777">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Su hidrauliniais rišikliais legiruotų mišinių (cemento mišinių, betono mišinių ir kt.) gamyba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Cemento gamyba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1 priedas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 priedas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4 priedas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E priedas </w:t>
            </w:r>
          </w:p>
          <w:p w14:paraId="1A14DB3D" w14:textId="77777777" w:rsidR="000B2060" w:rsidRDefault="009E72B8">
            <w:pPr>
              <w:spacing w:after="14" w:line="259" w:lineRule="auto"/>
              <w:ind w:left="0" w:right="221" w:firstLine="0"/>
              <w:jc w:val="center"/>
            </w:pPr>
            <w:r>
              <w:rPr>
                <w:sz w:val="22"/>
              </w:rPr>
              <w:t xml:space="preserve">2018 m. sausio 17 d. ministro dekretas </w:t>
            </w:r>
          </w:p>
          <w:p w14:paraId="2D2B7699" w14:textId="77777777" w:rsidR="000B2060" w:rsidRDefault="009E72B8">
            <w:pPr>
              <w:spacing w:after="0" w:line="259" w:lineRule="auto"/>
              <w:ind w:left="0" w:right="223" w:firstLine="0"/>
              <w:jc w:val="center"/>
            </w:pPr>
            <w:r>
              <w:rPr>
                <w:sz w:val="22"/>
              </w:rPr>
              <w:t xml:space="preserve">NTC: 11.2.III lentelė </w:t>
            </w:r>
          </w:p>
        </w:tc>
      </w:tr>
    </w:tbl>
    <w:p w14:paraId="1B0D5020" w14:textId="134EABAA" w:rsidR="000B2060" w:rsidRDefault="009E72B8">
      <w:pPr>
        <w:spacing w:after="24" w:line="253" w:lineRule="auto"/>
        <w:ind w:left="4820" w:right="2444" w:hanging="2393"/>
        <w:jc w:val="left"/>
      </w:pPr>
      <w:r>
        <w:rPr>
          <w:sz w:val="18"/>
        </w:rPr>
        <w:t xml:space="preserve">5 lentelė. Regeneruotų nerūdinių medžiagų techniniai naudojimo standartai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Visais naudojimo atvejais, išskyrus nurodytuosius d punkte, reikalaujama, kad CE ženklas būtų naudojamas, kaip numatyta 2011 m. kovo 9 d. Europos Parlamento ir Tarybos reglamente (ES) Nr. 305/2011.  </w:t>
      </w:r>
    </w:p>
    <w:p w14:paraId="24B2FD2B" w14:textId="3BDE4F41" w:rsidR="001E2424" w:rsidRDefault="00B90036" w:rsidP="00B90036">
      <w:pPr>
        <w:ind w:left="-5" w:right="51"/>
        <w:rPr>
          <w:color w:val="auto"/>
        </w:rPr>
      </w:pPr>
      <w:r>
        <w:rPr>
          <w:color w:val="auto"/>
        </w:rPr>
        <w:t xml:space="preserve">Dirvožemio naudojimas neturi būti galimas dirvožemio, podirvio ir požeminio vandens užteršimo šaltinis. </w:t>
      </w:r>
    </w:p>
    <w:p w14:paraId="5A934368" w14:textId="1DEDE070" w:rsidR="00605A70" w:rsidRDefault="00605A70" w:rsidP="00605A70">
      <w:pPr>
        <w:ind w:left="-5" w:right="51"/>
        <w:rPr>
          <w:color w:val="auto"/>
        </w:rPr>
      </w:pPr>
      <w:r>
        <w:rPr>
          <w:color w:val="auto"/>
        </w:rPr>
        <w:lastRenderedPageBreak/>
        <w:t>1 punkto f papunktyje nurodytais naudojimo atvejais turi būti laikomasi Reglamento (EB) Nr. 1907/2006 XVII priedo 47 pozicijoje nustatytų Cr VI kiekio cemente ir mišiniuose, kurių sudėtyje yra cemento, ribinių verčių.</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3 priedas. Atitikties deklaracija (5 straipsnis)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ATITIKTIES DEKLARACIJA (DoC)</w:t>
      </w:r>
      <w:r>
        <w:rPr>
          <w:b/>
        </w:rPr>
        <w:t xml:space="preserve">  </w:t>
      </w:r>
    </w:p>
    <w:p w14:paraId="3B572F20" w14:textId="77777777" w:rsidR="000B2060" w:rsidRPr="00CA20B5" w:rsidRDefault="009E72B8">
      <w:pPr>
        <w:spacing w:after="18" w:line="259" w:lineRule="auto"/>
        <w:ind w:left="10" w:right="69"/>
        <w:jc w:val="center"/>
        <w:rPr>
          <w:color w:val="auto"/>
        </w:rPr>
      </w:pPr>
      <w:r>
        <w:t xml:space="preserve">VIETOJ </w:t>
      </w:r>
      <w:r>
        <w:rPr>
          <w:i/>
          <w:iCs/>
        </w:rPr>
        <w:t>AFFIDAVID</w:t>
      </w:r>
      <w:r>
        <w:t xml:space="preserve"> PATEIKTA DEKLARACIJA</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VADOVAUJANTIS [202•] [•] [•] EKOLOGINĖS PERTVARKOS MINISTRO DEKRETO </w:t>
      </w:r>
      <w:r>
        <w:t>NR. [•], PASKELBTO [•], 5 STRAIPSNIU</w:t>
      </w:r>
    </w:p>
    <w:p w14:paraId="7CF40EA8" w14:textId="77777777" w:rsidR="000B2060" w:rsidRDefault="009E72B8">
      <w:pPr>
        <w:spacing w:after="17" w:line="259" w:lineRule="auto"/>
        <w:ind w:left="10" w:right="62"/>
        <w:jc w:val="center"/>
      </w:pPr>
      <w:r>
        <w:t xml:space="preserve">(2000 m. gruodžio 28 d. Italijos Respublikos Prezidento dekreto Nr. 445 47 ir 38 straipsniai)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Deklaracijos numeris </w:t>
            </w:r>
          </w:p>
          <w:p w14:paraId="50F66536" w14:textId="77777777" w:rsidR="000B2060" w:rsidRDefault="009E72B8">
            <w:pPr>
              <w:spacing w:after="0" w:line="259" w:lineRule="auto"/>
              <w:ind w:left="0" w:firstLine="0"/>
              <w:jc w:val="left"/>
            </w:pPr>
            <w:r>
              <w:t xml:space="preserve">(Partijos Nr.)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Metai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(metai)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(PASTABA: įrašyti deklaracijų numerius didėjimo tvarka)</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Regeneruotų nerūdinių medžiagų gamintojo duomenys pagal dekreto </w:t>
            </w:r>
            <w:r>
              <w:rPr>
                <w:color w:val="auto"/>
              </w:rPr>
              <w:t>[</w:t>
            </w:r>
            <w:r>
              <w:rPr>
                <w:rFonts w:ascii="Segoe UI Symbol" w:hAnsi="Segoe UI Symbol"/>
                <w:color w:val="auto"/>
              </w:rPr>
              <w:t>•</w:t>
            </w:r>
            <w:r>
              <w:rPr>
                <w:color w:val="auto"/>
              </w:rPr>
              <w:t>]</w:t>
            </w:r>
            <w:r>
              <w:rPr>
                <w:b/>
                <w:bCs/>
                <w:color w:val="auto"/>
              </w:rPr>
              <w:t xml:space="preserve"> 2 straipsnio 1 dalies f punktą</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Įmonės pavadinimas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Mokėtojo / PVM kodas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Registracija įmonių registre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Adresas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Namo numeris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Pašto kodas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Miestas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Provincija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Gamykla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Adresas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Namo numeris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Pašto kodas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Miestas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Provincija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Leidimą išduodanti įstaiga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Paskelbimo data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Pirmiau nurodytas gamintojas patvirtina, kad </w:t>
      </w:r>
    </w:p>
    <w:p w14:paraId="5A7DFBB1" w14:textId="4188EACE" w:rsidR="000B2060" w:rsidRDefault="009E72B8">
      <w:pPr>
        <w:numPr>
          <w:ilvl w:val="0"/>
          <w:numId w:val="9"/>
        </w:numPr>
        <w:spacing w:after="0" w:line="259" w:lineRule="auto"/>
        <w:ind w:right="51" w:hanging="360"/>
      </w:pPr>
      <w:r>
        <w:t xml:space="preserve">Regeneruotų nerūdinių medžiagų partiją reprezentuoja toliau nurodytas kiekis, išreikštas </w:t>
      </w:r>
      <w:r>
        <w:rPr>
          <w:color w:val="auto"/>
        </w:rPr>
        <w:t>tūriu</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PASTABA: </w:t>
      </w:r>
      <w:r>
        <w:rPr>
          <w:i/>
          <w:color w:val="auto"/>
        </w:rPr>
        <w:t>nurodyti kubinius metrus skaičiais ir raidėmis</w:t>
      </w:r>
      <w:r>
        <w:rPr>
          <w:color w:val="auto"/>
        </w:rPr>
        <w:t xml:space="preserve">) </w:t>
      </w:r>
    </w:p>
    <w:p w14:paraId="381D82F8" w14:textId="12A3AC51" w:rsidR="000B2060" w:rsidRDefault="009E72B8">
      <w:pPr>
        <w:numPr>
          <w:ilvl w:val="0"/>
          <w:numId w:val="9"/>
        </w:numPr>
        <w:spacing w:after="33" w:line="267" w:lineRule="auto"/>
        <w:ind w:right="51" w:hanging="360"/>
      </w:pPr>
      <w:r>
        <w:t xml:space="preserve">minėta regeneruotų nerūdinių medžiagų partija atitinka kriterijus, nustatytus [202•] [•] [•] ekologinės pertvarkos ministro dekreto Nr. [•], paskelbto [•], 3 straipsnyje; </w:t>
      </w:r>
    </w:p>
    <w:p w14:paraId="5F363D2F" w14:textId="77777777" w:rsidR="000B2060" w:rsidRDefault="009E72B8">
      <w:pPr>
        <w:numPr>
          <w:ilvl w:val="0"/>
          <w:numId w:val="9"/>
        </w:numPr>
        <w:ind w:right="51" w:hanging="360"/>
      </w:pPr>
      <w:r>
        <w:t xml:space="preserve">pirmiau minėta regeneruotų nerūdinių medžiagų partija pasižymi savybėmis, kurios yra išsamiau išdėstomos toliau pateiktoje 1 lentelėje.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1 lentelė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Regeneruotos nerūdinės medžiagos savybės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Techniniai etaloniniai standartai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Konkretūs tikslai (2 priedas)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Nelegiruotų medžiagų ir lydinių su hidrauliniais rišikliais, naudojamais civilinėje inžinerijoje ir keliams tiesti, užpildai;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Mišiniai, legiruoti su hidrauliniais rišikliais. Specifikacijos. 1 dalis. Cementu surišti granuliuoti mišiniai, skirti kelių bazėms ir papildomoms bazėms;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Betono užpildai;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Skiedinio užpildai;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Keliams, skridimo aikštėms ir kitoms eismo zonoms naudojamų bituminių mišinių ir paviršiaus apdorojimo sluoksnio mineralinės medžiagos;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Lengvieji užpildai;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Geležinkelio balasto skalda;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Apsauginių darbų užpildai (aptaiso akmuo). Techniniai reikalavimai.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Galiausiai gamintojas nurodo, kad: </w:t>
      </w:r>
    </w:p>
    <w:p w14:paraId="0F0B2894" w14:textId="77777777" w:rsidR="000B2060" w:rsidRDefault="009E72B8">
      <w:pPr>
        <w:numPr>
          <w:ilvl w:val="0"/>
          <w:numId w:val="9"/>
        </w:numPr>
        <w:ind w:right="51" w:hanging="360"/>
      </w:pPr>
      <w:r>
        <w:t xml:space="preserve">jis žino apie baudžiamąsias sankcijas už melagingų ar netikslių pareiškimų pateikimą oficialiuose dokumentuose ir apie dėl to prarastas išmokas pagal </w:t>
      </w:r>
    </w:p>
    <w:p w14:paraId="3A205EC1" w14:textId="77777777" w:rsidR="000B2060" w:rsidRDefault="009E72B8">
      <w:pPr>
        <w:spacing w:after="36"/>
        <w:ind w:left="798" w:right="51"/>
      </w:pPr>
      <w:r>
        <w:t xml:space="preserve">PREZIDENTO DEKRETO NR. 445/2000 75 ir 76 straipsnius; </w:t>
      </w:r>
    </w:p>
    <w:p w14:paraId="06DFD34E" w14:textId="77777777" w:rsidR="000B2060" w:rsidRDefault="009E72B8">
      <w:pPr>
        <w:numPr>
          <w:ilvl w:val="0"/>
          <w:numId w:val="9"/>
        </w:numPr>
        <w:ind w:right="51" w:hanging="360"/>
      </w:pPr>
      <w:r>
        <w:t xml:space="preserve">jam buvo pranešta, kad visi surinkti asmens duomenys elektroniniu būdu tvarkomi tik vykdant procedūrą, dėl kurios pateikiama deklaracija (Reglamento (ES) Nr. 679/2016 13 straipsnis).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______________________ d. </w:t>
            </w:r>
          </w:p>
          <w:p w14:paraId="28DE5481" w14:textId="77777777" w:rsidR="000B2060" w:rsidRDefault="009E72B8">
            <w:pPr>
              <w:spacing w:after="16" w:line="259" w:lineRule="auto"/>
              <w:ind w:left="926" w:firstLine="0"/>
              <w:jc w:val="left"/>
            </w:pPr>
            <w:r>
              <w:rPr>
                <w:i/>
              </w:rPr>
              <w:t>(PASTABA. nurodyti vietą ir datą)</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PASTABA. Gamintojo parašas ir antspaudas)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(netaikomas žyminis mokestis pagal Italijos Respublikos Prezidento dekreto Nr. 445/2000 37 straipsnį)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Priedai: fotostatinė abonento asmens tapatybės dokumento ir analizės ataskaitos kopija.</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140FF"/>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966EE"/>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3942</Words>
  <Characters>22474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2022-03-31T14:04:00Z</dcterms:modified>
</cp:coreProperties>
</file>