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438F4" w14:textId="4E9356C9" w:rsidR="00607B50" w:rsidRDefault="00607B50" w:rsidP="00607B50">
      <w:pPr>
        <w:jc w:val="center"/>
        <w:rPr>
          <w:rFonts w:ascii="Baskerville Old Face" w:hAnsi="Baskerville Old Face"/>
          <w:b/>
          <w:bCs/>
        </w:rPr>
      </w:pPr>
      <w:r>
        <w:rPr>
          <w:rFonts w:ascii="Baskerville Old Face" w:hAnsi="Baskerville Old Face"/>
          <w:b/>
        </w:rPr>
        <w:t>A.I.R. (ANALYSE D’IMPACT RÉGLEMENTAIRE)</w:t>
      </w:r>
    </w:p>
    <w:p w14:paraId="05753CEF" w14:textId="3C15F111" w:rsidR="00607B50" w:rsidRPr="00607B50" w:rsidRDefault="00607B50" w:rsidP="00607B50">
      <w:pPr>
        <w:jc w:val="center"/>
        <w:rPr>
          <w:rFonts w:ascii="Baskerville Old Face" w:hAnsi="Baskerville Old Face"/>
        </w:rPr>
      </w:pPr>
      <w:r>
        <w:rPr>
          <w:rFonts w:ascii="Baskerville Old Face" w:hAnsi="Baskerville Old Face"/>
        </w:rPr>
        <w:t>(Annexe 2 de la directive du Premier ministre du 16 février 2018)</w:t>
      </w:r>
      <w:r>
        <w:rPr>
          <w:rFonts w:ascii="Baskerville Old Face" w:hAnsi="Baskerville Old Face"/>
        </w:rPr>
        <w:br/>
      </w:r>
    </w:p>
    <w:p w14:paraId="3269C9F9" w14:textId="77777777" w:rsidR="00607B50" w:rsidRPr="00607B50" w:rsidRDefault="00607B50" w:rsidP="00607B50">
      <w:pPr>
        <w:jc w:val="both"/>
        <w:rPr>
          <w:rFonts w:ascii="Baskerville Old Face" w:hAnsi="Baskerville Old Face"/>
        </w:rPr>
      </w:pPr>
      <w:r>
        <w:rPr>
          <w:rFonts w:ascii="Baskerville Old Face" w:hAnsi="Baskerville Old Face"/>
          <w:b/>
        </w:rPr>
        <w:t>Mesure</w:t>
      </w:r>
      <w:r>
        <w:rPr>
          <w:rFonts w:ascii="Baskerville Old Face" w:hAnsi="Baskerville Old Face"/>
        </w:rPr>
        <w:t>: Règlement relatif à la fin du statut de déchet des déchets de construction et de démolition inertes et autres déchets inertes d’origine minérale, conformément à l’article 184 ter, paragraphe 2, du décret législatif n° 152 du 3 avril 2006.</w:t>
      </w:r>
    </w:p>
    <w:p w14:paraId="6569EF39" w14:textId="77777777" w:rsidR="00607B50" w:rsidRDefault="00607B50" w:rsidP="00607B50">
      <w:pPr>
        <w:jc w:val="both"/>
        <w:rPr>
          <w:rFonts w:ascii="Baskerville Old Face" w:hAnsi="Baskerville Old Face"/>
        </w:rPr>
      </w:pPr>
      <w:r>
        <w:rPr>
          <w:rFonts w:ascii="Baskerville Old Face" w:hAnsi="Baskerville Old Face"/>
          <w:b/>
        </w:rPr>
        <w:t>Administration compétente</w:t>
      </w:r>
      <w:r>
        <w:rPr>
          <w:rFonts w:ascii="Baskerville Old Face" w:hAnsi="Baskerville Old Face"/>
        </w:rPr>
        <w:t xml:space="preserve">: Ministère de la transition écologique, </w:t>
      </w:r>
    </w:p>
    <w:p w14:paraId="1F762D6D" w14:textId="652F06A0" w:rsidR="00607B50" w:rsidRPr="00607B50" w:rsidRDefault="00607B50" w:rsidP="00607B50">
      <w:pPr>
        <w:jc w:val="both"/>
        <w:rPr>
          <w:rFonts w:ascii="Baskerville Old Face" w:hAnsi="Baskerville Old Face"/>
        </w:rPr>
      </w:pPr>
      <w:r>
        <w:rPr>
          <w:rFonts w:ascii="Baskerville Old Face" w:hAnsi="Baskerville Old Face"/>
          <w:b/>
        </w:rPr>
        <w:t>Contact au sein de l’administration compétente</w:t>
      </w:r>
      <w:r>
        <w:rPr>
          <w:rFonts w:ascii="Baskerville Old Face" w:hAnsi="Baskerville Old Face"/>
        </w:rPr>
        <w:t>: Direction générale de l’économie circulaire</w:t>
      </w:r>
    </w:p>
    <w:p w14:paraId="46479D0E" w14:textId="77777777" w:rsidR="00607B50" w:rsidRDefault="00607B50" w:rsidP="00607B50">
      <w:pPr>
        <w:jc w:val="both"/>
        <w:rPr>
          <w:rFonts w:ascii="Baskerville Old Face" w:hAnsi="Baskerville Old Face"/>
          <w:b/>
          <w:bCs/>
        </w:rPr>
      </w:pPr>
    </w:p>
    <w:p w14:paraId="13B96B84" w14:textId="2C0B3D9E" w:rsidR="00607B50" w:rsidRPr="00607B50" w:rsidRDefault="00607B50" w:rsidP="00607B50">
      <w:pPr>
        <w:jc w:val="both"/>
        <w:rPr>
          <w:rFonts w:ascii="Baskerville Old Face" w:hAnsi="Baskerville Old Face"/>
          <w:b/>
          <w:bCs/>
        </w:rPr>
      </w:pPr>
      <w:r>
        <w:rPr>
          <w:rFonts w:ascii="Baskerville Old Face" w:hAnsi="Baskerville Old Face"/>
          <w:b/>
        </w:rPr>
        <w:t>RÉSUMÉ DE L’A.I.R. ET PRINCIPALES CONCLUSIONS</w:t>
      </w:r>
    </w:p>
    <w:p w14:paraId="019FB305" w14:textId="77777777" w:rsidR="00607B50" w:rsidRPr="00607B50" w:rsidRDefault="00607B50" w:rsidP="00607B50">
      <w:pPr>
        <w:jc w:val="both"/>
        <w:rPr>
          <w:rFonts w:ascii="Baskerville Old Face" w:hAnsi="Baskerville Old Face"/>
        </w:rPr>
      </w:pPr>
      <w:r>
        <w:rPr>
          <w:rFonts w:ascii="Baskerville Old Face" w:hAnsi="Baskerville Old Face"/>
        </w:rPr>
        <w:t>Ce décret vise à mettre en œuvre les exigences de l’article 184 ter du décret législatif n° 152 du 3 avril 2006, introduit en droit italien — conformément à l’article 6, paragraphe 4, de la directive 2008/98/CE — par le décret législatif n° 205 du 3 décembre 2010, avec lequel la directive susmentionnée a été mise en œuvre. En général, il est noté que des granulats récupérés, de diverses granulométries, résultent du traitement des déchets de construction et de démolition inertes et des déchets inertes d’origine minérale, avec des performances similaires à celles des carrières.</w:t>
      </w:r>
    </w:p>
    <w:p w14:paraId="66A37785" w14:textId="77777777" w:rsidR="00607B50" w:rsidRPr="00607B50" w:rsidRDefault="00607B50" w:rsidP="00607B50">
      <w:pPr>
        <w:jc w:val="both"/>
        <w:rPr>
          <w:rFonts w:ascii="Baskerville Old Face" w:hAnsi="Baskerville Old Face"/>
        </w:rPr>
      </w:pPr>
      <w:r>
        <w:rPr>
          <w:rFonts w:ascii="Baskerville Old Face" w:hAnsi="Baskerville Old Face"/>
        </w:rPr>
        <w:t>Il ressort de l’enquête effectuée que les conditions exigées par l’article 184 ter en vue de la fin du statut de déchet et qui sont exposées ci-après sont pleinement remplies en l’espèce:</w:t>
      </w:r>
    </w:p>
    <w:p w14:paraId="282D05B5" w14:textId="5F8D009B" w:rsidR="00607B50" w:rsidRPr="00202041" w:rsidRDefault="00607B50" w:rsidP="00202041">
      <w:pPr>
        <w:pStyle w:val="ListParagraph"/>
        <w:numPr>
          <w:ilvl w:val="0"/>
          <w:numId w:val="3"/>
        </w:numPr>
        <w:ind w:left="567" w:hanging="283"/>
        <w:jc w:val="both"/>
        <w:rPr>
          <w:rFonts w:ascii="Baskerville Old Face" w:hAnsi="Baskerville Old Face"/>
        </w:rPr>
      </w:pPr>
      <w:r>
        <w:rPr>
          <w:rFonts w:ascii="Baskerville Old Face" w:hAnsi="Baskerville Old Face"/>
        </w:rPr>
        <w:t>la substance ou l’objet est couramment utilisé à des fins spécifiques;</w:t>
      </w:r>
    </w:p>
    <w:p w14:paraId="6240AE45" w14:textId="3F5D2036" w:rsidR="00607B50" w:rsidRPr="00202041" w:rsidRDefault="00607B50" w:rsidP="00202041">
      <w:pPr>
        <w:pStyle w:val="ListParagraph"/>
        <w:numPr>
          <w:ilvl w:val="0"/>
          <w:numId w:val="3"/>
        </w:numPr>
        <w:ind w:left="567" w:hanging="283"/>
        <w:jc w:val="both"/>
        <w:rPr>
          <w:rFonts w:ascii="Baskerville Old Face" w:hAnsi="Baskerville Old Face"/>
        </w:rPr>
      </w:pPr>
      <w:r>
        <w:rPr>
          <w:rFonts w:ascii="Baskerville Old Face" w:hAnsi="Baskerville Old Face"/>
        </w:rPr>
        <w:t>il existe un marché ou une demande pour cette substance ou cet objet;</w:t>
      </w:r>
    </w:p>
    <w:p w14:paraId="666A6BC6" w14:textId="72A992A7" w:rsidR="00607B50" w:rsidRPr="00202041" w:rsidRDefault="00607B50" w:rsidP="00202041">
      <w:pPr>
        <w:pStyle w:val="ListParagraph"/>
        <w:numPr>
          <w:ilvl w:val="0"/>
          <w:numId w:val="3"/>
        </w:numPr>
        <w:ind w:left="567" w:hanging="283"/>
        <w:jc w:val="both"/>
        <w:rPr>
          <w:rFonts w:ascii="Baskerville Old Face" w:hAnsi="Baskerville Old Face"/>
        </w:rPr>
      </w:pPr>
      <w:r>
        <w:rPr>
          <w:rFonts w:ascii="Baskerville Old Face" w:hAnsi="Baskerville Old Face"/>
        </w:rPr>
        <w:t>la substance ou l’objet satisfait aux exigences techniques aux fins spécifiques et est conforme à la législation et aux normes en vigueur applicables aux produits;</w:t>
      </w:r>
    </w:p>
    <w:p w14:paraId="1BB57B8D" w14:textId="6E6C051B" w:rsidR="00607B50" w:rsidRPr="00202041" w:rsidRDefault="00607B50" w:rsidP="00202041">
      <w:pPr>
        <w:pStyle w:val="ListParagraph"/>
        <w:numPr>
          <w:ilvl w:val="0"/>
          <w:numId w:val="3"/>
        </w:numPr>
        <w:ind w:left="567" w:hanging="283"/>
        <w:jc w:val="both"/>
        <w:rPr>
          <w:rFonts w:ascii="Baskerville Old Face" w:hAnsi="Baskerville Old Face"/>
        </w:rPr>
      </w:pPr>
      <w:r>
        <w:rPr>
          <w:rFonts w:ascii="Baskerville Old Face" w:hAnsi="Baskerville Old Face"/>
        </w:rPr>
        <w:t>l’utilisation de la substance ou de l’objet n’aura pas d’incidences négatives globales sur l’environnement ou la santé humaine.</w:t>
      </w:r>
    </w:p>
    <w:p w14:paraId="1C5183ED" w14:textId="77777777" w:rsidR="00607B50" w:rsidRPr="00607B50" w:rsidRDefault="00607B50" w:rsidP="00607B50">
      <w:pPr>
        <w:jc w:val="both"/>
        <w:rPr>
          <w:rFonts w:ascii="Baskerville Old Face" w:hAnsi="Baskerville Old Face"/>
        </w:rPr>
      </w:pPr>
      <w:r>
        <w:rPr>
          <w:rFonts w:ascii="Baskerville Old Face" w:hAnsi="Baskerville Old Face"/>
        </w:rPr>
        <w:t>En ce qui concerne le point (a), l’agrégat récupéré, qui est similaire en termes de performance et de composition chimique à celui provenant de la carrière, est normalement utilisé dans le domaine de la construction. Cette condition remplit également le point (b), étant donné que les agrégats sont généralement soumis à des transactions commerciales.</w:t>
      </w:r>
    </w:p>
    <w:p w14:paraId="7E3EDB4F" w14:textId="77777777" w:rsidR="00607B50" w:rsidRPr="00607B50" w:rsidRDefault="00607B50" w:rsidP="00607B50">
      <w:pPr>
        <w:jc w:val="both"/>
        <w:rPr>
          <w:rFonts w:ascii="Baskerville Old Face" w:hAnsi="Baskerville Old Face"/>
        </w:rPr>
      </w:pPr>
      <w:r>
        <w:rPr>
          <w:rFonts w:ascii="Baskerville Old Face" w:hAnsi="Baskerville Old Face"/>
        </w:rPr>
        <w:t>En ce qui concerne le point (c), les exigences techniques sont fixées par des normes harmonisées ainsi que par des normes et réglementations techniques.</w:t>
      </w:r>
    </w:p>
    <w:p w14:paraId="4C705917" w14:textId="77777777" w:rsidR="00607B50" w:rsidRPr="00607B50" w:rsidRDefault="00607B50" w:rsidP="00607B50">
      <w:pPr>
        <w:jc w:val="both"/>
        <w:rPr>
          <w:rFonts w:ascii="Baskerville Old Face" w:hAnsi="Baskerville Old Face"/>
        </w:rPr>
      </w:pPr>
      <w:r>
        <w:rPr>
          <w:rFonts w:ascii="Baskerville Old Face" w:hAnsi="Baskerville Old Face"/>
        </w:rPr>
        <w:t>Enfin, la protection de la santé humaine et de l’environnement est assurée par le respect des limites et des contrôles fixés.</w:t>
      </w:r>
    </w:p>
    <w:p w14:paraId="0D1696B5" w14:textId="77777777" w:rsidR="00607B50" w:rsidRPr="00607B50" w:rsidRDefault="00607B50" w:rsidP="00607B50">
      <w:pPr>
        <w:jc w:val="both"/>
        <w:rPr>
          <w:rFonts w:ascii="Baskerville Old Face" w:hAnsi="Baskerville Old Face"/>
        </w:rPr>
      </w:pPr>
      <w:r>
        <w:rPr>
          <w:rFonts w:ascii="Baskerville Old Face" w:hAnsi="Baskerville Old Face"/>
        </w:rPr>
        <w:t>Il convient de noter qu’à l’heure actuelle, il est possible d’obtenir des produits ou des matières premières secondaires présentant des caractéristiques de produit conformes aux réglementations techniques du secteur ou, en tout état de cause, sous des formes habituellement commercialisées avec des limites quantitatives visées dans les autorisations par l’arrêté ministériel du 5 février 1998. Toutefois, ce n’est possible que pour des procédures simplifiées et des quantités limitées sur la base de 70 millions de tonnes par an.</w:t>
      </w:r>
    </w:p>
    <w:p w14:paraId="36A05EF1" w14:textId="77777777" w:rsidR="00607B50" w:rsidRPr="00607B50" w:rsidRDefault="00607B50" w:rsidP="00607B50">
      <w:pPr>
        <w:jc w:val="both"/>
        <w:rPr>
          <w:rFonts w:ascii="Baskerville Old Face" w:hAnsi="Baskerville Old Face"/>
        </w:rPr>
      </w:pPr>
      <w:r>
        <w:rPr>
          <w:rFonts w:ascii="Baskerville Old Face" w:hAnsi="Baskerville Old Face"/>
        </w:rPr>
        <w:t>Par conséquent, le retrait de la plupart de ces déchets des décharges entraînerait la réutilisation de matériaux recyclés au lieu de matériaux vierges, ce qui aurait des avantages environnementaux et économiques clairs pour l’ensemble du système de production.</w:t>
      </w:r>
    </w:p>
    <w:p w14:paraId="595411C2" w14:textId="77777777" w:rsidR="00607B50" w:rsidRDefault="00607B50" w:rsidP="00607B50">
      <w:pPr>
        <w:jc w:val="both"/>
        <w:rPr>
          <w:rFonts w:ascii="Baskerville Old Face" w:hAnsi="Baskerville Old Face"/>
          <w:b/>
          <w:bCs/>
        </w:rPr>
      </w:pPr>
    </w:p>
    <w:p w14:paraId="41671E70" w14:textId="446106F1" w:rsidR="00607B50" w:rsidRPr="00607B50" w:rsidRDefault="00607B50" w:rsidP="00E41A4A">
      <w:pPr>
        <w:keepNext/>
        <w:jc w:val="both"/>
        <w:rPr>
          <w:rFonts w:ascii="Baskerville Old Face" w:hAnsi="Baskerville Old Face"/>
          <w:b/>
          <w:bCs/>
        </w:rPr>
      </w:pPr>
      <w:r>
        <w:rPr>
          <w:rFonts w:ascii="Baskerville Old Face" w:hAnsi="Baskerville Old Face"/>
          <w:b/>
        </w:rPr>
        <w:lastRenderedPageBreak/>
        <w:t>1. CONTEXTE ET PROBLÈMES À RÉSOUDRE</w:t>
      </w:r>
    </w:p>
    <w:p w14:paraId="39F33EDC" w14:textId="77777777" w:rsidR="00607B50" w:rsidRPr="00607B50" w:rsidRDefault="00607B50" w:rsidP="00607B50">
      <w:pPr>
        <w:jc w:val="both"/>
        <w:rPr>
          <w:rFonts w:ascii="Baskerville Old Face" w:hAnsi="Baskerville Old Face"/>
        </w:rPr>
      </w:pPr>
      <w:r>
        <w:rPr>
          <w:rFonts w:ascii="Baskerville Old Face" w:hAnsi="Baskerville Old Face"/>
        </w:rPr>
        <w:t>En Italie, l’analyse des données de production de 2019 confirme que la plus grande part de la production totale de déchets spéciaux est apportée par le secteur de la construction et de la démolition, soit 45,5 % du total, soit plus de 70 millions de tonnes.</w:t>
      </w:r>
    </w:p>
    <w:p w14:paraId="43BF5164" w14:textId="77777777" w:rsidR="00607B50" w:rsidRPr="00607B50" w:rsidRDefault="00607B50" w:rsidP="00607B50">
      <w:pPr>
        <w:jc w:val="both"/>
        <w:rPr>
          <w:rFonts w:ascii="Baskerville Old Face" w:hAnsi="Baskerville Old Face"/>
        </w:rPr>
      </w:pPr>
      <w:r>
        <w:rPr>
          <w:rFonts w:ascii="Baskerville Old Face" w:hAnsi="Baskerville Old Face"/>
        </w:rPr>
        <w:t>La même année, les quantités de déchets du secteur de la construction et de la démolition mises en décharge s’élevaient à environ 3,2 millions de tonnes, soit 26,4 % du total des déchets éliminés au niveau national.  En moyenne, leur composition est donnée pour 10 % de leur poids en béton non armé (CLS), 20 % en béton armé (CLS), 50 % en brique, 5 % en asphalte, 6 % en excavation, 3 % en métal, 2,5 % en bois, papier et plastique et 3,5 % dans les autres matériaux.</w:t>
      </w:r>
    </w:p>
    <w:p w14:paraId="1DA25082" w14:textId="77777777" w:rsidR="00607B50" w:rsidRPr="00202041" w:rsidRDefault="00607B50" w:rsidP="00607B50">
      <w:pPr>
        <w:jc w:val="both"/>
        <w:rPr>
          <w:rFonts w:ascii="Baskerville Old Face" w:hAnsi="Baskerville Old Face"/>
        </w:rPr>
      </w:pPr>
      <w:r>
        <w:rPr>
          <w:rFonts w:ascii="Baskerville Old Face" w:hAnsi="Baskerville Old Face"/>
        </w:rPr>
        <w:t xml:space="preserve">Par rapport à 2018, l’augmentation des déchets produits a été de 29,1 %, chiffre qui devrait augmenter comme ces dernières années sous forme de primes et d’incitations en faveur de l’efficacité énergétique des bâtiments et de la rénovation, comme le </w:t>
      </w:r>
      <w:proofErr w:type="spellStart"/>
      <w:r>
        <w:rPr>
          <w:rFonts w:ascii="Baskerville Old Face" w:hAnsi="Baskerville Old Face"/>
        </w:rPr>
        <w:t>Superbonus</w:t>
      </w:r>
      <w:proofErr w:type="spellEnd"/>
      <w:r>
        <w:rPr>
          <w:rFonts w:ascii="Baskerville Old Face" w:hAnsi="Baskerville Old Face"/>
        </w:rPr>
        <w:t xml:space="preserve"> à 110 %, qui ont généré une croissance extraordinaire des activités de rénovation dans le pays et, par conséquent, des volumes de déchets de construction et de démolition inertes produits et éliminés et de la demande en quantités toujours plus importantes de matières premières. </w:t>
      </w:r>
    </w:p>
    <w:p w14:paraId="76F74345" w14:textId="77777777" w:rsidR="00607B50" w:rsidRPr="00607B50" w:rsidRDefault="00607B50" w:rsidP="00607B50">
      <w:pPr>
        <w:jc w:val="both"/>
        <w:rPr>
          <w:rFonts w:ascii="Baskerville Old Face" w:hAnsi="Baskerville Old Face"/>
        </w:rPr>
      </w:pPr>
      <w:r>
        <w:rPr>
          <w:rFonts w:ascii="Baskerville Old Face" w:hAnsi="Baskerville Old Face"/>
        </w:rPr>
        <w:t>Toutefois, grâce à la récupération des déchets de construction et de démolition et des déchets inertes d’origine minérale, il est possible de produire des matériaux capables de remplacer les matières premières vierges, qu’elles soient en vrac ou non, ou sous une forme liée par l’utilisation de liants hydrauliques. En effet, des granulats récupérés de différentes tailles de grains résultent du traitement des déchets de construction et de démolition et des déchets inertes d’origine minérale, avec une performance similaire à celle des carrières. Cela faciliterait la valorisation des matières et l’amélioration de la qualité du produit exempté de traitement, en réduisant les déchets produits et éliminés et la quantité de matières premières vierges nécessaires.</w:t>
      </w:r>
    </w:p>
    <w:p w14:paraId="06DCA92D" w14:textId="77777777" w:rsidR="00607B50" w:rsidRPr="00607B50" w:rsidRDefault="00607B50" w:rsidP="00607B50">
      <w:pPr>
        <w:jc w:val="both"/>
        <w:rPr>
          <w:rFonts w:ascii="Baskerville Old Face" w:hAnsi="Baskerville Old Face"/>
        </w:rPr>
      </w:pPr>
      <w:r>
        <w:rPr>
          <w:rFonts w:ascii="Baskerville Old Face" w:hAnsi="Baskerville Old Face"/>
        </w:rPr>
        <w:t xml:space="preserve">Il est donc nécessaire d’établir, dans le cadre de la législation, un règlement qui faciliterait la valorisation des déchets inertes et le remplacement des granulats de carrière par des granulats recyclés. </w:t>
      </w:r>
    </w:p>
    <w:p w14:paraId="5A52E79B" w14:textId="77777777" w:rsidR="00607B50" w:rsidRPr="00607B50" w:rsidRDefault="00607B50" w:rsidP="00607B50">
      <w:pPr>
        <w:jc w:val="both"/>
        <w:rPr>
          <w:rFonts w:ascii="Baskerville Old Face" w:hAnsi="Baskerville Old Face"/>
        </w:rPr>
      </w:pPr>
      <w:r>
        <w:rPr>
          <w:rFonts w:ascii="Baskerville Old Face" w:hAnsi="Baskerville Old Face"/>
        </w:rPr>
        <w:t>Il convient de préciser que, à l’heure actuelle, l’arrêté ministériel du 5 février 1998 relatif à l’«identification des déchets non dangereux soumis à des procédures simplifiées de valorisation en vertu des articles 31 et 33 du décret législatif n° 22 du 5 février 1997» réglemente les activités, procédés et méthodes de recyclage et de valorisation des matières qui garantissent l’obtention de produits ou de matières premières secondaires présentant des caractéristiques de produit conformes aux réglementations techniques du secteur ou, en tout état de cause, dans les formes habituellement commercialisées avec des limites quantitatives visées dans les autorisations.</w:t>
      </w:r>
    </w:p>
    <w:p w14:paraId="398C115B" w14:textId="77777777" w:rsidR="00607B50" w:rsidRPr="00607B50" w:rsidRDefault="00607B50" w:rsidP="00607B50">
      <w:pPr>
        <w:jc w:val="both"/>
        <w:rPr>
          <w:rFonts w:ascii="Baskerville Old Face" w:hAnsi="Baskerville Old Face"/>
        </w:rPr>
      </w:pPr>
      <w:r>
        <w:rPr>
          <w:rFonts w:ascii="Baskerville Old Face" w:hAnsi="Baskerville Old Face"/>
        </w:rPr>
        <w:t>Le chapitre 7 «Déchets céramiques et inertes» de l’arrêté ministériel en question énonce, pour chaque sous-chapitre, le type de déchets admis et ses codes REE, l’origine de ces déchets, leurs caractéristiques physiques, les activités de valorisation auxquelles ces déchets peuvent être soumis et, enfin, les caractéristiques des matières premières et/ou des produits obtenus.</w:t>
      </w:r>
    </w:p>
    <w:p w14:paraId="4D82A70D" w14:textId="77777777" w:rsidR="00607B50" w:rsidRPr="00607B50" w:rsidRDefault="00607B50" w:rsidP="00607B50">
      <w:pPr>
        <w:jc w:val="both"/>
        <w:rPr>
          <w:rFonts w:ascii="Baskerville Old Face" w:hAnsi="Baskerville Old Face"/>
        </w:rPr>
      </w:pPr>
      <w:r>
        <w:rPr>
          <w:rFonts w:ascii="Baskerville Old Face" w:hAnsi="Baskerville Old Face"/>
        </w:rPr>
        <w:t>La Fin des Déchets (</w:t>
      </w:r>
      <w:proofErr w:type="spellStart"/>
      <w:r>
        <w:rPr>
          <w:rFonts w:ascii="Baskerville Old Face" w:hAnsi="Baskerville Old Face"/>
        </w:rPr>
        <w:t>FdD</w:t>
      </w:r>
      <w:proofErr w:type="spellEnd"/>
      <w:r>
        <w:rPr>
          <w:rFonts w:ascii="Baskerville Old Face" w:hAnsi="Baskerville Old Face"/>
        </w:rPr>
        <w:t xml:space="preserve">) est un élément essentiel pour exploiter le potentiel des déchets et, correctement transposée, elle peut contribuer fortement au développement du potentiel du secteur du recyclage et de la valorisation des déchets. La </w:t>
      </w:r>
      <w:proofErr w:type="spellStart"/>
      <w:r>
        <w:rPr>
          <w:rFonts w:ascii="Baskerville Old Face" w:hAnsi="Baskerville Old Face"/>
        </w:rPr>
        <w:t>FdD</w:t>
      </w:r>
      <w:proofErr w:type="spellEnd"/>
      <w:r>
        <w:rPr>
          <w:rFonts w:ascii="Baskerville Old Face" w:hAnsi="Baskerville Old Face"/>
        </w:rPr>
        <w:t xml:space="preserve"> est donc une mesure concrète visant à mettre en place, comme convenu par tous les États membres de l’UE, une société de recyclage et de valorisation, qui devient réalité lorsque des matières issues d’un recyclage ou d’une valorisation de haute qualité peuvent être mises sur le marché et sont en mesure de concurrencer les matières premières vierges, ce qui permet de réduire la consommation de ressources naturelles et de matières premières.</w:t>
      </w:r>
    </w:p>
    <w:p w14:paraId="284F7325" w14:textId="77777777" w:rsidR="00607B50" w:rsidRPr="00607B50" w:rsidRDefault="00607B50" w:rsidP="00607B50">
      <w:pPr>
        <w:jc w:val="both"/>
        <w:rPr>
          <w:rFonts w:ascii="Baskerville Old Face" w:hAnsi="Baskerville Old Face"/>
        </w:rPr>
      </w:pPr>
      <w:r>
        <w:rPr>
          <w:rFonts w:ascii="Baskerville Old Face" w:hAnsi="Baskerville Old Face"/>
        </w:rPr>
        <w:t xml:space="preserve">La valeur ajoutée et l’avantage pour l’environnement s’unissent également à la valeur économique de la </w:t>
      </w:r>
      <w:proofErr w:type="spellStart"/>
      <w:r>
        <w:rPr>
          <w:rFonts w:ascii="Baskerville Old Face" w:hAnsi="Baskerville Old Face"/>
        </w:rPr>
        <w:t>FdD</w:t>
      </w:r>
      <w:proofErr w:type="spellEnd"/>
      <w:r>
        <w:rPr>
          <w:rFonts w:ascii="Baskerville Old Face" w:hAnsi="Baskerville Old Face"/>
        </w:rPr>
        <w:t>, qui existe non seulement pour l’individu, mais aussi pour la communauté, générant ainsi également des avantages sociaux. L’avantage est qu’à la fin des opérations appropriées de recyclage et de valorisation, il ne s’agit plus de déchets, mais d’un produit qui, en tant que tel, aura un marché et, par conséquent, une valeur économique. Les déchets deviennent une ressource et contribuent à réduire l’utilisation de matières premières et la quantité de déchets destinés à être éliminés.</w:t>
      </w:r>
    </w:p>
    <w:p w14:paraId="160C5D0A" w14:textId="77777777" w:rsidR="00607B50" w:rsidRDefault="00607B50" w:rsidP="00607B50">
      <w:pPr>
        <w:jc w:val="both"/>
        <w:rPr>
          <w:rFonts w:ascii="Baskerville Old Face" w:hAnsi="Baskerville Old Face"/>
          <w:b/>
          <w:bCs/>
        </w:rPr>
      </w:pPr>
    </w:p>
    <w:p w14:paraId="0B01089E" w14:textId="093A20E3" w:rsidR="00607B50" w:rsidRPr="00607B50" w:rsidRDefault="00607B50" w:rsidP="00607B50">
      <w:pPr>
        <w:jc w:val="both"/>
        <w:rPr>
          <w:rFonts w:ascii="Baskerville Old Face" w:hAnsi="Baskerville Old Face"/>
          <w:b/>
          <w:bCs/>
        </w:rPr>
      </w:pPr>
      <w:r>
        <w:rPr>
          <w:rFonts w:ascii="Baskerville Old Face" w:hAnsi="Baskerville Old Face"/>
          <w:b/>
        </w:rPr>
        <w:t>2. OBJECTIFS DE L’INTERVENTION ET INDICATEURS CONNEXES</w:t>
      </w:r>
    </w:p>
    <w:p w14:paraId="3E3C9573" w14:textId="77777777" w:rsidR="00607B50" w:rsidRPr="00607B50" w:rsidRDefault="00607B50" w:rsidP="00607B50">
      <w:pPr>
        <w:jc w:val="both"/>
        <w:rPr>
          <w:rFonts w:ascii="Baskerville Old Face" w:hAnsi="Baskerville Old Face"/>
          <w:b/>
          <w:bCs/>
        </w:rPr>
      </w:pPr>
      <w:r>
        <w:rPr>
          <w:rFonts w:ascii="Baskerville Old Face" w:hAnsi="Baskerville Old Face"/>
          <w:b/>
        </w:rPr>
        <w:t xml:space="preserve">2.1 Objectifs généraux et spécifiques </w:t>
      </w:r>
    </w:p>
    <w:p w14:paraId="353E387E" w14:textId="77777777" w:rsidR="00607B50" w:rsidRPr="00202041" w:rsidRDefault="00607B50" w:rsidP="00607B50">
      <w:pPr>
        <w:jc w:val="both"/>
        <w:rPr>
          <w:rFonts w:ascii="Baskerville Old Face" w:hAnsi="Baskerville Old Face"/>
        </w:rPr>
      </w:pPr>
      <w:r>
        <w:rPr>
          <w:rFonts w:ascii="Baskerville Old Face" w:hAnsi="Baskerville Old Face"/>
        </w:rPr>
        <w:t xml:space="preserve">L’objectif prioritaire poursuivi par cette mesure législative était la définition de critères techniques pour la production d’agrégats de valorisation résultant du traitement des déchets de construction et de démolition (C&amp;D) et des déchets inertes d’origine minérale, sans mettre en danger la santé humaine et sans nuire à l’environnement et, en particulier, sans créer de risques pour l’eau, l’air, le sol, la faune et la flore, causant des nuisances dues au bruit et aux odeurs, endommageant le paysage et les sites d’intérêt particulier, protégés par la législation en vigueur. Les avantages environnementaux et économiques qui peuvent être obtenus par la valorisation des déchets inertes peuvent être résumés comme suit: </w:t>
      </w:r>
    </w:p>
    <w:p w14:paraId="2F09F9D7" w14:textId="2945F029" w:rsidR="00607B50" w:rsidRPr="00202041" w:rsidRDefault="00607B50" w:rsidP="00607B50">
      <w:pPr>
        <w:pStyle w:val="ListParagraph"/>
        <w:numPr>
          <w:ilvl w:val="0"/>
          <w:numId w:val="1"/>
        </w:numPr>
        <w:jc w:val="both"/>
        <w:rPr>
          <w:rFonts w:ascii="Baskerville Old Face" w:hAnsi="Baskerville Old Face"/>
        </w:rPr>
      </w:pPr>
      <w:r>
        <w:rPr>
          <w:rFonts w:ascii="Baskerville Old Face" w:hAnsi="Baskerville Old Face"/>
        </w:rPr>
        <w:t>une plus grande application des opérations de valorisation et moins d’utilisation de l’élimination en décharge, compte tenu notamment des objectifs de la nouvelle directive européenne sur les décharges, qui doit réduire le pourcentage de déchets dans les décharges à 10 %,</w:t>
      </w:r>
    </w:p>
    <w:p w14:paraId="2CC26C32" w14:textId="6E4751E8" w:rsidR="00607B50" w:rsidRPr="00202041" w:rsidRDefault="00607B50" w:rsidP="00607B50">
      <w:pPr>
        <w:pStyle w:val="ListParagraph"/>
        <w:numPr>
          <w:ilvl w:val="0"/>
          <w:numId w:val="1"/>
        </w:numPr>
        <w:jc w:val="both"/>
        <w:rPr>
          <w:rFonts w:ascii="Baskerville Old Face" w:hAnsi="Baskerville Old Face"/>
        </w:rPr>
      </w:pPr>
      <w:r>
        <w:rPr>
          <w:rFonts w:ascii="Baskerville Old Face" w:hAnsi="Baskerville Old Face"/>
        </w:rPr>
        <w:t>une réduction des émissions de CO</w:t>
      </w:r>
      <w:r>
        <w:rPr>
          <w:rFonts w:ascii="Baskerville Old Face" w:hAnsi="Baskerville Old Face"/>
          <w:vertAlign w:val="subscript"/>
        </w:rPr>
        <w:t>2</w:t>
      </w:r>
      <w:r>
        <w:rPr>
          <w:rFonts w:ascii="Baskerville Old Face" w:hAnsi="Baskerville Old Face"/>
        </w:rPr>
        <w:t>, conformément au Pacte vert pour l’Europe et à la loi européenne sur le climat (règlement (UE) 2021/1119);</w:t>
      </w:r>
    </w:p>
    <w:p w14:paraId="39BD91C2" w14:textId="17B0F2A1" w:rsidR="00607B50" w:rsidRPr="00202041" w:rsidRDefault="00607B50" w:rsidP="00607B50">
      <w:pPr>
        <w:pStyle w:val="ListParagraph"/>
        <w:numPr>
          <w:ilvl w:val="0"/>
          <w:numId w:val="1"/>
        </w:numPr>
        <w:jc w:val="both"/>
        <w:rPr>
          <w:rFonts w:ascii="Baskerville Old Face" w:hAnsi="Baskerville Old Face"/>
        </w:rPr>
      </w:pPr>
      <w:r>
        <w:rPr>
          <w:rFonts w:ascii="Baskerville Old Face" w:hAnsi="Baskerville Old Face"/>
        </w:rPr>
        <w:t>la mise en place d’une gestion efficace des déchets qui contribue à trouver des solutions écologiquement et économiquement viables pour résoudre la situation d’urgence des déchets dans de nombreuses régions italiennes. La valorisation des déchets devrait se traduire par des avantages tangibles pour les citoyens en termes de réduction de la taxe sur l’élimination des déchets;</w:t>
      </w:r>
    </w:p>
    <w:p w14:paraId="388D7FEA" w14:textId="2E6BDB57" w:rsidR="00607B50" w:rsidRPr="00202041" w:rsidRDefault="00607B50" w:rsidP="00607B50">
      <w:pPr>
        <w:pStyle w:val="ListParagraph"/>
        <w:numPr>
          <w:ilvl w:val="0"/>
          <w:numId w:val="1"/>
        </w:numPr>
        <w:jc w:val="both"/>
        <w:rPr>
          <w:rFonts w:ascii="Baskerville Old Face" w:hAnsi="Baskerville Old Face"/>
        </w:rPr>
      </w:pPr>
      <w:r>
        <w:rPr>
          <w:rFonts w:ascii="Baskerville Old Face" w:hAnsi="Baskerville Old Face"/>
        </w:rPr>
        <w:t>le fait de tirer pleinement parti de la valeur économique et environnementale intrinsèque des granulats récupérés réintroduits dans le circuit économique à la suite d’opérations de valorisation menées dans le respect de normes environnementales élevées, conformément à l’objectif de l’UE de créer une société de recyclage (voir la stratégie thématique pour la prévention et le recyclage des déchets);</w:t>
      </w:r>
    </w:p>
    <w:p w14:paraId="277115F1" w14:textId="701BF8C9" w:rsidR="00607B50" w:rsidRPr="00202041" w:rsidRDefault="00607B50" w:rsidP="00607B50">
      <w:pPr>
        <w:pStyle w:val="ListParagraph"/>
        <w:numPr>
          <w:ilvl w:val="0"/>
          <w:numId w:val="1"/>
        </w:numPr>
        <w:jc w:val="both"/>
        <w:rPr>
          <w:rFonts w:ascii="Baskerville Old Face" w:hAnsi="Baskerville Old Face"/>
        </w:rPr>
      </w:pPr>
      <w:r>
        <w:rPr>
          <w:rFonts w:ascii="Baskerville Old Face" w:hAnsi="Baskerville Old Face"/>
        </w:rPr>
        <w:t>la promotion du développement d’une industrie de récupération de haute qualité capable de concurrencer les concurrents étrangers, même sur les marchés étrangers, et d’accroître la confiance des marchés dans la qualité des matières récupérées;</w:t>
      </w:r>
    </w:p>
    <w:p w14:paraId="3863818A" w14:textId="62801947" w:rsidR="00607B50" w:rsidRPr="00202041" w:rsidRDefault="00607B50" w:rsidP="00607B50">
      <w:pPr>
        <w:pStyle w:val="ListParagraph"/>
        <w:numPr>
          <w:ilvl w:val="0"/>
          <w:numId w:val="1"/>
        </w:numPr>
        <w:jc w:val="both"/>
        <w:rPr>
          <w:rFonts w:ascii="Baskerville Old Face" w:hAnsi="Baskerville Old Face"/>
        </w:rPr>
      </w:pPr>
      <w:r>
        <w:rPr>
          <w:rFonts w:ascii="Baskerville Old Face" w:hAnsi="Baskerville Old Face"/>
        </w:rPr>
        <w:t>la réduction de la consommation de ressources naturelles par l’utilisation d’agrégats de récupération pour remplacer des matières vierges similaires, conformément à la stratégie thématique pour la prévention et le recyclage des déchets.</w:t>
      </w:r>
    </w:p>
    <w:p w14:paraId="5C6D4D71" w14:textId="77777777" w:rsidR="00607B50" w:rsidRPr="00607B50" w:rsidRDefault="00607B50" w:rsidP="00607B50">
      <w:pPr>
        <w:jc w:val="both"/>
        <w:rPr>
          <w:rFonts w:ascii="Baskerville Old Face" w:hAnsi="Baskerville Old Face"/>
        </w:rPr>
      </w:pPr>
    </w:p>
    <w:p w14:paraId="6840DEBC" w14:textId="77777777" w:rsidR="00607B50" w:rsidRPr="00607B50" w:rsidRDefault="00607B50" w:rsidP="00607B50">
      <w:pPr>
        <w:jc w:val="both"/>
        <w:rPr>
          <w:rFonts w:ascii="Baskerville Old Face" w:hAnsi="Baskerville Old Face"/>
          <w:b/>
          <w:bCs/>
        </w:rPr>
      </w:pPr>
      <w:r>
        <w:rPr>
          <w:rFonts w:ascii="Baskerville Old Face" w:hAnsi="Baskerville Old Face"/>
          <w:b/>
        </w:rPr>
        <w:t xml:space="preserve">2.2 Indicateurs et valeurs de référence </w:t>
      </w:r>
    </w:p>
    <w:p w14:paraId="1BADC7B6" w14:textId="3195CA10" w:rsidR="00607B50" w:rsidRPr="00607B50" w:rsidRDefault="00607B50" w:rsidP="00607B50">
      <w:pPr>
        <w:jc w:val="both"/>
        <w:rPr>
          <w:rFonts w:ascii="Baskerville Old Face" w:hAnsi="Baskerville Old Face"/>
        </w:rPr>
      </w:pPr>
      <w:r>
        <w:rPr>
          <w:rFonts w:ascii="Baskerville Old Face" w:hAnsi="Baskerville Old Face"/>
        </w:rPr>
        <w:t>Les indicateurs sélectionnés sont basés sur l’analyse des formulaires de déclaration environnementale (</w:t>
      </w:r>
      <w:proofErr w:type="spellStart"/>
      <w:r>
        <w:rPr>
          <w:rFonts w:ascii="Baskerville Old Face" w:hAnsi="Baskerville Old Face"/>
        </w:rPr>
        <w:t>Modello</w:t>
      </w:r>
      <w:proofErr w:type="spellEnd"/>
      <w:r>
        <w:rPr>
          <w:rFonts w:ascii="Baskerville Old Face" w:hAnsi="Baskerville Old Face"/>
        </w:rPr>
        <w:t xml:space="preserve"> </w:t>
      </w:r>
      <w:proofErr w:type="spellStart"/>
      <w:r>
        <w:rPr>
          <w:rFonts w:ascii="Baskerville Old Face" w:hAnsi="Baskerville Old Face"/>
        </w:rPr>
        <w:t>unico</w:t>
      </w:r>
      <w:proofErr w:type="spellEnd"/>
      <w:r>
        <w:rPr>
          <w:rFonts w:ascii="Baskerville Old Face" w:hAnsi="Baskerville Old Face"/>
        </w:rPr>
        <w:t xml:space="preserve"> di </w:t>
      </w:r>
      <w:proofErr w:type="spellStart"/>
      <w:r>
        <w:rPr>
          <w:rFonts w:ascii="Baskerville Old Face" w:hAnsi="Baskerville Old Face"/>
        </w:rPr>
        <w:t>dichiarazione</w:t>
      </w:r>
      <w:proofErr w:type="spellEnd"/>
      <w:r>
        <w:rPr>
          <w:rFonts w:ascii="Baskerville Old Face" w:hAnsi="Baskerville Old Face"/>
        </w:rPr>
        <w:t xml:space="preserve"> </w:t>
      </w:r>
      <w:proofErr w:type="spellStart"/>
      <w:r>
        <w:rPr>
          <w:rFonts w:ascii="Baskerville Old Face" w:hAnsi="Baskerville Old Face"/>
        </w:rPr>
        <w:t>ambientale</w:t>
      </w:r>
      <w:proofErr w:type="spellEnd"/>
      <w:r>
        <w:rPr>
          <w:rFonts w:ascii="Baskerville Old Face" w:hAnsi="Baskerville Old Face"/>
        </w:rPr>
        <w:t xml:space="preserve"> — MUD) que les fabricants sont tenus de soumettre chaque année en vertu de la législation en vigueur. Le formulaire de déclaration contient des informations sur le type et les quantités de déchets C&amp;D et de déchets inertes d’origine minérale entrant dans l’installation, le type et les quantités de granulats valorisés produits par l’installation, le type et les quantités de déchets issus du processus de production et, dans le cas des déchets, les quantités correspondantes livrées.</w:t>
      </w:r>
    </w:p>
    <w:p w14:paraId="1A2DCA45" w14:textId="77777777" w:rsidR="00607B50" w:rsidRDefault="00607B50" w:rsidP="00607B50">
      <w:pPr>
        <w:jc w:val="both"/>
        <w:rPr>
          <w:rFonts w:ascii="Baskerville Old Face" w:hAnsi="Baskerville Old Face"/>
        </w:rPr>
      </w:pPr>
    </w:p>
    <w:p w14:paraId="74D35CCB" w14:textId="15207B7B" w:rsidR="00607B50" w:rsidRPr="00607B50" w:rsidRDefault="00607B50" w:rsidP="00607B50">
      <w:pPr>
        <w:jc w:val="both"/>
        <w:rPr>
          <w:rFonts w:ascii="Baskerville Old Face" w:hAnsi="Baskerville Old Face"/>
          <w:b/>
          <w:bCs/>
        </w:rPr>
      </w:pPr>
      <w:r>
        <w:rPr>
          <w:rFonts w:ascii="Baskerville Old Face" w:hAnsi="Baskerville Old Face"/>
          <w:b/>
        </w:rPr>
        <w:t>3. OPTIONS D’INTERVENTION ET D’ÉVALUATION PRÉLIMINAIRE</w:t>
      </w:r>
    </w:p>
    <w:p w14:paraId="51993AFA" w14:textId="77777777" w:rsidR="00607B50" w:rsidRPr="00607B50" w:rsidRDefault="00607B50" w:rsidP="00607B50">
      <w:pPr>
        <w:jc w:val="both"/>
        <w:rPr>
          <w:rFonts w:ascii="Baskerville Old Face" w:hAnsi="Baskerville Old Face"/>
        </w:rPr>
      </w:pPr>
      <w:r>
        <w:rPr>
          <w:rFonts w:ascii="Baskerville Old Face" w:hAnsi="Baskerville Old Face"/>
        </w:rPr>
        <w:t>Compte tenu de la spécificité, de la quantité et de la nature des déchets de construction et de démolition (C&amp;D) et des déchets inertes d’origine minérale classés comme déchets, la meilleure possibilité de récupérer le matériau lui-même est le processus de fin des déchets.</w:t>
      </w:r>
    </w:p>
    <w:p w14:paraId="7E786401" w14:textId="77777777" w:rsidR="00607B50" w:rsidRPr="00607B50" w:rsidRDefault="00607B50" w:rsidP="00607B50">
      <w:pPr>
        <w:jc w:val="both"/>
        <w:rPr>
          <w:rFonts w:ascii="Baskerville Old Face" w:hAnsi="Baskerville Old Face"/>
        </w:rPr>
      </w:pPr>
      <w:r>
        <w:rPr>
          <w:rFonts w:ascii="Baskerville Old Face" w:hAnsi="Baskerville Old Face"/>
        </w:rPr>
        <w:t>En tant que telle, aucune autre option n’a été examinée, la législation en cause devant être considérée comme liée par les dispositions de l’article 184 ter du décret législatif n° 152, du 3 avril 2006.</w:t>
      </w:r>
    </w:p>
    <w:p w14:paraId="6BA17CBC" w14:textId="77777777" w:rsidR="00607B50" w:rsidRPr="00607B50" w:rsidRDefault="00607B50" w:rsidP="00607B50">
      <w:pPr>
        <w:jc w:val="both"/>
        <w:rPr>
          <w:rFonts w:ascii="Baskerville Old Face" w:hAnsi="Baskerville Old Face"/>
        </w:rPr>
      </w:pPr>
      <w:r>
        <w:rPr>
          <w:rFonts w:ascii="Baskerville Old Face" w:hAnsi="Baskerville Old Face"/>
        </w:rPr>
        <w:lastRenderedPageBreak/>
        <w:t>L’option de non-intervention n’a pas été prise en considération étant donné que le cadre proposé avec le règlement en question contient des dispositions relatives au statut de «fin de déchets», c’est-à-dire la mise en œuvre d’un processus permettant de réintroduire sur le marché les matières résultant d’une opération de valorisation et de concurrencer les matières premières vierges.</w:t>
      </w:r>
    </w:p>
    <w:p w14:paraId="2D3B3A99" w14:textId="77777777" w:rsidR="00607B50" w:rsidRPr="00607B50" w:rsidRDefault="00607B50" w:rsidP="00607B50">
      <w:pPr>
        <w:jc w:val="both"/>
        <w:rPr>
          <w:rFonts w:ascii="Baskerville Old Face" w:hAnsi="Baskerville Old Face"/>
        </w:rPr>
      </w:pPr>
      <w:r>
        <w:rPr>
          <w:rFonts w:ascii="Baskerville Old Face" w:hAnsi="Baskerville Old Face"/>
        </w:rPr>
        <w:t>En outre, la valeur environnementale de la fin des déchets a été mise en évidence dans la procédure d’évaluation de l’option de non-intervention, étant donné qu’elle représente une mesure pratique à atteindre, sachant que l’Europe vise à créer une société de valorisation et de recyclage, c’est-à-dire une économie circulaire. Le statut de fin des déchets réduirait également considérablement les volumes de ce type de déchets qui se retrouvent dans les décharges, qui sont actuellement leur destination finale la plus fréquente.</w:t>
      </w:r>
    </w:p>
    <w:p w14:paraId="7081FD1F" w14:textId="77777777" w:rsidR="00607B50" w:rsidRDefault="00607B50" w:rsidP="00607B50">
      <w:pPr>
        <w:jc w:val="both"/>
        <w:rPr>
          <w:rFonts w:ascii="Baskerville Old Face" w:hAnsi="Baskerville Old Face"/>
        </w:rPr>
      </w:pPr>
    </w:p>
    <w:p w14:paraId="5443D4A0" w14:textId="69B56F76" w:rsidR="00607B50" w:rsidRPr="00607B50" w:rsidRDefault="00607B50" w:rsidP="00607B50">
      <w:pPr>
        <w:jc w:val="both"/>
        <w:rPr>
          <w:rFonts w:ascii="Baskerville Old Face" w:hAnsi="Baskerville Old Face"/>
          <w:b/>
          <w:bCs/>
        </w:rPr>
      </w:pPr>
      <w:r>
        <w:rPr>
          <w:rFonts w:ascii="Baskerville Old Face" w:hAnsi="Baskerville Old Face"/>
          <w:b/>
        </w:rPr>
        <w:t>4. COMPARAISON DES OPTIONS ET JUSTIFICATION DE L’OPTION PRIVILÉGIÉE</w:t>
      </w:r>
    </w:p>
    <w:p w14:paraId="589885AB" w14:textId="77777777" w:rsidR="00607B50" w:rsidRPr="00607B50" w:rsidRDefault="00607B50" w:rsidP="00607B50">
      <w:pPr>
        <w:jc w:val="both"/>
        <w:rPr>
          <w:rFonts w:ascii="Baskerville Old Face" w:hAnsi="Baskerville Old Face"/>
          <w:b/>
          <w:bCs/>
        </w:rPr>
      </w:pPr>
      <w:r>
        <w:rPr>
          <w:rFonts w:ascii="Baskerville Old Face" w:hAnsi="Baskerville Old Face"/>
          <w:b/>
        </w:rPr>
        <w:t>4.1 Incidences économiques, sociales et environnementales par groupe cible</w:t>
      </w:r>
    </w:p>
    <w:p w14:paraId="6E4CCDBB" w14:textId="5FFBA9F9" w:rsidR="00607B50" w:rsidRPr="00E8479C" w:rsidRDefault="00607B50" w:rsidP="00607B50">
      <w:pPr>
        <w:jc w:val="both"/>
        <w:rPr>
          <w:rFonts w:ascii="Baskerville Old Face" w:hAnsi="Baskerville Old Face"/>
          <w:b/>
          <w:color w:val="FF0000"/>
        </w:rPr>
      </w:pPr>
      <w:r>
        <w:rPr>
          <w:rFonts w:ascii="Baskerville Old Face" w:hAnsi="Baskerville Old Face"/>
        </w:rPr>
        <w:t>La législation est le résultat d’une évaluation minutieuse des conséquences qui sont également prises en compte dans la pratique. À l’heure actuelle, bien qu’une grande partie des déchets de construction et de démolition (C&amp;D) et des déchets inertes d’origine minérale soient valorisés, d’autres quantités envoyées en décharge doivent être interceptées pour être récupérées. L’action réglementaire contribuera donc à l’augmentation du nombre de déchets envoyés pour valorisation et à l’augmentation des taux de valorisation et de recyclage</w:t>
      </w:r>
      <w:r>
        <w:rPr>
          <w:rFonts w:ascii="Baskerville Old Face" w:hAnsi="Baskerville Old Face"/>
          <w:b/>
          <w:color w:val="FF0000"/>
        </w:rPr>
        <w:t>.</w:t>
      </w:r>
    </w:p>
    <w:p w14:paraId="137D6C42" w14:textId="50EB8C43" w:rsidR="00607B50" w:rsidRPr="00E8479C" w:rsidRDefault="00607B50" w:rsidP="00607B50">
      <w:pPr>
        <w:jc w:val="both"/>
        <w:rPr>
          <w:rFonts w:ascii="Baskerville Old Face" w:hAnsi="Baskerville Old Face"/>
          <w:b/>
          <w:color w:val="FF0000"/>
        </w:rPr>
      </w:pPr>
      <w:r>
        <w:rPr>
          <w:rFonts w:ascii="Baskerville Old Face" w:hAnsi="Baskerville Old Face"/>
        </w:rPr>
        <w:t>Il ne semble pas y avoir d’inconvénients avec l’option choisie, au contraire, pour autant que les critères établis soient respectés, la législation entraînera la suppression du statut juridique des «déchets». Par conséquent, le règlement contribuera non seulement à créer la société de recyclage souhaitée et à atteindre les objectifs de l’économie circulaire, mais aussi à réduire la consommation de ressources naturelles et de matières premières. Cela s’ajoute au fait que 70 millions de tonnes supplémentaires produites seront retirées des décharges.</w:t>
      </w:r>
    </w:p>
    <w:p w14:paraId="4DAED40D" w14:textId="77777777" w:rsidR="00607B50" w:rsidRPr="00607B50" w:rsidRDefault="00607B50" w:rsidP="00607B50">
      <w:pPr>
        <w:jc w:val="both"/>
        <w:rPr>
          <w:rFonts w:ascii="Baskerville Old Face" w:hAnsi="Baskerville Old Face"/>
        </w:rPr>
      </w:pPr>
    </w:p>
    <w:p w14:paraId="4709D9C7" w14:textId="77777777" w:rsidR="00607B50" w:rsidRPr="00607B50" w:rsidRDefault="00607B50" w:rsidP="00607B50">
      <w:pPr>
        <w:jc w:val="both"/>
        <w:rPr>
          <w:rFonts w:ascii="Baskerville Old Face" w:hAnsi="Baskerville Old Face"/>
          <w:b/>
          <w:bCs/>
        </w:rPr>
      </w:pPr>
      <w:r>
        <w:rPr>
          <w:rFonts w:ascii="Baskerville Old Face" w:hAnsi="Baskerville Old Face"/>
          <w:b/>
        </w:rPr>
        <w:t>4.2 Incidences spécifiques</w:t>
      </w:r>
    </w:p>
    <w:p w14:paraId="5FF48613" w14:textId="6462B32F" w:rsidR="00607B50" w:rsidRPr="00607B50" w:rsidRDefault="00607B50" w:rsidP="00607B50">
      <w:pPr>
        <w:jc w:val="both"/>
        <w:rPr>
          <w:rFonts w:ascii="Baskerville Old Face" w:hAnsi="Baskerville Old Face"/>
        </w:rPr>
      </w:pPr>
      <w:r>
        <w:rPr>
          <w:rFonts w:ascii="Baskerville Old Face" w:hAnsi="Baskerville Old Face"/>
        </w:rPr>
        <w:t>Les micro, petites et moyennes entreprises peuvent être autorisées à récupérer les granulats de valorisation provenant du traitement des déchets de construction et de démolition (C&amp;D) et des déchets inertes d’origine minérale au moyen d’opérations de valorisation propres à transformer les déchets en matières/produits finis. Par conséquent, l’ouverture du marché à tous les types de sociétés d’exploitation est garantie.</w:t>
      </w:r>
    </w:p>
    <w:p w14:paraId="42C87E7D" w14:textId="77777777" w:rsidR="00607B50" w:rsidRPr="00607B50" w:rsidRDefault="00607B50" w:rsidP="00607B50">
      <w:pPr>
        <w:jc w:val="both"/>
        <w:rPr>
          <w:rFonts w:ascii="Baskerville Old Face" w:hAnsi="Baskerville Old Face"/>
        </w:rPr>
      </w:pPr>
    </w:p>
    <w:p w14:paraId="20A9575B" w14:textId="77777777" w:rsidR="00607B50" w:rsidRPr="00607B50" w:rsidRDefault="00607B50" w:rsidP="00607B50">
      <w:pPr>
        <w:jc w:val="both"/>
        <w:rPr>
          <w:rFonts w:ascii="Baskerville Old Face" w:hAnsi="Baskerville Old Face"/>
          <w:b/>
          <w:bCs/>
        </w:rPr>
      </w:pPr>
      <w:r>
        <w:rPr>
          <w:rFonts w:ascii="Baskerville Old Face" w:hAnsi="Baskerville Old Face"/>
          <w:b/>
        </w:rPr>
        <w:t>4.3 Justification de l’option privilégiée</w:t>
      </w:r>
    </w:p>
    <w:p w14:paraId="1B88FEA6" w14:textId="77777777" w:rsidR="00607B50" w:rsidRPr="00607B50" w:rsidRDefault="00607B50" w:rsidP="00607B50">
      <w:pPr>
        <w:jc w:val="both"/>
        <w:rPr>
          <w:rFonts w:ascii="Baskerville Old Face" w:hAnsi="Baskerville Old Face"/>
        </w:rPr>
      </w:pPr>
      <w:r>
        <w:rPr>
          <w:rFonts w:ascii="Baskerville Old Face" w:hAnsi="Baskerville Old Face"/>
        </w:rPr>
        <w:t>L’intervention représente la mise en œuvre de la délégation législative visée à l’article 184 ter du décret législatif n° 152/2006, selon laquelle les critères spécifiques qui doivent être remplis pour que les déchets cessent d’être classés en tant que tels sont adoptés, au cas par cas, pour des types spécifiques de déchets, par le biais d’un ou de plusieurs décrets du Ministère de l’environnement et de la protection du territoire et de la mer (maintenant le Ministère de la transition écologique). Cette disposition transpose en droit national les dispositions au niveau européen et, en particulier, l’article 6, paragraphe 4, de la directive 2008/98 telle que modifiée, qui, si des critères n’ont pas été établis au niveau de l’Union conformément à la procédure visée aux paragraphes 1 et 2, permettent aux États membres de décider, au cas par cas, si un déchet particulier a cessé d’être tel, en tenant compte de la jurisprudence applicable. L’introduction de la norme réglementaire pour les granulats de récupération de fin de déchet rendra la collecte dédiée économiquement viable et augmentera ainsi les objectifs de recyclage et de valorisation.</w:t>
      </w:r>
    </w:p>
    <w:p w14:paraId="1EB62A3A" w14:textId="77777777" w:rsidR="00607B50" w:rsidRDefault="00607B50" w:rsidP="00607B50">
      <w:pPr>
        <w:jc w:val="both"/>
        <w:rPr>
          <w:rFonts w:ascii="Baskerville Old Face" w:hAnsi="Baskerville Old Face"/>
          <w:b/>
          <w:bCs/>
        </w:rPr>
      </w:pPr>
    </w:p>
    <w:p w14:paraId="719DEFCF" w14:textId="45D886BF" w:rsidR="00607B50" w:rsidRPr="00607B50" w:rsidRDefault="00607B50" w:rsidP="00E41A4A">
      <w:pPr>
        <w:keepNext/>
        <w:jc w:val="both"/>
        <w:rPr>
          <w:rFonts w:ascii="Baskerville Old Face" w:hAnsi="Baskerville Old Face"/>
          <w:b/>
          <w:bCs/>
        </w:rPr>
      </w:pPr>
      <w:r>
        <w:rPr>
          <w:rFonts w:ascii="Baskerville Old Face" w:hAnsi="Baskerville Old Face"/>
          <w:b/>
        </w:rPr>
        <w:lastRenderedPageBreak/>
        <w:t>5. MODALITÉS DE MISE EN ŒUVRE ET DE SUIVI</w:t>
      </w:r>
    </w:p>
    <w:p w14:paraId="1DA2CEC3" w14:textId="77777777" w:rsidR="00607B50" w:rsidRPr="00607B50" w:rsidRDefault="00607B50" w:rsidP="00607B50">
      <w:pPr>
        <w:jc w:val="both"/>
        <w:rPr>
          <w:rFonts w:ascii="Baskerville Old Face" w:hAnsi="Baskerville Old Face"/>
          <w:b/>
          <w:bCs/>
        </w:rPr>
      </w:pPr>
      <w:r>
        <w:rPr>
          <w:rFonts w:ascii="Baskerville Old Face" w:hAnsi="Baskerville Old Face"/>
          <w:b/>
        </w:rPr>
        <w:t>5.1 Mise en œuvre</w:t>
      </w:r>
    </w:p>
    <w:p w14:paraId="09E2D820" w14:textId="77777777" w:rsidR="00607B50" w:rsidRPr="00607B50" w:rsidRDefault="00607B50" w:rsidP="00607B50">
      <w:pPr>
        <w:jc w:val="both"/>
        <w:rPr>
          <w:rFonts w:ascii="Baskerville Old Face" w:hAnsi="Baskerville Old Face"/>
        </w:rPr>
      </w:pPr>
      <w:r>
        <w:rPr>
          <w:rFonts w:ascii="Baskerville Old Face" w:hAnsi="Baskerville Old Face"/>
        </w:rPr>
        <w:t>La mise en œuvre effective de ce règlement dépend du comportement responsable des parties destinataires de l’intervention, à savoir les autorités responsables de la délivrance des mesures d’autorisation pour les installations et les exploitants du secteur.</w:t>
      </w:r>
    </w:p>
    <w:p w14:paraId="5E89E976" w14:textId="77777777" w:rsidR="00607B50" w:rsidRPr="00607B50" w:rsidRDefault="00607B50" w:rsidP="00607B50">
      <w:pPr>
        <w:jc w:val="both"/>
        <w:rPr>
          <w:rFonts w:ascii="Baskerville Old Face" w:hAnsi="Baskerville Old Face"/>
        </w:rPr>
      </w:pPr>
      <w:r>
        <w:rPr>
          <w:rFonts w:ascii="Baskerville Old Face" w:hAnsi="Baskerville Old Face"/>
        </w:rPr>
        <w:t>Le règlement est communiqué à la Commission européenne conformément à l’article 5 de la directive (UE) 2015/1535.</w:t>
      </w:r>
    </w:p>
    <w:p w14:paraId="6BCE49A7" w14:textId="77777777" w:rsidR="00607B50" w:rsidRPr="00607B50" w:rsidRDefault="00607B50" w:rsidP="00607B50">
      <w:pPr>
        <w:jc w:val="both"/>
        <w:rPr>
          <w:rFonts w:ascii="Baskerville Old Face" w:hAnsi="Baskerville Old Face"/>
        </w:rPr>
      </w:pPr>
      <w:r>
        <w:rPr>
          <w:rFonts w:ascii="Baskerville Old Face" w:hAnsi="Baskerville Old Face"/>
        </w:rPr>
        <w:t>La mesure sera publiée au Journal officiel.</w:t>
      </w:r>
    </w:p>
    <w:p w14:paraId="63EC7A2F" w14:textId="77777777" w:rsidR="00607B50" w:rsidRPr="00607B50" w:rsidRDefault="00607B50" w:rsidP="00607B50">
      <w:pPr>
        <w:jc w:val="both"/>
        <w:rPr>
          <w:rFonts w:ascii="Baskerville Old Face" w:hAnsi="Baskerville Old Face"/>
        </w:rPr>
      </w:pPr>
      <w:r>
        <w:rPr>
          <w:rFonts w:ascii="Baskerville Old Face" w:hAnsi="Baskerville Old Face"/>
        </w:rPr>
        <w:t>Il n’existe aucun mécanisme spécifique de révision de la législation.</w:t>
      </w:r>
    </w:p>
    <w:p w14:paraId="02185A49" w14:textId="77777777" w:rsidR="00607B50" w:rsidRPr="00607B50" w:rsidRDefault="00607B50" w:rsidP="00607B50">
      <w:pPr>
        <w:jc w:val="both"/>
        <w:rPr>
          <w:rFonts w:ascii="Baskerville Old Face" w:hAnsi="Baskerville Old Face"/>
        </w:rPr>
      </w:pPr>
    </w:p>
    <w:p w14:paraId="7B4C43A2" w14:textId="77777777" w:rsidR="00607B50" w:rsidRPr="00607B50" w:rsidRDefault="00607B50" w:rsidP="00607B50">
      <w:pPr>
        <w:jc w:val="both"/>
        <w:rPr>
          <w:rFonts w:ascii="Baskerville Old Face" w:hAnsi="Baskerville Old Face"/>
          <w:b/>
          <w:bCs/>
        </w:rPr>
      </w:pPr>
      <w:r>
        <w:rPr>
          <w:rFonts w:ascii="Baskerville Old Face" w:hAnsi="Baskerville Old Face"/>
          <w:b/>
        </w:rPr>
        <w:t>5.2 Surveillance</w:t>
      </w:r>
    </w:p>
    <w:p w14:paraId="37CBA8FF" w14:textId="77777777" w:rsidR="00607B50" w:rsidRPr="00607B50" w:rsidRDefault="00607B50" w:rsidP="00607B50">
      <w:pPr>
        <w:jc w:val="both"/>
        <w:rPr>
          <w:rFonts w:ascii="Baskerville Old Face" w:hAnsi="Baskerville Old Face"/>
        </w:rPr>
      </w:pPr>
      <w:r>
        <w:rPr>
          <w:rFonts w:ascii="Baskerville Old Face" w:hAnsi="Baskerville Old Face"/>
        </w:rPr>
        <w:t>Les principales questions à surveiller au cours de la mise en œuvre sont les données et les informations fournies par les opérateurs.</w:t>
      </w:r>
    </w:p>
    <w:p w14:paraId="1B1F14E2" w14:textId="77777777" w:rsidR="00607B50" w:rsidRPr="00607B50" w:rsidRDefault="00607B50" w:rsidP="00607B50">
      <w:pPr>
        <w:jc w:val="both"/>
        <w:rPr>
          <w:rFonts w:ascii="Baskerville Old Face" w:hAnsi="Baskerville Old Face"/>
        </w:rPr>
      </w:pPr>
      <w:r>
        <w:rPr>
          <w:rFonts w:ascii="Baskerville Old Face" w:hAnsi="Baskerville Old Face"/>
        </w:rPr>
        <w:t>Des méthodes statistiques ordinaires de mesure de l’efficacité de la conformité par les entités assujetties sont appliquées.</w:t>
      </w:r>
    </w:p>
    <w:p w14:paraId="1270D834" w14:textId="79038278" w:rsidR="00607B50" w:rsidRPr="00E8479C" w:rsidRDefault="00607B50" w:rsidP="00607B50">
      <w:pPr>
        <w:jc w:val="both"/>
        <w:rPr>
          <w:rFonts w:ascii="Baskerville Old Face" w:hAnsi="Baskerville Old Face"/>
        </w:rPr>
      </w:pPr>
      <w:r>
        <w:rPr>
          <w:rFonts w:ascii="Baskerville Old Face" w:hAnsi="Baskerville Old Face"/>
        </w:rPr>
        <w:t>En outre, conformément à l’article 208, paragraphe 17 bis, et à l’article 214, paragraphe 9, du décret législatif n° 152/2006, les entités assujetties transmettent les données relatives aux autorisations délivrées en vertu du présent projet de décret au registre des déchets visé à l’article 189 du décret législatif n° 152/2006.</w:t>
      </w:r>
    </w:p>
    <w:p w14:paraId="0E22FBEA" w14:textId="77777777" w:rsidR="00607B50" w:rsidRPr="00607B50" w:rsidRDefault="00607B50" w:rsidP="00607B50">
      <w:pPr>
        <w:jc w:val="both"/>
        <w:rPr>
          <w:rFonts w:ascii="Baskerville Old Face" w:hAnsi="Baskerville Old Face"/>
        </w:rPr>
      </w:pPr>
      <w:r>
        <w:rPr>
          <w:rFonts w:ascii="Baskerville Old Face" w:hAnsi="Baskerville Old Face"/>
        </w:rPr>
        <w:t>Le catalogue en question est situé dans l’ISPRA, qui gère l’inclusion des données dans une liste nationale accessible au public.</w:t>
      </w:r>
    </w:p>
    <w:p w14:paraId="6F26FC3F" w14:textId="77777777" w:rsidR="00607B50" w:rsidRPr="00607B50" w:rsidRDefault="00607B50" w:rsidP="00607B50">
      <w:pPr>
        <w:jc w:val="both"/>
        <w:rPr>
          <w:rFonts w:ascii="Baskerville Old Face" w:hAnsi="Baskerville Old Face"/>
        </w:rPr>
      </w:pPr>
      <w:r>
        <w:rPr>
          <w:rFonts w:ascii="Baskerville Old Face" w:hAnsi="Baskerville Old Face"/>
        </w:rPr>
        <w:t>Les exploitants d’installations sont également tenus de remplir et de soumettre un formulaire de déclaration environnementale (MUD).</w:t>
      </w:r>
    </w:p>
    <w:p w14:paraId="45A7FE96" w14:textId="77777777" w:rsidR="00607B50" w:rsidRPr="00607B50" w:rsidRDefault="00607B50" w:rsidP="00607B50">
      <w:pPr>
        <w:jc w:val="both"/>
        <w:rPr>
          <w:rFonts w:ascii="Baskerville Old Face" w:hAnsi="Baskerville Old Face"/>
        </w:rPr>
      </w:pPr>
      <w:r>
        <w:rPr>
          <w:rFonts w:ascii="Baskerville Old Face" w:hAnsi="Baskerville Old Face"/>
        </w:rPr>
        <w:t>Toutes les informations ci-dessus sont traitées annuellement par l’ISPRA et publiées dans le rapport annuel sur les déchets.</w:t>
      </w:r>
    </w:p>
    <w:p w14:paraId="58DEAA84" w14:textId="77777777" w:rsidR="00607B50" w:rsidRPr="00607B50" w:rsidRDefault="00607B50" w:rsidP="00607B50">
      <w:pPr>
        <w:jc w:val="both"/>
        <w:rPr>
          <w:rFonts w:ascii="Baskerville Old Face" w:hAnsi="Baskerville Old Face"/>
        </w:rPr>
      </w:pPr>
      <w:r>
        <w:rPr>
          <w:rFonts w:ascii="Baskerville Old Face" w:hAnsi="Baskerville Old Face"/>
        </w:rPr>
        <w:t>Le Ministère de la transition écologique effectue tous les deux ans la vérification de l’impact réglementaire prévue (</w:t>
      </w:r>
      <w:proofErr w:type="spellStart"/>
      <w:r>
        <w:rPr>
          <w:rFonts w:ascii="Baskerville Old Face" w:hAnsi="Baskerville Old Face"/>
        </w:rPr>
        <w:t>Verifica</w:t>
      </w:r>
      <w:proofErr w:type="spellEnd"/>
      <w:r>
        <w:rPr>
          <w:rFonts w:ascii="Baskerville Old Face" w:hAnsi="Baskerville Old Face"/>
        </w:rPr>
        <w:t xml:space="preserve"> di </w:t>
      </w:r>
      <w:proofErr w:type="spellStart"/>
      <w:r>
        <w:rPr>
          <w:rFonts w:ascii="Baskerville Old Face" w:hAnsi="Baskerville Old Face"/>
        </w:rPr>
        <w:t>Impatto</w:t>
      </w:r>
      <w:proofErr w:type="spellEnd"/>
      <w:r>
        <w:rPr>
          <w:rFonts w:ascii="Baskerville Old Face" w:hAnsi="Baskerville Old Face"/>
        </w:rPr>
        <w:t xml:space="preserve"> </w:t>
      </w:r>
      <w:proofErr w:type="spellStart"/>
      <w:r>
        <w:rPr>
          <w:rFonts w:ascii="Baskerville Old Face" w:hAnsi="Baskerville Old Face"/>
        </w:rPr>
        <w:t>della</w:t>
      </w:r>
      <w:proofErr w:type="spellEnd"/>
      <w:r>
        <w:rPr>
          <w:rFonts w:ascii="Baskerville Old Face" w:hAnsi="Baskerville Old Face"/>
        </w:rPr>
        <w:t xml:space="preserve"> </w:t>
      </w:r>
      <w:proofErr w:type="spellStart"/>
      <w:r>
        <w:rPr>
          <w:rFonts w:ascii="Baskerville Old Face" w:hAnsi="Baskerville Old Face"/>
        </w:rPr>
        <w:t>Regolamentazione</w:t>
      </w:r>
      <w:proofErr w:type="spellEnd"/>
      <w:r>
        <w:rPr>
          <w:rFonts w:ascii="Baskerville Old Face" w:hAnsi="Baskerville Old Face"/>
        </w:rPr>
        <w:t xml:space="preserve"> — VIR), au cours de laquelle l’efficacité de l’intervention est vérifiée par l’analyse des données MUD.</w:t>
      </w:r>
    </w:p>
    <w:p w14:paraId="0F15B70B" w14:textId="77777777" w:rsidR="00607B50" w:rsidRDefault="00607B50" w:rsidP="00607B50">
      <w:pPr>
        <w:jc w:val="both"/>
        <w:rPr>
          <w:rFonts w:ascii="Baskerville Old Face" w:hAnsi="Baskerville Old Face"/>
        </w:rPr>
      </w:pPr>
    </w:p>
    <w:p w14:paraId="7140649D" w14:textId="4D7EA892" w:rsidR="00607B50" w:rsidRPr="00607B50" w:rsidRDefault="00607B50" w:rsidP="00607B50">
      <w:pPr>
        <w:jc w:val="both"/>
        <w:rPr>
          <w:rFonts w:ascii="Baskerville Old Face" w:hAnsi="Baskerville Old Face"/>
          <w:b/>
          <w:bCs/>
        </w:rPr>
      </w:pPr>
      <w:r>
        <w:rPr>
          <w:rFonts w:ascii="Baskerville Old Face" w:hAnsi="Baskerville Old Face"/>
          <w:b/>
        </w:rPr>
        <w:t>CONSULTATIONS MENÉES AU COURS DE L’A.I.R.</w:t>
      </w:r>
    </w:p>
    <w:p w14:paraId="17196719" w14:textId="57022846" w:rsidR="006D5BF2" w:rsidRPr="00D83C61" w:rsidRDefault="00607B50" w:rsidP="00501D9E">
      <w:pPr>
        <w:jc w:val="both"/>
        <w:rPr>
          <w:rFonts w:ascii="Baskerville Old Face" w:hAnsi="Baskerville Old Face" w:cs="TimesNewRomanPSMT"/>
        </w:rPr>
      </w:pPr>
      <w:r>
        <w:rPr>
          <w:rFonts w:ascii="Baskerville Old Face" w:hAnsi="Baskerville Old Face"/>
        </w:rPr>
        <w:t xml:space="preserve">Les dispositions concernent les autorités compétentes chargées de délivrer les autorisations et toutes les parties prenantes tout au long de la chaîne de production correspondante. Sur le contenu du règlement, le </w:t>
      </w:r>
      <w:proofErr w:type="gramStart"/>
      <w:r>
        <w:rPr>
          <w:rFonts w:ascii="Baskerville Old Face" w:hAnsi="Baskerville Old Face"/>
        </w:rPr>
        <w:t>Ministère de l’environnement</w:t>
      </w:r>
      <w:proofErr w:type="gramEnd"/>
      <w:r>
        <w:rPr>
          <w:rFonts w:ascii="Baskerville Old Face" w:hAnsi="Baskerville Old Face"/>
        </w:rPr>
        <w:t xml:space="preserve"> et de la protection des terres et de la mer de l’époque (aujourd’hui le Ministère de la transition écologique) a lancé et mené une longue consultation articulée avec les acteurs du secteur de la construction et avec les opérateurs économiques impliqués dans la chaîne de gestion des déchets inertes provenant des activités de démolition et de construction et d’autres déchets inertes d’origine minérale et, en particulier, avec: </w:t>
      </w:r>
    </w:p>
    <w:p w14:paraId="4494DD42" w14:textId="77777777" w:rsidR="006D5BF2" w:rsidRPr="00D83C61" w:rsidRDefault="006D5BF2" w:rsidP="006D5BF2">
      <w:pPr>
        <w:pStyle w:val="ListParagraph"/>
        <w:numPr>
          <w:ilvl w:val="0"/>
          <w:numId w:val="5"/>
        </w:numPr>
        <w:autoSpaceDE w:val="0"/>
        <w:autoSpaceDN w:val="0"/>
        <w:adjustRightInd w:val="0"/>
        <w:spacing w:before="120" w:after="120" w:line="276" w:lineRule="auto"/>
        <w:contextualSpacing w:val="0"/>
        <w:jc w:val="both"/>
        <w:rPr>
          <w:rFonts w:ascii="Baskerville Old Face" w:hAnsi="Baskerville Old Face" w:cs="TimesNewRomanPSMT"/>
        </w:rPr>
      </w:pPr>
      <w:r>
        <w:rPr>
          <w:rFonts w:ascii="Baskerville Old Face" w:hAnsi="Baskerville Old Face"/>
        </w:rPr>
        <w:t xml:space="preserve">l’association nationale des producteurs d’agrégats recyclés (ANPAR), </w:t>
      </w:r>
    </w:p>
    <w:p w14:paraId="1DF90924" w14:textId="77777777" w:rsidR="006D5BF2" w:rsidRPr="00D83C61" w:rsidRDefault="006D5BF2" w:rsidP="006D5BF2">
      <w:pPr>
        <w:pStyle w:val="ListParagraph"/>
        <w:numPr>
          <w:ilvl w:val="0"/>
          <w:numId w:val="5"/>
        </w:numPr>
        <w:autoSpaceDE w:val="0"/>
        <w:autoSpaceDN w:val="0"/>
        <w:adjustRightInd w:val="0"/>
        <w:spacing w:before="120" w:after="120" w:line="276" w:lineRule="auto"/>
        <w:contextualSpacing w:val="0"/>
        <w:jc w:val="both"/>
        <w:rPr>
          <w:rFonts w:ascii="Baskerville Old Face" w:hAnsi="Baskerville Old Face" w:cs="TimesNewRomanPSMT"/>
        </w:rPr>
      </w:pPr>
      <w:r>
        <w:rPr>
          <w:rFonts w:ascii="Baskerville Old Face" w:hAnsi="Baskerville Old Face"/>
        </w:rPr>
        <w:t xml:space="preserve">le </w:t>
      </w:r>
      <w:proofErr w:type="spellStart"/>
      <w:r>
        <w:rPr>
          <w:rFonts w:ascii="Baskerville Old Face" w:hAnsi="Baskerville Old Face"/>
        </w:rPr>
        <w:t>Confartigianato</w:t>
      </w:r>
      <w:proofErr w:type="spellEnd"/>
      <w:r>
        <w:rPr>
          <w:rFonts w:ascii="Baskerville Old Face" w:hAnsi="Baskerville Old Face"/>
        </w:rPr>
        <w:t>.</w:t>
      </w:r>
    </w:p>
    <w:p w14:paraId="75E06D96" w14:textId="70E02B34" w:rsidR="006D5BF2" w:rsidRPr="00D83C61" w:rsidRDefault="006D5BF2" w:rsidP="00501D9E">
      <w:pPr>
        <w:jc w:val="both"/>
        <w:rPr>
          <w:rFonts w:ascii="Baskerville Old Face" w:hAnsi="Baskerville Old Face" w:cs="TimesNewRomanPSMT"/>
        </w:rPr>
      </w:pPr>
      <w:r>
        <w:rPr>
          <w:rFonts w:ascii="Baskerville Old Face" w:hAnsi="Baskerville Old Face"/>
        </w:rPr>
        <w:t xml:space="preserve">De même, le ministère entretient également un dialogue constant avec l’Institut pour la protection de l’environnement et la recherche (ISPRA) et l’Institut supérieur de la santé (ISS). </w:t>
      </w:r>
    </w:p>
    <w:p w14:paraId="3DD90695" w14:textId="77777777" w:rsidR="006D5BF2" w:rsidRPr="00D83C61" w:rsidRDefault="006D5BF2" w:rsidP="00501D9E">
      <w:pPr>
        <w:jc w:val="both"/>
        <w:rPr>
          <w:rFonts w:ascii="Baskerville Old Face" w:hAnsi="Baskerville Old Face" w:cs="TimesNewRomanPSMT"/>
        </w:rPr>
      </w:pPr>
      <w:r>
        <w:rPr>
          <w:rFonts w:ascii="Baskerville Old Face" w:hAnsi="Baskerville Old Face"/>
        </w:rPr>
        <w:lastRenderedPageBreak/>
        <w:t xml:space="preserve">Un groupe de travail composé de l’ancienne direction générale des déchets et de la pollution du ministère (aujourd’hui la Direction générale de l’économie circulaire — ECI), de l’ANPAR, du </w:t>
      </w:r>
      <w:proofErr w:type="spellStart"/>
      <w:r>
        <w:rPr>
          <w:rFonts w:ascii="Baskerville Old Face" w:hAnsi="Baskerville Old Face"/>
        </w:rPr>
        <w:t>Confartigianato</w:t>
      </w:r>
      <w:proofErr w:type="spellEnd"/>
      <w:r>
        <w:rPr>
          <w:rFonts w:ascii="Baskerville Old Face" w:hAnsi="Baskerville Old Face"/>
        </w:rPr>
        <w:t xml:space="preserve">, de l’ISPRA et de l’ISS a été créé pour mener ces discussions. </w:t>
      </w:r>
    </w:p>
    <w:p w14:paraId="49DE5BF8" w14:textId="77777777" w:rsidR="006D5BF2" w:rsidRPr="00D83C61" w:rsidRDefault="006D5BF2" w:rsidP="00501D9E">
      <w:pPr>
        <w:jc w:val="both"/>
        <w:rPr>
          <w:rFonts w:ascii="Baskerville Old Face" w:hAnsi="Baskerville Old Face" w:cs="TimesNewRomanPSMT"/>
        </w:rPr>
      </w:pPr>
      <w:r>
        <w:rPr>
          <w:rFonts w:ascii="Baskerville Old Face" w:hAnsi="Baskerville Old Face"/>
        </w:rPr>
        <w:t xml:space="preserve">À la suite des réunions techniques du groupe de travail, la discussion avec les parties prenantes a été complétée par la transmission, par ANPAR: </w:t>
      </w:r>
    </w:p>
    <w:p w14:paraId="727B0AC3" w14:textId="60C32A12" w:rsidR="006D5BF2" w:rsidRPr="00D83C61" w:rsidRDefault="006D5BF2" w:rsidP="006D5BF2">
      <w:pPr>
        <w:pStyle w:val="ListParagraph"/>
        <w:numPr>
          <w:ilvl w:val="0"/>
          <w:numId w:val="5"/>
        </w:numPr>
        <w:autoSpaceDE w:val="0"/>
        <w:autoSpaceDN w:val="0"/>
        <w:adjustRightInd w:val="0"/>
        <w:spacing w:before="120" w:after="120" w:line="276" w:lineRule="auto"/>
        <w:contextualSpacing w:val="0"/>
        <w:jc w:val="both"/>
        <w:rPr>
          <w:rFonts w:ascii="Baskerville Old Face" w:hAnsi="Baskerville Old Face" w:cs="TimesNewRomanPSMT"/>
        </w:rPr>
      </w:pPr>
      <w:r>
        <w:rPr>
          <w:rFonts w:ascii="Baskerville Old Face" w:hAnsi="Baskerville Old Face"/>
        </w:rPr>
        <w:t>d’un document d’enquête intitulé «</w:t>
      </w:r>
      <w:r>
        <w:rPr>
          <w:rFonts w:ascii="Baskerville Old Face" w:hAnsi="Baskerville Old Face"/>
          <w:i/>
        </w:rPr>
        <w:t>La fin des déchets inertes. Document de synthèse</w:t>
      </w:r>
      <w:r>
        <w:rPr>
          <w:rFonts w:ascii="Baskerville Old Face" w:hAnsi="Baskerville Old Face"/>
        </w:rPr>
        <w:t xml:space="preserve">», contenant un résumé des problèmes identifiés par les opérateurs dans le domaine de la valorisation inerte des déchets et la proposition de plusieurs solutions possibles, partagée avec les autres parties prenantes participant aux réunions du groupe de travail; </w:t>
      </w:r>
    </w:p>
    <w:p w14:paraId="7558DA97" w14:textId="6BD775E9" w:rsidR="006D5BF2" w:rsidRPr="00D83C61" w:rsidRDefault="006D5BF2" w:rsidP="006D5BF2">
      <w:pPr>
        <w:pStyle w:val="ListParagraph"/>
        <w:numPr>
          <w:ilvl w:val="0"/>
          <w:numId w:val="5"/>
        </w:numPr>
        <w:autoSpaceDE w:val="0"/>
        <w:autoSpaceDN w:val="0"/>
        <w:adjustRightInd w:val="0"/>
        <w:spacing w:before="120" w:after="120" w:line="276" w:lineRule="auto"/>
        <w:contextualSpacing w:val="0"/>
        <w:jc w:val="both"/>
        <w:rPr>
          <w:rFonts w:ascii="Baskerville Old Face" w:hAnsi="Baskerville Old Face" w:cs="TimesNewRomanPSMT"/>
        </w:rPr>
      </w:pPr>
      <w:r>
        <w:rPr>
          <w:rFonts w:ascii="Baskerville Old Face" w:hAnsi="Baskerville Old Face"/>
        </w:rPr>
        <w:t xml:space="preserve">d’un tableau résumant les résultats des essais d’affectation et 40 rapports d’essais relatifs aux paramètres sulfates, DCO et chlorures; </w:t>
      </w:r>
    </w:p>
    <w:p w14:paraId="6CC6C784" w14:textId="01D7AF84" w:rsidR="006D5BF2" w:rsidRPr="00D83C61" w:rsidRDefault="006D5BF2" w:rsidP="006D5BF2">
      <w:pPr>
        <w:pStyle w:val="ListParagraph"/>
        <w:numPr>
          <w:ilvl w:val="0"/>
          <w:numId w:val="5"/>
        </w:numPr>
        <w:autoSpaceDE w:val="0"/>
        <w:autoSpaceDN w:val="0"/>
        <w:adjustRightInd w:val="0"/>
        <w:spacing w:before="120" w:after="120" w:line="276" w:lineRule="auto"/>
        <w:contextualSpacing w:val="0"/>
        <w:jc w:val="both"/>
        <w:rPr>
          <w:rFonts w:ascii="Baskerville Old Face" w:hAnsi="Baskerville Old Face" w:cs="TimesNewRomanPSMT"/>
        </w:rPr>
      </w:pPr>
      <w:r>
        <w:rPr>
          <w:rFonts w:ascii="Baskerville Old Face" w:hAnsi="Baskerville Old Face"/>
        </w:rPr>
        <w:t>d’un article «</w:t>
      </w:r>
      <w:r>
        <w:rPr>
          <w:rFonts w:ascii="Baskerville Old Face" w:hAnsi="Baskerville Old Face"/>
          <w:i/>
        </w:rPr>
        <w:t>Construction et économie circulaire: Fin des déchets de déchets inertes</w:t>
      </w:r>
      <w:r>
        <w:rPr>
          <w:rFonts w:ascii="Baskerville Old Face" w:hAnsi="Baskerville Old Face"/>
        </w:rPr>
        <w:t xml:space="preserve">» contenant les résultats de la recherche </w:t>
      </w:r>
      <w:r>
        <w:rPr>
          <w:rFonts w:ascii="Baskerville Old Face" w:hAnsi="Baskerville Old Face"/>
          <w:i/>
        </w:rPr>
        <w:t>««Recherche dans le domaine de la Fin des Déchets — Déchets de construction et de démolition</w:t>
      </w:r>
      <w:r>
        <w:rPr>
          <w:rFonts w:ascii="Baskerville Old Face" w:hAnsi="Baskerville Old Face"/>
        </w:rPr>
        <w:t xml:space="preserve">» organisée par le Centre interdépartemental pour la construction des territoires et la restauration de l’environnement (CITERA) de l’Université </w:t>
      </w:r>
      <w:proofErr w:type="spellStart"/>
      <w:r>
        <w:rPr>
          <w:rFonts w:ascii="Baskerville Old Face" w:hAnsi="Baskerville Old Face"/>
        </w:rPr>
        <w:t>Sapienza</w:t>
      </w:r>
      <w:proofErr w:type="spellEnd"/>
      <w:r>
        <w:rPr>
          <w:rFonts w:ascii="Baskerville Old Face" w:hAnsi="Baskerville Old Face"/>
        </w:rPr>
        <w:t xml:space="preserve"> de Rome. </w:t>
      </w:r>
    </w:p>
    <w:p w14:paraId="430118AB" w14:textId="45251458" w:rsidR="00607B50" w:rsidRDefault="00607B50" w:rsidP="00607B50">
      <w:pPr>
        <w:jc w:val="both"/>
        <w:rPr>
          <w:rFonts w:ascii="Baskerville Old Face" w:hAnsi="Baskerville Old Face"/>
        </w:rPr>
      </w:pPr>
      <w:r>
        <w:rPr>
          <w:rFonts w:ascii="Baskerville Old Face" w:hAnsi="Baskerville Old Face"/>
        </w:rPr>
        <w:t>En ce qui concerne le respect des conditions prévues à l’article 184 ter, et en particulier pour l’évaluation de l’impact sur l’environnement et la santé humaine, il convient de noter que, à la suite de l’enquête effectuée, l’ISPRA et l’ISS ont exprimé des avis qui ont permis l’élaboration d’un texte commun dans lequel la plupart des exigences ont été mises en œuvre et communiquées avec précision dans le règlement en question. En outre, en ce qui concerne les limites applicables aux sulfates et aux chlorures, l’ISS et l’ISPRA ont émis, à la demande du ministère, un avis complémentaire spécifique assorti d’un nouveau tableau des limites, ainsi qu’un avis de synthèse complémentaire de chaque institut, à la suite des conclusions de l’avis intérimaire rendu par le Conseil des états le 17 septembre 2020.</w:t>
      </w:r>
    </w:p>
    <w:p w14:paraId="1C1C1F61" w14:textId="77777777" w:rsidR="00607B50" w:rsidRPr="00607B50" w:rsidRDefault="00607B50" w:rsidP="00607B50">
      <w:pPr>
        <w:jc w:val="both"/>
        <w:rPr>
          <w:rFonts w:ascii="Baskerville Old Face" w:hAnsi="Baskerville Old Face"/>
        </w:rPr>
      </w:pPr>
      <w:r>
        <w:rPr>
          <w:rFonts w:ascii="Baskerville Old Face" w:hAnsi="Baskerville Old Face"/>
        </w:rPr>
        <w:t>Enfin, en ce qui concerne la condition énoncée à l’article 184 ter, paragraphe 1, point b), le ministère, au cours de la phase d’enquête, a acquis des documents appropriés pour démontrer l’existence d’un marché solide pour les granulats récupérés résultant de la valorisation des déchets de construction et de démolition (C&amp;D) et des déchets inertes d’origine minérale.</w:t>
      </w:r>
    </w:p>
    <w:p w14:paraId="7A3451CE" w14:textId="77777777" w:rsidR="00607B50" w:rsidRDefault="00607B50" w:rsidP="00607B50">
      <w:pPr>
        <w:jc w:val="both"/>
        <w:rPr>
          <w:rFonts w:ascii="Baskerville Old Face" w:hAnsi="Baskerville Old Face"/>
          <w:b/>
          <w:bCs/>
        </w:rPr>
      </w:pPr>
    </w:p>
    <w:p w14:paraId="7DEC9C1C" w14:textId="4F1BD7D8" w:rsidR="00607B50" w:rsidRPr="00607B50" w:rsidRDefault="00607B50" w:rsidP="00607B50">
      <w:pPr>
        <w:jc w:val="both"/>
        <w:rPr>
          <w:rFonts w:ascii="Baskerville Old Face" w:hAnsi="Baskerville Old Face"/>
          <w:b/>
          <w:bCs/>
        </w:rPr>
      </w:pPr>
      <w:r>
        <w:rPr>
          <w:rFonts w:ascii="Baskerville Old Face" w:hAnsi="Baskerville Old Face"/>
          <w:b/>
        </w:rPr>
        <w:t>METHODE D’ÉVALUATION</w:t>
      </w:r>
    </w:p>
    <w:p w14:paraId="6D96B331" w14:textId="77777777" w:rsidR="00607B50" w:rsidRPr="00607B50" w:rsidRDefault="00607B50" w:rsidP="00607B50">
      <w:pPr>
        <w:jc w:val="both"/>
        <w:rPr>
          <w:rFonts w:ascii="Baskerville Old Face" w:hAnsi="Baskerville Old Face"/>
        </w:rPr>
      </w:pPr>
      <w:r>
        <w:rPr>
          <w:rFonts w:ascii="Baskerville Old Face" w:hAnsi="Baskerville Old Face"/>
        </w:rPr>
        <w:t>En ce qui concerne le respect des conditions prévues à l’article 184 ter, et en particulier pour l’évaluation des incidences sur l’environnement et la santé humaine, il convient de noter que, à la suite de l’enquête menée, l’Institut pour la protection et la recherche environnementales (ISPRA) a émis quatre avis successifs.</w:t>
      </w:r>
    </w:p>
    <w:p w14:paraId="07887CCA" w14:textId="49654EF8" w:rsidR="00F31CFD" w:rsidRPr="00607B50" w:rsidRDefault="00607B50" w:rsidP="00607B50">
      <w:pPr>
        <w:jc w:val="both"/>
        <w:rPr>
          <w:rFonts w:ascii="Baskerville Old Face" w:hAnsi="Baskerville Old Face"/>
        </w:rPr>
      </w:pPr>
      <w:r>
        <w:rPr>
          <w:rFonts w:ascii="Baskerville Old Face" w:hAnsi="Baskerville Old Face"/>
        </w:rPr>
        <w:t>Dans les avis émis par l’ISPRA, l’ISPRA a formulé certaines observations qui ont fait l’objet d’une enquête et d’un examen par le ministère et qui ont été intégralement transposées dans le règlement.</w:t>
      </w:r>
    </w:p>
    <w:sectPr w:rsidR="00F31CFD" w:rsidRPr="00607B5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242B4" w14:textId="77777777" w:rsidR="00A34312" w:rsidRDefault="00A34312" w:rsidP="00607B50">
      <w:pPr>
        <w:spacing w:after="0" w:line="240" w:lineRule="auto"/>
      </w:pPr>
      <w:r>
        <w:separator/>
      </w:r>
    </w:p>
  </w:endnote>
  <w:endnote w:type="continuationSeparator" w:id="0">
    <w:p w14:paraId="76BDDEA1" w14:textId="77777777" w:rsidR="00A34312" w:rsidRDefault="00A34312" w:rsidP="00607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imesNewRomanPSMT">
    <w:altName w:val="Times New Roman"/>
    <w:panose1 w:val="00000000000000000000"/>
    <w:charset w:val="0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0225A" w14:textId="77777777" w:rsidR="00A34312" w:rsidRDefault="00A34312" w:rsidP="00607B50">
      <w:pPr>
        <w:spacing w:after="0" w:line="240" w:lineRule="auto"/>
      </w:pPr>
      <w:r>
        <w:separator/>
      </w:r>
    </w:p>
  </w:footnote>
  <w:footnote w:type="continuationSeparator" w:id="0">
    <w:p w14:paraId="42AA6BA4" w14:textId="77777777" w:rsidR="00A34312" w:rsidRDefault="00A34312" w:rsidP="00607B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3412"/>
    <w:multiLevelType w:val="hybridMultilevel"/>
    <w:tmpl w:val="BF5A9556"/>
    <w:lvl w:ilvl="0" w:tplc="D4F2C518">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B879CB"/>
    <w:multiLevelType w:val="hybridMultilevel"/>
    <w:tmpl w:val="66F43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477763"/>
    <w:multiLevelType w:val="hybridMultilevel"/>
    <w:tmpl w:val="D11EE29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3D142F3"/>
    <w:multiLevelType w:val="hybridMultilevel"/>
    <w:tmpl w:val="EFB2037A"/>
    <w:lvl w:ilvl="0" w:tplc="C5F8395C">
      <w:numFmt w:val="bullet"/>
      <w:lvlText w:val="-"/>
      <w:lvlJc w:val="left"/>
      <w:pPr>
        <w:ind w:left="1070" w:hanging="710"/>
      </w:pPr>
      <w:rPr>
        <w:rFonts w:ascii="Baskerville Old Face" w:eastAsiaTheme="minorHAnsi" w:hAnsi="Baskerville Old Fac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9D3738D"/>
    <w:multiLevelType w:val="hybridMultilevel"/>
    <w:tmpl w:val="1286F472"/>
    <w:lvl w:ilvl="0" w:tplc="DE32CE48">
      <w:numFmt w:val="bullet"/>
      <w:lvlText w:val="-"/>
      <w:lvlJc w:val="left"/>
      <w:pPr>
        <w:ind w:left="720" w:hanging="360"/>
      </w:pPr>
      <w:rPr>
        <w:rFonts w:ascii="Calibri" w:eastAsiaTheme="minorHAnsi" w:hAnsi="Calibri" w:cs="Calibri" w:hint="default"/>
        <w:sz w:val="23"/>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B1A5A2A"/>
    <w:multiLevelType w:val="hybridMultilevel"/>
    <w:tmpl w:val="11D80562"/>
    <w:lvl w:ilvl="0" w:tplc="192AE4B2">
      <w:numFmt w:val="bullet"/>
      <w:lvlText w:val="•"/>
      <w:lvlJc w:val="left"/>
      <w:pPr>
        <w:ind w:left="1070" w:hanging="710"/>
      </w:pPr>
      <w:rPr>
        <w:rFonts w:ascii="Baskerville Old Face" w:eastAsiaTheme="minorHAnsi" w:hAnsi="Baskerville Old Fac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B50"/>
    <w:rsid w:val="0013678D"/>
    <w:rsid w:val="001759B2"/>
    <w:rsid w:val="001A733F"/>
    <w:rsid w:val="00202041"/>
    <w:rsid w:val="003743A4"/>
    <w:rsid w:val="00383B2B"/>
    <w:rsid w:val="00492F74"/>
    <w:rsid w:val="004D26D9"/>
    <w:rsid w:val="00501D9E"/>
    <w:rsid w:val="005D3E89"/>
    <w:rsid w:val="00607B50"/>
    <w:rsid w:val="00625497"/>
    <w:rsid w:val="006D5BF2"/>
    <w:rsid w:val="00763620"/>
    <w:rsid w:val="0077280D"/>
    <w:rsid w:val="00790E9F"/>
    <w:rsid w:val="007F28A9"/>
    <w:rsid w:val="009E7DA2"/>
    <w:rsid w:val="00A34312"/>
    <w:rsid w:val="00A532F0"/>
    <w:rsid w:val="00A749A2"/>
    <w:rsid w:val="00B75FB9"/>
    <w:rsid w:val="00B8671E"/>
    <w:rsid w:val="00C47465"/>
    <w:rsid w:val="00C826D2"/>
    <w:rsid w:val="00E41A4A"/>
    <w:rsid w:val="00E8479C"/>
    <w:rsid w:val="00EE6DD2"/>
    <w:rsid w:val="00F31C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CAE98"/>
  <w15:chartTrackingRefBased/>
  <w15:docId w15:val="{06765E2E-0E28-4DA7-8F65-7D6FE3A6B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B50"/>
    <w:pPr>
      <w:ind w:left="720"/>
      <w:contextualSpacing/>
    </w:pPr>
  </w:style>
  <w:style w:type="character" w:styleId="CommentReference">
    <w:name w:val="annotation reference"/>
    <w:basedOn w:val="DefaultParagraphFont"/>
    <w:uiPriority w:val="99"/>
    <w:semiHidden/>
    <w:unhideWhenUsed/>
    <w:rsid w:val="001A733F"/>
    <w:rPr>
      <w:sz w:val="16"/>
      <w:szCs w:val="16"/>
    </w:rPr>
  </w:style>
  <w:style w:type="paragraph" w:styleId="CommentText">
    <w:name w:val="annotation text"/>
    <w:basedOn w:val="Normal"/>
    <w:link w:val="CommentTextChar"/>
    <w:uiPriority w:val="99"/>
    <w:semiHidden/>
    <w:unhideWhenUsed/>
    <w:rsid w:val="001A733F"/>
    <w:pPr>
      <w:spacing w:line="240" w:lineRule="auto"/>
    </w:pPr>
    <w:rPr>
      <w:sz w:val="20"/>
      <w:szCs w:val="20"/>
    </w:rPr>
  </w:style>
  <w:style w:type="character" w:customStyle="1" w:styleId="CommentTextChar">
    <w:name w:val="Comment Text Char"/>
    <w:basedOn w:val="DefaultParagraphFont"/>
    <w:link w:val="CommentText"/>
    <w:uiPriority w:val="99"/>
    <w:semiHidden/>
    <w:rsid w:val="001A733F"/>
    <w:rPr>
      <w:sz w:val="20"/>
      <w:szCs w:val="20"/>
    </w:rPr>
  </w:style>
  <w:style w:type="paragraph" w:styleId="CommentSubject">
    <w:name w:val="annotation subject"/>
    <w:basedOn w:val="CommentText"/>
    <w:next w:val="CommentText"/>
    <w:link w:val="CommentSubjectChar"/>
    <w:uiPriority w:val="99"/>
    <w:semiHidden/>
    <w:unhideWhenUsed/>
    <w:rsid w:val="001A733F"/>
    <w:rPr>
      <w:b/>
      <w:bCs/>
    </w:rPr>
  </w:style>
  <w:style w:type="character" w:customStyle="1" w:styleId="CommentSubjectChar">
    <w:name w:val="Comment Subject Char"/>
    <w:basedOn w:val="CommentTextChar"/>
    <w:link w:val="CommentSubject"/>
    <w:uiPriority w:val="99"/>
    <w:semiHidden/>
    <w:rsid w:val="001A733F"/>
    <w:rPr>
      <w:b/>
      <w:bCs/>
      <w:sz w:val="20"/>
      <w:szCs w:val="20"/>
    </w:rPr>
  </w:style>
  <w:style w:type="paragraph" w:styleId="Revision">
    <w:name w:val="Revision"/>
    <w:hidden/>
    <w:uiPriority w:val="99"/>
    <w:semiHidden/>
    <w:rsid w:val="001A733F"/>
    <w:pPr>
      <w:spacing w:after="0" w:line="240" w:lineRule="auto"/>
    </w:pPr>
  </w:style>
  <w:style w:type="paragraph" w:styleId="BalloonText">
    <w:name w:val="Balloon Text"/>
    <w:basedOn w:val="Normal"/>
    <w:link w:val="BalloonTextChar"/>
    <w:uiPriority w:val="99"/>
    <w:semiHidden/>
    <w:unhideWhenUsed/>
    <w:rsid w:val="00C826D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826D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3150</Words>
  <Characters>17960</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Letizia Zavatti</dc:creator>
  <cp:keywords/>
  <dc:description/>
  <cp:lastModifiedBy>Liana Brili</cp:lastModifiedBy>
  <cp:revision>3</cp:revision>
  <dcterms:created xsi:type="dcterms:W3CDTF">2022-03-10T12:49:00Z</dcterms:created>
  <dcterms:modified xsi:type="dcterms:W3CDTF">2022-03-29T14:41:00Z</dcterms:modified>
</cp:coreProperties>
</file>